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106045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4" w:lineRule="exact"/>
        <w:rPr>
          <w:sz w:val="24"/>
          <w:szCs w:val="24"/>
          <w:color w:val="auto"/>
        </w:rPr>
      </w:pPr>
    </w:p>
    <w:p>
      <w:pPr>
        <w:ind w:left="360" w:right="3820" w:hanging="339"/>
        <w:spacing w:after="0" w:line="378" w:lineRule="auto"/>
        <w:tabs>
          <w:tab w:leader="none" w:pos="3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7" w:lineRule="exact"/>
        <w:rPr>
          <w:sz w:val="24"/>
          <w:szCs w:val="24"/>
          <w:color w:val="auto"/>
        </w:rPr>
      </w:pPr>
    </w:p>
    <w:p>
      <w:pPr>
        <w:ind w:left="360" w:right="3540" w:hanging="339"/>
        <w:spacing w:after="0" w:line="371" w:lineRule="auto"/>
        <w:tabs>
          <w:tab w:leader="none" w:pos="3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__________ to 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820" w:type="dxa"/>
            <w:vAlign w:val="bottom"/>
          </w:tcPr>
          <w:p>
            <w:pPr>
              <w:spacing w:after="0"/>
              <w:rPr>
                <w:sz w:val="22"/>
                <w:szCs w:val="22"/>
                <w:color w:val="auto"/>
              </w:rPr>
            </w:pPr>
          </w:p>
        </w:tc>
        <w:tc>
          <w:tcPr>
            <w:tcW w:w="2600" w:type="dxa"/>
            <w:vAlign w:val="bottom"/>
          </w:tcPr>
          <w:p>
            <w:pPr>
              <w:jc w:val="center"/>
              <w:ind w:left="868"/>
              <w:spacing w:after="0"/>
              <w:rPr>
                <w:sz w:val="20"/>
                <w:szCs w:val="20"/>
                <w:color w:val="auto"/>
              </w:rPr>
            </w:pPr>
            <w:r>
              <w:rPr>
                <w:rFonts w:ascii="Arial" w:cs="Arial" w:eastAsia="Arial" w:hAnsi="Arial"/>
                <w:sz w:val="22"/>
                <w:szCs w:val="22"/>
                <w:b w:val="1"/>
                <w:bCs w:val="1"/>
                <w:color w:val="auto"/>
                <w:w w:val="88"/>
              </w:rPr>
              <w:t>Gogo Inc.</w:t>
            </w:r>
          </w:p>
        </w:tc>
        <w:tc>
          <w:tcPr>
            <w:tcW w:w="540" w:type="dxa"/>
            <w:vAlign w:val="bottom"/>
          </w:tcPr>
          <w:p>
            <w:pPr>
              <w:spacing w:after="0"/>
              <w:rPr>
                <w:sz w:val="22"/>
                <w:szCs w:val="22"/>
                <w:color w:val="auto"/>
              </w:rPr>
            </w:pPr>
          </w:p>
        </w:tc>
        <w:tc>
          <w:tcPr>
            <w:tcW w:w="4280" w:type="dxa"/>
            <w:vAlign w:val="bottom"/>
          </w:tcPr>
          <w:p>
            <w:pPr>
              <w:spacing w:after="0"/>
              <w:rPr>
                <w:sz w:val="22"/>
                <w:szCs w:val="22"/>
                <w:color w:val="auto"/>
              </w:rPr>
            </w:pPr>
          </w:p>
        </w:tc>
      </w:tr>
      <w:tr>
        <w:trPr>
          <w:trHeight w:val="158"/>
        </w:trPr>
        <w:tc>
          <w:tcPr>
            <w:tcW w:w="3820" w:type="dxa"/>
            <w:vAlign w:val="bottom"/>
          </w:tcPr>
          <w:p>
            <w:pPr>
              <w:spacing w:after="0"/>
              <w:rPr>
                <w:sz w:val="13"/>
                <w:szCs w:val="13"/>
                <w:color w:val="auto"/>
              </w:rPr>
            </w:pPr>
          </w:p>
        </w:tc>
        <w:tc>
          <w:tcPr>
            <w:tcW w:w="3140" w:type="dxa"/>
            <w:vAlign w:val="bottom"/>
            <w:gridSpan w:val="2"/>
          </w:tcPr>
          <w:p>
            <w:pPr>
              <w:jc w:val="center"/>
              <w:ind w:left="388"/>
              <w:spacing w:after="0"/>
              <w:rPr>
                <w:sz w:val="20"/>
                <w:szCs w:val="20"/>
                <w:color w:val="auto"/>
              </w:rPr>
            </w:pPr>
            <w:r>
              <w:rPr>
                <w:rFonts w:ascii="Arial" w:cs="Arial" w:eastAsia="Arial" w:hAnsi="Arial"/>
                <w:sz w:val="13"/>
                <w:szCs w:val="13"/>
                <w:color w:val="auto"/>
                <w:w w:val="87"/>
              </w:rPr>
              <w:t>(Exact name of registrant as specified in its charter)</w:t>
            </w:r>
          </w:p>
        </w:tc>
        <w:tc>
          <w:tcPr>
            <w:tcW w:w="4280" w:type="dxa"/>
            <w:vAlign w:val="bottom"/>
          </w:tcPr>
          <w:p>
            <w:pPr>
              <w:spacing w:after="0"/>
              <w:rPr>
                <w:sz w:val="13"/>
                <w:szCs w:val="13"/>
                <w:color w:val="auto"/>
              </w:rPr>
            </w:pPr>
          </w:p>
        </w:tc>
      </w:tr>
      <w:tr>
        <w:trPr>
          <w:trHeight w:val="235"/>
        </w:trPr>
        <w:tc>
          <w:tcPr>
            <w:tcW w:w="3820" w:type="dxa"/>
            <w:vAlign w:val="bottom"/>
          </w:tcPr>
          <w:p>
            <w:pPr>
              <w:jc w:val="center"/>
              <w:ind w:left="1654"/>
              <w:spacing w:after="0"/>
              <w:rPr>
                <w:sz w:val="20"/>
                <w:szCs w:val="20"/>
                <w:color w:val="auto"/>
              </w:rPr>
            </w:pPr>
            <w:r>
              <w:rPr>
                <w:rFonts w:ascii="Arial" w:cs="Arial" w:eastAsia="Arial" w:hAnsi="Arial"/>
                <w:sz w:val="14"/>
                <w:szCs w:val="14"/>
                <w:b w:val="1"/>
                <w:bCs w:val="1"/>
                <w:color w:val="auto"/>
                <w:w w:val="94"/>
              </w:rPr>
              <w:t>Delaware</w:t>
            </w:r>
          </w:p>
        </w:tc>
        <w:tc>
          <w:tcPr>
            <w:tcW w:w="2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80" w:type="dxa"/>
            <w:vAlign w:val="bottom"/>
          </w:tcPr>
          <w:p>
            <w:pPr>
              <w:ind w:left="1180"/>
              <w:spacing w:after="0"/>
              <w:rPr>
                <w:sz w:val="20"/>
                <w:szCs w:val="20"/>
                <w:color w:val="auto"/>
              </w:rPr>
            </w:pPr>
            <w:r>
              <w:rPr>
                <w:rFonts w:ascii="Arial" w:cs="Arial" w:eastAsia="Arial" w:hAnsi="Arial"/>
                <w:sz w:val="14"/>
                <w:szCs w:val="14"/>
                <w:b w:val="1"/>
                <w:bCs w:val="1"/>
                <w:color w:val="auto"/>
              </w:rPr>
              <w:t>27-1650905</w:t>
            </w:r>
          </w:p>
        </w:tc>
      </w:tr>
      <w:tr>
        <w:trPr>
          <w:trHeight w:val="141"/>
        </w:trPr>
        <w:tc>
          <w:tcPr>
            <w:tcW w:w="3820" w:type="dxa"/>
            <w:vAlign w:val="bottom"/>
          </w:tcPr>
          <w:p>
            <w:pPr>
              <w:jc w:val="center"/>
              <w:ind w:left="1634"/>
              <w:spacing w:after="0"/>
              <w:rPr>
                <w:sz w:val="20"/>
                <w:szCs w:val="20"/>
                <w:color w:val="auto"/>
              </w:rPr>
            </w:pPr>
            <w:r>
              <w:rPr>
                <w:rFonts w:ascii="Arial" w:cs="Arial" w:eastAsia="Arial" w:hAnsi="Arial"/>
                <w:sz w:val="12"/>
                <w:szCs w:val="12"/>
                <w:color w:val="auto"/>
                <w:w w:val="90"/>
              </w:rPr>
              <w:t>(State or other jurisdiction of</w:t>
            </w: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80" w:type="dxa"/>
            <w:vAlign w:val="bottom"/>
          </w:tcPr>
          <w:p>
            <w:pPr>
              <w:jc w:val="center"/>
              <w:ind w:right="1154"/>
              <w:spacing w:after="0"/>
              <w:rPr>
                <w:sz w:val="20"/>
                <w:szCs w:val="20"/>
                <w:color w:val="auto"/>
              </w:rPr>
            </w:pPr>
            <w:r>
              <w:rPr>
                <w:rFonts w:ascii="Arial" w:cs="Arial" w:eastAsia="Arial" w:hAnsi="Arial"/>
                <w:sz w:val="12"/>
                <w:szCs w:val="12"/>
                <w:color w:val="auto"/>
                <w:w w:val="88"/>
              </w:rPr>
              <w:t>(I.R.S. Employer</w:t>
            </w:r>
          </w:p>
        </w:tc>
      </w:tr>
      <w:tr>
        <w:trPr>
          <w:trHeight w:val="148"/>
        </w:trPr>
        <w:tc>
          <w:tcPr>
            <w:tcW w:w="3820" w:type="dxa"/>
            <w:vAlign w:val="bottom"/>
          </w:tcPr>
          <w:p>
            <w:pPr>
              <w:jc w:val="center"/>
              <w:ind w:left="1634"/>
              <w:spacing w:after="0"/>
              <w:rPr>
                <w:sz w:val="20"/>
                <w:szCs w:val="20"/>
                <w:color w:val="auto"/>
              </w:rPr>
            </w:pPr>
            <w:r>
              <w:rPr>
                <w:rFonts w:ascii="Arial" w:cs="Arial" w:eastAsia="Arial" w:hAnsi="Arial"/>
                <w:sz w:val="12"/>
                <w:szCs w:val="12"/>
                <w:color w:val="auto"/>
                <w:w w:val="90"/>
              </w:rPr>
              <w:t>Incorporation or Organization)</w:t>
            </w: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80" w:type="dxa"/>
            <w:vAlign w:val="bottom"/>
          </w:tcPr>
          <w:p>
            <w:pPr>
              <w:jc w:val="center"/>
              <w:ind w:right="1154"/>
              <w:spacing w:after="0"/>
              <w:rPr>
                <w:sz w:val="20"/>
                <w:szCs w:val="20"/>
                <w:color w:val="auto"/>
              </w:rPr>
            </w:pPr>
            <w:r>
              <w:rPr>
                <w:rFonts w:ascii="Arial" w:cs="Arial" w:eastAsia="Arial" w:hAnsi="Arial"/>
                <w:sz w:val="12"/>
                <w:szCs w:val="12"/>
                <w:color w:val="auto"/>
                <w:w w:val="92"/>
              </w:rPr>
              <w:t>Identification No.)</w:t>
            </w:r>
          </w:p>
        </w:tc>
      </w:tr>
      <w:tr>
        <w:trPr>
          <w:trHeight w:val="222"/>
        </w:trPr>
        <w:tc>
          <w:tcPr>
            <w:tcW w:w="38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2"/>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r>
      <w:tr>
        <w:trPr>
          <w:trHeight w:val="240"/>
        </w:trPr>
        <w:tc>
          <w:tcPr>
            <w:tcW w:w="3820" w:type="dxa"/>
            <w:vAlign w:val="bottom"/>
          </w:tcPr>
          <w:p>
            <w:pPr>
              <w:spacing w:after="0"/>
              <w:rPr>
                <w:sz w:val="20"/>
                <w:szCs w:val="20"/>
                <w:color w:val="auto"/>
              </w:rPr>
            </w:pPr>
          </w:p>
        </w:tc>
        <w:tc>
          <w:tcPr>
            <w:tcW w:w="314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w w:val="92"/>
              </w:rPr>
              <w:t>105 Edgeview Dr., Suite 300</w:t>
            </w:r>
          </w:p>
        </w:tc>
        <w:tc>
          <w:tcPr>
            <w:tcW w:w="4280" w:type="dxa"/>
            <w:vAlign w:val="bottom"/>
          </w:tcPr>
          <w:p>
            <w:pPr>
              <w:spacing w:after="0"/>
              <w:rPr>
                <w:sz w:val="20"/>
                <w:szCs w:val="20"/>
                <w:color w:val="auto"/>
              </w:rPr>
            </w:pPr>
          </w:p>
        </w:tc>
      </w:tr>
      <w:tr>
        <w:trPr>
          <w:trHeight w:val="157"/>
        </w:trPr>
        <w:tc>
          <w:tcPr>
            <w:tcW w:w="3820" w:type="dxa"/>
            <w:vAlign w:val="bottom"/>
          </w:tcPr>
          <w:p>
            <w:pPr>
              <w:spacing w:after="0"/>
              <w:rPr>
                <w:sz w:val="13"/>
                <w:szCs w:val="13"/>
                <w:color w:val="auto"/>
              </w:rPr>
            </w:pPr>
          </w:p>
        </w:tc>
        <w:tc>
          <w:tcPr>
            <w:tcW w:w="2600" w:type="dxa"/>
            <w:vAlign w:val="bottom"/>
          </w:tcPr>
          <w:p>
            <w:pPr>
              <w:jc w:val="center"/>
              <w:ind w:left="948"/>
              <w:spacing w:after="0" w:line="157" w:lineRule="exact"/>
              <w:rPr>
                <w:sz w:val="20"/>
                <w:szCs w:val="20"/>
                <w:color w:val="auto"/>
              </w:rPr>
            </w:pPr>
            <w:r>
              <w:rPr>
                <w:rFonts w:ascii="Arial" w:cs="Arial" w:eastAsia="Arial" w:hAnsi="Arial"/>
                <w:sz w:val="14"/>
                <w:szCs w:val="14"/>
                <w:b w:val="1"/>
                <w:bCs w:val="1"/>
                <w:color w:val="auto"/>
                <w:w w:val="94"/>
              </w:rPr>
              <w:t>Broomfield, CO 80021</w:t>
            </w:r>
          </w:p>
        </w:tc>
        <w:tc>
          <w:tcPr>
            <w:tcW w:w="54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158"/>
        </w:trPr>
        <w:tc>
          <w:tcPr>
            <w:tcW w:w="3820" w:type="dxa"/>
            <w:vAlign w:val="bottom"/>
          </w:tcPr>
          <w:p>
            <w:pPr>
              <w:spacing w:after="0"/>
              <w:rPr>
                <w:sz w:val="13"/>
                <w:szCs w:val="13"/>
                <w:color w:val="auto"/>
              </w:rPr>
            </w:pPr>
          </w:p>
        </w:tc>
        <w:tc>
          <w:tcPr>
            <w:tcW w:w="3140" w:type="dxa"/>
            <w:vAlign w:val="bottom"/>
            <w:gridSpan w:val="2"/>
          </w:tcPr>
          <w:p>
            <w:pPr>
              <w:jc w:val="center"/>
              <w:ind w:left="428"/>
              <w:spacing w:after="0"/>
              <w:rPr>
                <w:sz w:val="20"/>
                <w:szCs w:val="20"/>
                <w:color w:val="auto"/>
              </w:rPr>
            </w:pPr>
            <w:r>
              <w:rPr>
                <w:rFonts w:ascii="Arial" w:cs="Arial" w:eastAsia="Arial" w:hAnsi="Arial"/>
                <w:sz w:val="13"/>
                <w:szCs w:val="13"/>
                <w:color w:val="auto"/>
                <w:w w:val="89"/>
              </w:rPr>
              <w:t>(Address of principal executive offices)</w:t>
            </w:r>
          </w:p>
        </w:tc>
        <w:tc>
          <w:tcPr>
            <w:tcW w:w="4280" w:type="dxa"/>
            <w:vAlign w:val="bottom"/>
          </w:tcPr>
          <w:p>
            <w:pPr>
              <w:spacing w:after="0"/>
              <w:rPr>
                <w:sz w:val="13"/>
                <w:szCs w:val="13"/>
                <w:color w:val="auto"/>
              </w:rPr>
            </w:pPr>
          </w:p>
        </w:tc>
      </w:tr>
      <w:tr>
        <w:trPr>
          <w:trHeight w:val="192"/>
        </w:trPr>
        <w:tc>
          <w:tcPr>
            <w:tcW w:w="3820" w:type="dxa"/>
            <w:vAlign w:val="bottom"/>
          </w:tcPr>
          <w:p>
            <w:pPr>
              <w:spacing w:after="0"/>
              <w:rPr>
                <w:sz w:val="16"/>
                <w:szCs w:val="16"/>
                <w:color w:val="auto"/>
              </w:rPr>
            </w:pPr>
          </w:p>
        </w:tc>
        <w:tc>
          <w:tcPr>
            <w:tcW w:w="314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w w:val="92"/>
              </w:rPr>
              <w:t>Telephone Number (303) 301-3271</w:t>
            </w:r>
          </w:p>
        </w:tc>
        <w:tc>
          <w:tcPr>
            <w:tcW w:w="4280" w:type="dxa"/>
            <w:vAlign w:val="bottom"/>
          </w:tcPr>
          <w:p>
            <w:pPr>
              <w:spacing w:after="0"/>
              <w:rPr>
                <w:sz w:val="16"/>
                <w:szCs w:val="16"/>
                <w:color w:val="auto"/>
              </w:rPr>
            </w:pPr>
          </w:p>
        </w:tc>
      </w:tr>
      <w:tr>
        <w:trPr>
          <w:trHeight w:val="158"/>
        </w:trPr>
        <w:tc>
          <w:tcPr>
            <w:tcW w:w="3820" w:type="dxa"/>
            <w:vAlign w:val="bottom"/>
          </w:tcPr>
          <w:p>
            <w:pPr>
              <w:spacing w:after="0"/>
              <w:rPr>
                <w:sz w:val="13"/>
                <w:szCs w:val="13"/>
                <w:color w:val="auto"/>
              </w:rPr>
            </w:pPr>
          </w:p>
        </w:tc>
        <w:tc>
          <w:tcPr>
            <w:tcW w:w="3140" w:type="dxa"/>
            <w:vAlign w:val="bottom"/>
            <w:gridSpan w:val="2"/>
          </w:tcPr>
          <w:p>
            <w:pPr>
              <w:jc w:val="center"/>
              <w:ind w:left="408"/>
              <w:spacing w:after="0"/>
              <w:rPr>
                <w:sz w:val="20"/>
                <w:szCs w:val="20"/>
                <w:color w:val="auto"/>
              </w:rPr>
            </w:pPr>
            <w:r>
              <w:rPr>
                <w:rFonts w:ascii="Arial" w:cs="Arial" w:eastAsia="Arial" w:hAnsi="Arial"/>
                <w:sz w:val="13"/>
                <w:szCs w:val="13"/>
                <w:color w:val="auto"/>
                <w:w w:val="87"/>
              </w:rPr>
              <w:t>(Registrant’s telephone number, including area code)</w:t>
            </w:r>
          </w:p>
        </w:tc>
        <w:tc>
          <w:tcPr>
            <w:tcW w:w="4280" w:type="dxa"/>
            <w:vAlign w:val="bottom"/>
          </w:tcPr>
          <w:p>
            <w:pPr>
              <w:spacing w:after="0"/>
              <w:rPr>
                <w:sz w:val="13"/>
                <w:szCs w:val="13"/>
                <w:color w:val="auto"/>
              </w:rPr>
            </w:pPr>
          </w:p>
        </w:tc>
      </w:tr>
      <w:tr>
        <w:trPr>
          <w:trHeight w:val="58"/>
        </w:trPr>
        <w:tc>
          <w:tcPr>
            <w:tcW w:w="3820" w:type="dxa"/>
            <w:vAlign w:val="bottom"/>
            <w:tcBorders>
              <w:bottom w:val="single" w:sz="8" w:color="auto"/>
            </w:tcBorders>
          </w:tcPr>
          <w:p>
            <w:pPr>
              <w:spacing w:after="0"/>
              <w:rPr>
                <w:sz w:val="5"/>
                <w:szCs w:val="5"/>
                <w:color w:val="auto"/>
              </w:rPr>
            </w:pPr>
          </w:p>
        </w:tc>
        <w:tc>
          <w:tcPr>
            <w:tcW w:w="7420" w:type="dxa"/>
            <w:vAlign w:val="bottom"/>
            <w:tcBorders>
              <w:bottom w:val="single" w:sz="8" w:color="auto"/>
            </w:tcBorders>
            <w:gridSpan w:val="3"/>
          </w:tcPr>
          <w:p>
            <w:pPr>
              <w:spacing w:after="0"/>
              <w:rPr>
                <w:sz w:val="5"/>
                <w:szCs w:val="5"/>
                <w:color w:val="auto"/>
              </w:rPr>
            </w:pPr>
          </w:p>
        </w:tc>
      </w:tr>
      <w:tr>
        <w:trPr>
          <w:trHeight w:val="205"/>
        </w:trPr>
        <w:tc>
          <w:tcPr>
            <w:tcW w:w="3820" w:type="dxa"/>
            <w:vAlign w:val="bottom"/>
          </w:tcPr>
          <w:p>
            <w:pPr>
              <w:spacing w:after="0"/>
              <w:rPr>
                <w:sz w:val="17"/>
                <w:szCs w:val="17"/>
                <w:color w:val="auto"/>
              </w:rPr>
            </w:pPr>
          </w:p>
        </w:tc>
        <w:tc>
          <w:tcPr>
            <w:tcW w:w="7420" w:type="dxa"/>
            <w:vAlign w:val="bottom"/>
            <w:gridSpan w:val="3"/>
          </w:tcPr>
          <w:p>
            <w:pPr>
              <w:jc w:val="center"/>
              <w:ind w:right="3734"/>
              <w:spacing w:after="0"/>
              <w:rPr>
                <w:sz w:val="20"/>
                <w:szCs w:val="20"/>
                <w:color w:val="auto"/>
              </w:rPr>
            </w:pPr>
            <w:r>
              <w:rPr>
                <w:rFonts w:ascii="Arial" w:cs="Arial" w:eastAsia="Arial" w:hAnsi="Arial"/>
                <w:sz w:val="13"/>
                <w:szCs w:val="13"/>
                <w:color w:val="auto"/>
                <w:w w:val="87"/>
              </w:rPr>
              <w:t>Securities registered pursuant to Section 12(b) of the Act:</w:t>
            </w:r>
          </w:p>
        </w:tc>
      </w:tr>
      <w:tr>
        <w:trPr>
          <w:trHeight w:val="58"/>
        </w:trPr>
        <w:tc>
          <w:tcPr>
            <w:tcW w:w="38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80" w:type="dxa"/>
            <w:vAlign w:val="bottom"/>
          </w:tcPr>
          <w:p>
            <w:pPr>
              <w:spacing w:after="0"/>
              <w:rPr>
                <w:sz w:val="5"/>
                <w:szCs w:val="5"/>
                <w:color w:val="auto"/>
              </w:rPr>
            </w:pPr>
          </w:p>
        </w:tc>
      </w:tr>
      <w:tr>
        <w:trPr>
          <w:trHeight w:val="175"/>
        </w:trPr>
        <w:tc>
          <w:tcPr>
            <w:tcW w:w="3820" w:type="dxa"/>
            <w:vAlign w:val="bottom"/>
            <w:shd w:val="clear" w:color="auto" w:fill="FFFFFE"/>
          </w:tcPr>
          <w:p>
            <w:pPr>
              <w:jc w:val="center"/>
              <w:ind w:left="374"/>
              <w:spacing w:after="0"/>
              <w:rPr>
                <w:sz w:val="20"/>
                <w:szCs w:val="20"/>
                <w:color w:val="auto"/>
              </w:rPr>
            </w:pPr>
            <w:r>
              <w:rPr>
                <w:rFonts w:ascii="Arial" w:cs="Arial" w:eastAsia="Arial" w:hAnsi="Arial"/>
                <w:sz w:val="14"/>
                <w:szCs w:val="14"/>
                <w:color w:val="auto"/>
                <w:w w:val="96"/>
              </w:rPr>
              <w:t>Title of Class</w:t>
            </w:r>
          </w:p>
        </w:tc>
        <w:tc>
          <w:tcPr>
            <w:tcW w:w="2600" w:type="dxa"/>
            <w:vAlign w:val="bottom"/>
            <w:shd w:val="clear" w:color="auto" w:fill="FFFFFE"/>
          </w:tcPr>
          <w:p>
            <w:pPr>
              <w:jc w:val="center"/>
              <w:ind w:left="868"/>
              <w:spacing w:after="0"/>
              <w:rPr>
                <w:sz w:val="20"/>
                <w:szCs w:val="20"/>
                <w:color w:val="auto"/>
              </w:rPr>
            </w:pPr>
            <w:r>
              <w:rPr>
                <w:rFonts w:ascii="Arial" w:cs="Arial" w:eastAsia="Arial" w:hAnsi="Arial"/>
                <w:sz w:val="14"/>
                <w:szCs w:val="14"/>
                <w:color w:val="auto"/>
                <w:w w:val="95"/>
              </w:rPr>
              <w:t>Trading Symbol</w:t>
            </w:r>
          </w:p>
        </w:tc>
        <w:tc>
          <w:tcPr>
            <w:tcW w:w="540" w:type="dxa"/>
            <w:vAlign w:val="bottom"/>
            <w:shd w:val="clear" w:color="auto" w:fill="FFFFFE"/>
          </w:tcPr>
          <w:p>
            <w:pPr>
              <w:spacing w:after="0"/>
              <w:rPr>
                <w:sz w:val="15"/>
                <w:szCs w:val="15"/>
                <w:color w:val="auto"/>
              </w:rPr>
            </w:pPr>
          </w:p>
        </w:tc>
        <w:tc>
          <w:tcPr>
            <w:tcW w:w="4280" w:type="dxa"/>
            <w:vAlign w:val="bottom"/>
            <w:shd w:val="clear" w:color="auto" w:fill="FFFFFE"/>
          </w:tcPr>
          <w:p>
            <w:pPr>
              <w:ind w:left="780"/>
              <w:spacing w:after="0"/>
              <w:rPr>
                <w:sz w:val="20"/>
                <w:szCs w:val="20"/>
                <w:color w:val="auto"/>
              </w:rPr>
            </w:pPr>
            <w:r>
              <w:rPr>
                <w:rFonts w:ascii="Arial" w:cs="Arial" w:eastAsia="Arial" w:hAnsi="Arial"/>
                <w:sz w:val="14"/>
                <w:szCs w:val="14"/>
                <w:color w:val="auto"/>
              </w:rPr>
              <w:t>Name of Each Exchange on Which Registered</w:t>
            </w:r>
          </w:p>
        </w:tc>
      </w:tr>
      <w:tr>
        <w:trPr>
          <w:trHeight w:val="175"/>
        </w:trPr>
        <w:tc>
          <w:tcPr>
            <w:tcW w:w="3820" w:type="dxa"/>
            <w:vAlign w:val="bottom"/>
            <w:shd w:val="clear" w:color="auto" w:fill="FFFFFE"/>
          </w:tcPr>
          <w:p>
            <w:pPr>
              <w:jc w:val="center"/>
              <w:ind w:left="334"/>
              <w:spacing w:after="0"/>
              <w:rPr>
                <w:sz w:val="20"/>
                <w:szCs w:val="20"/>
                <w:color w:val="auto"/>
              </w:rPr>
            </w:pPr>
            <w:r>
              <w:rPr>
                <w:rFonts w:ascii="Arial" w:cs="Arial" w:eastAsia="Arial" w:hAnsi="Arial"/>
                <w:sz w:val="14"/>
                <w:szCs w:val="14"/>
                <w:color w:val="auto"/>
                <w:w w:val="91"/>
              </w:rPr>
              <w:t>Common stock, par value $0.0001 per share</w:t>
            </w:r>
          </w:p>
        </w:tc>
        <w:tc>
          <w:tcPr>
            <w:tcW w:w="2600" w:type="dxa"/>
            <w:vAlign w:val="bottom"/>
            <w:shd w:val="clear" w:color="auto" w:fill="FFFFFE"/>
          </w:tcPr>
          <w:p>
            <w:pPr>
              <w:jc w:val="center"/>
              <w:ind w:left="868"/>
              <w:spacing w:after="0"/>
              <w:rPr>
                <w:sz w:val="20"/>
                <w:szCs w:val="20"/>
                <w:color w:val="auto"/>
              </w:rPr>
            </w:pPr>
            <w:r>
              <w:rPr>
                <w:rFonts w:ascii="Arial" w:cs="Arial" w:eastAsia="Arial" w:hAnsi="Arial"/>
                <w:sz w:val="14"/>
                <w:szCs w:val="14"/>
                <w:color w:val="auto"/>
                <w:w w:val="96"/>
              </w:rPr>
              <w:t>GOGO</w:t>
            </w:r>
          </w:p>
        </w:tc>
        <w:tc>
          <w:tcPr>
            <w:tcW w:w="540" w:type="dxa"/>
            <w:vAlign w:val="bottom"/>
            <w:shd w:val="clear" w:color="auto" w:fill="FFFFFE"/>
          </w:tcPr>
          <w:p>
            <w:pPr>
              <w:spacing w:after="0"/>
              <w:rPr>
                <w:sz w:val="15"/>
                <w:szCs w:val="15"/>
                <w:color w:val="auto"/>
              </w:rPr>
            </w:pPr>
          </w:p>
        </w:tc>
        <w:tc>
          <w:tcPr>
            <w:tcW w:w="4280" w:type="dxa"/>
            <w:vAlign w:val="bottom"/>
            <w:shd w:val="clear" w:color="auto" w:fill="FFFFFE"/>
          </w:tcPr>
          <w:p>
            <w:pPr>
              <w:ind w:left="1180"/>
              <w:spacing w:after="0"/>
              <w:rPr>
                <w:sz w:val="20"/>
                <w:szCs w:val="20"/>
                <w:color w:val="auto"/>
              </w:rPr>
            </w:pPr>
            <w:r>
              <w:rPr>
                <w:rFonts w:ascii="Arial" w:cs="Arial" w:eastAsia="Arial" w:hAnsi="Arial"/>
                <w:sz w:val="14"/>
                <w:szCs w:val="14"/>
                <w:color w:val="auto"/>
              </w:rPr>
              <w:t>NASDAQ Global Select Market</w:t>
            </w:r>
          </w:p>
        </w:tc>
      </w:tr>
      <w:tr>
        <w:trPr>
          <w:trHeight w:val="175"/>
        </w:trPr>
        <w:tc>
          <w:tcPr>
            <w:tcW w:w="3820" w:type="dxa"/>
            <w:vAlign w:val="bottom"/>
            <w:shd w:val="clear" w:color="auto" w:fill="FFFFFE"/>
          </w:tcPr>
          <w:p>
            <w:pPr>
              <w:jc w:val="center"/>
              <w:ind w:left="374"/>
              <w:spacing w:after="0"/>
              <w:rPr>
                <w:sz w:val="20"/>
                <w:szCs w:val="20"/>
                <w:color w:val="auto"/>
              </w:rPr>
            </w:pPr>
            <w:r>
              <w:rPr>
                <w:rFonts w:ascii="Arial" w:cs="Arial" w:eastAsia="Arial" w:hAnsi="Arial"/>
                <w:sz w:val="14"/>
                <w:szCs w:val="14"/>
                <w:color w:val="auto"/>
                <w:w w:val="91"/>
              </w:rPr>
              <w:t>Preferred Stock Purchase Rights</w:t>
            </w:r>
          </w:p>
        </w:tc>
        <w:tc>
          <w:tcPr>
            <w:tcW w:w="2600" w:type="dxa"/>
            <w:vAlign w:val="bottom"/>
            <w:shd w:val="clear" w:color="auto" w:fill="FFFFFE"/>
          </w:tcPr>
          <w:p>
            <w:pPr>
              <w:jc w:val="center"/>
              <w:ind w:left="908"/>
              <w:spacing w:after="0"/>
              <w:rPr>
                <w:sz w:val="20"/>
                <w:szCs w:val="20"/>
                <w:color w:val="auto"/>
              </w:rPr>
            </w:pPr>
            <w:r>
              <w:rPr>
                <w:rFonts w:ascii="Arial" w:cs="Arial" w:eastAsia="Arial" w:hAnsi="Arial"/>
                <w:sz w:val="14"/>
                <w:szCs w:val="14"/>
                <w:color w:val="auto"/>
                <w:w w:val="96"/>
              </w:rPr>
              <w:t>GOGO</w:t>
            </w:r>
          </w:p>
        </w:tc>
        <w:tc>
          <w:tcPr>
            <w:tcW w:w="540" w:type="dxa"/>
            <w:vAlign w:val="bottom"/>
            <w:shd w:val="clear" w:color="auto" w:fill="FFFFFE"/>
          </w:tcPr>
          <w:p>
            <w:pPr>
              <w:spacing w:after="0"/>
              <w:rPr>
                <w:sz w:val="15"/>
                <w:szCs w:val="15"/>
                <w:color w:val="auto"/>
              </w:rPr>
            </w:pPr>
          </w:p>
        </w:tc>
        <w:tc>
          <w:tcPr>
            <w:tcW w:w="4280" w:type="dxa"/>
            <w:vAlign w:val="bottom"/>
            <w:shd w:val="clear" w:color="auto" w:fill="FFFFFE"/>
          </w:tcPr>
          <w:p>
            <w:pPr>
              <w:ind w:left="1200"/>
              <w:spacing w:after="0"/>
              <w:rPr>
                <w:sz w:val="20"/>
                <w:szCs w:val="20"/>
                <w:color w:val="auto"/>
              </w:rPr>
            </w:pPr>
            <w:r>
              <w:rPr>
                <w:rFonts w:ascii="Arial" w:cs="Arial" w:eastAsia="Arial" w:hAnsi="Arial"/>
                <w:sz w:val="14"/>
                <w:szCs w:val="14"/>
                <w:color w:val="auto"/>
              </w:rPr>
              <w:t>NASDAQ Global Select Market</w:t>
            </w:r>
          </w:p>
        </w:tc>
      </w:tr>
      <w:tr>
        <w:trPr>
          <w:trHeight w:val="227"/>
        </w:trPr>
        <w:tc>
          <w:tcPr>
            <w:tcW w:w="6420" w:type="dxa"/>
            <w:vAlign w:val="bottom"/>
            <w:gridSpan w:val="2"/>
          </w:tcPr>
          <w:p>
            <w:pPr>
              <w:ind w:left="380"/>
              <w:spacing w:after="0"/>
              <w:rPr>
                <w:sz w:val="20"/>
                <w:szCs w:val="20"/>
                <w:color w:val="auto"/>
              </w:rPr>
            </w:pPr>
            <w:r>
              <w:rPr>
                <w:rFonts w:ascii="Arial" w:cs="Arial" w:eastAsia="Arial" w:hAnsi="Arial"/>
                <w:sz w:val="13"/>
                <w:szCs w:val="13"/>
                <w:color w:val="auto"/>
                <w:w w:val="89"/>
              </w:rPr>
              <w:t>Indicate by check mark if the registrant is a well-known seasoned issuer, as defined in Rule 405 of the Securities Act.</w:t>
            </w:r>
          </w:p>
        </w:tc>
        <w:tc>
          <w:tcPr>
            <w:tcW w:w="54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4280" w:type="dxa"/>
            <w:vAlign w:val="bottom"/>
          </w:tcPr>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02"/>
        </w:trPr>
        <w:tc>
          <w:tcPr>
            <w:tcW w:w="6420" w:type="dxa"/>
            <w:vAlign w:val="bottom"/>
            <w:gridSpan w:val="2"/>
          </w:tcPr>
          <w:p>
            <w:pPr>
              <w:ind w:left="380"/>
              <w:spacing w:after="0"/>
              <w:rPr>
                <w:sz w:val="20"/>
                <w:szCs w:val="20"/>
                <w:color w:val="auto"/>
              </w:rPr>
            </w:pPr>
            <w:r>
              <w:rPr>
                <w:rFonts w:ascii="Arial" w:cs="Arial" w:eastAsia="Arial" w:hAnsi="Arial"/>
                <w:sz w:val="13"/>
                <w:szCs w:val="13"/>
                <w:color w:val="auto"/>
                <w:w w:val="88"/>
              </w:rPr>
              <w:t>Indicate by check mark if the registrant is not required to file reports pursuant to Section 13 or Section 15(d) of the Act.</w:t>
            </w:r>
          </w:p>
        </w:tc>
        <w:tc>
          <w:tcPr>
            <w:tcW w:w="540" w:type="dxa"/>
            <w:vAlign w:val="bottom"/>
          </w:tcPr>
          <w:p>
            <w:pPr>
              <w:ind w:left="140"/>
              <w:spacing w:after="0" w:line="150" w:lineRule="exact"/>
              <w:rPr>
                <w:sz w:val="20"/>
                <w:szCs w:val="20"/>
                <w:color w:val="auto"/>
              </w:rPr>
            </w:pPr>
            <w:r>
              <w:rPr>
                <w:rFonts w:ascii="Arial" w:cs="Arial" w:eastAsia="Arial" w:hAnsi="Arial"/>
                <w:sz w:val="13"/>
                <w:szCs w:val="13"/>
                <w:color w:val="auto"/>
                <w:w w:val="97"/>
              </w:rPr>
              <w:t xml:space="preserve">Yes </w:t>
            </w:r>
            <w:r>
              <w:rPr>
                <w:rFonts w:ascii="MS PGothic" w:cs="MS PGothic" w:eastAsia="MS PGothic" w:hAnsi="MS PGothic"/>
                <w:sz w:val="13"/>
                <w:szCs w:val="13"/>
                <w:color w:val="auto"/>
                <w:w w:val="97"/>
              </w:rPr>
              <w:t>☐</w:t>
            </w:r>
          </w:p>
        </w:tc>
        <w:tc>
          <w:tcPr>
            <w:tcW w:w="4280" w:type="dxa"/>
            <w:vAlign w:val="bottom"/>
          </w:tcPr>
          <w:p>
            <w:pPr>
              <w:ind w:left="10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15" w:lineRule="exact"/>
        <w:rPr>
          <w:sz w:val="24"/>
          <w:szCs w:val="24"/>
          <w:color w:val="auto"/>
        </w:rPr>
      </w:pPr>
    </w:p>
    <w:p>
      <w:pPr>
        <w:jc w:val="both"/>
        <w:ind w:firstLine="374"/>
        <w:spacing w:after="0" w:line="16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 w:lineRule="exact"/>
        <w:rPr>
          <w:sz w:val="24"/>
          <w:szCs w:val="24"/>
          <w:color w:val="auto"/>
        </w:rPr>
      </w:pPr>
    </w:p>
    <w:p>
      <w:pPr>
        <w:ind w:right="40" w:firstLine="374"/>
        <w:spacing w:after="0" w:line="16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 w:lineRule="exact"/>
        <w:rPr>
          <w:sz w:val="24"/>
          <w:szCs w:val="24"/>
          <w:color w:val="auto"/>
        </w:rPr>
      </w:pPr>
    </w:p>
    <w:p>
      <w:pPr>
        <w:ind w:right="60" w:firstLine="374"/>
        <w:spacing w:after="0" w:line="23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920" w:type="dxa"/>
            <w:vAlign w:val="bottom"/>
          </w:tcPr>
          <w:p>
            <w:pPr>
              <w:ind w:left="36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440"/>
              <w:spacing w:after="0"/>
              <w:rPr>
                <w:sz w:val="20"/>
                <w:szCs w:val="20"/>
                <w:color w:val="auto"/>
              </w:rPr>
            </w:pPr>
            <w:r>
              <w:rPr>
                <w:rFonts w:ascii="Arial" w:cs="Arial" w:eastAsia="Arial" w:hAnsi="Arial"/>
                <w:sz w:val="13"/>
                <w:szCs w:val="13"/>
                <w:color w:val="auto"/>
              </w:rPr>
              <w:t>Accelerated filer</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500" w:type="dxa"/>
            <w:vAlign w:val="bottom"/>
          </w:tcPr>
          <w:p>
            <w:pPr>
              <w:spacing w:after="0"/>
              <w:rPr>
                <w:sz w:val="20"/>
                <w:szCs w:val="20"/>
                <w:color w:val="auto"/>
              </w:rPr>
            </w:pPr>
            <w:r>
              <w:rPr>
                <w:rFonts w:ascii="Arial" w:cs="Arial" w:eastAsia="Arial" w:hAnsi="Arial"/>
                <w:sz w:val="13"/>
                <w:szCs w:val="13"/>
                <w:color w:val="auto"/>
              </w:rPr>
              <w:t>Non-accelerated filer</w:t>
            </w:r>
          </w:p>
        </w:tc>
        <w:tc>
          <w:tcPr>
            <w:tcW w:w="3920" w:type="dxa"/>
            <w:vAlign w:val="bottom"/>
          </w:tcPr>
          <w:p>
            <w:pPr>
              <w:ind w:left="36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440"/>
              <w:spacing w:after="0"/>
              <w:rPr>
                <w:sz w:val="20"/>
                <w:szCs w:val="20"/>
                <w:color w:val="auto"/>
              </w:rPr>
            </w:pPr>
            <w:r>
              <w:rPr>
                <w:rFonts w:ascii="Arial" w:cs="Arial" w:eastAsia="Arial" w:hAnsi="Arial"/>
                <w:sz w:val="13"/>
                <w:szCs w:val="13"/>
                <w:color w:val="auto"/>
              </w:rPr>
              <w:t>Smaller reporting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5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140" w:type="dxa"/>
            <w:vAlign w:val="bottom"/>
          </w:tcPr>
          <w:p>
            <w:pPr>
              <w:ind w:left="3440"/>
              <w:spacing w:after="0"/>
              <w:rPr>
                <w:sz w:val="20"/>
                <w:szCs w:val="20"/>
                <w:color w:val="auto"/>
              </w:rPr>
            </w:pPr>
            <w:r>
              <w:rPr>
                <w:rFonts w:ascii="Arial" w:cs="Arial" w:eastAsia="Arial" w:hAnsi="Arial"/>
                <w:sz w:val="13"/>
                <w:szCs w:val="13"/>
                <w:color w:val="auto"/>
              </w:rPr>
              <w:t>Emerging growth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8" w:lineRule="exact"/>
        <w:rPr>
          <w:sz w:val="24"/>
          <w:szCs w:val="24"/>
          <w:color w:val="auto"/>
        </w:rPr>
      </w:pPr>
    </w:p>
    <w:p>
      <w:pPr>
        <w:ind w:right="80" w:firstLine="374"/>
        <w:spacing w:after="0" w:line="16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 w:lineRule="exact"/>
        <w:rPr>
          <w:sz w:val="24"/>
          <w:szCs w:val="24"/>
          <w:color w:val="auto"/>
        </w:rPr>
      </w:pPr>
    </w:p>
    <w:p>
      <w:pPr>
        <w:ind w:right="400" w:firstLine="374"/>
        <w:spacing w:after="0" w:line="16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 w:lineRule="exact"/>
        <w:rPr>
          <w:sz w:val="24"/>
          <w:szCs w:val="24"/>
          <w:color w:val="auto"/>
        </w:rPr>
      </w:pPr>
    </w:p>
    <w:p>
      <w:pPr>
        <w:ind w:right="240" w:firstLine="374"/>
        <w:spacing w:after="0" w:line="161"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6" w:lineRule="exact"/>
        <w:rPr>
          <w:sz w:val="24"/>
          <w:szCs w:val="24"/>
          <w:color w:val="auto"/>
        </w:rPr>
      </w:pPr>
    </w:p>
    <w:p>
      <w:pPr>
        <w:ind w:right="320" w:firstLine="374"/>
        <w:spacing w:after="0" w:line="161"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5" w:lineRule="exact"/>
        <w:rPr>
          <w:sz w:val="24"/>
          <w:szCs w:val="24"/>
          <w:color w:val="auto"/>
        </w:rPr>
      </w:pPr>
    </w:p>
    <w:p>
      <w:pPr>
        <w:ind w:left="380"/>
        <w:spacing w:after="0" w:line="150" w:lineRule="exact"/>
        <w:tabs>
          <w:tab w:leader="none" w:pos="6240" w:val="left"/>
          <w:tab w:leader="none" w:pos="674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64" w:lineRule="exact"/>
        <w:rPr>
          <w:sz w:val="24"/>
          <w:szCs w:val="24"/>
          <w:color w:val="auto"/>
        </w:rPr>
      </w:pPr>
    </w:p>
    <w:p>
      <w:pPr>
        <w:ind w:right="160" w:firstLine="374"/>
        <w:spacing w:after="0" w:line="235" w:lineRule="auto"/>
        <w:rPr>
          <w:sz w:val="20"/>
          <w:szCs w:val="20"/>
          <w:color w:val="auto"/>
        </w:rPr>
      </w:pPr>
      <w:r>
        <w:rPr>
          <w:rFonts w:ascii="Arial" w:cs="Arial" w:eastAsia="Arial" w:hAnsi="Arial"/>
          <w:sz w:val="13"/>
          <w:szCs w:val="13"/>
          <w:color w:val="auto"/>
        </w:rPr>
        <w:t>The aggregate market value of the voting and non-voting stock held by non-affiliates of the registrant as of June 30, 2022, the last business day of the registrant's most recently completed second fiscal quarter, was $1,054,416,152 based upon the closing price reported for such date on the NASDAQ Global Select Market.</w:t>
      </w:r>
    </w:p>
    <w:p>
      <w:pPr>
        <w:spacing w:after="0" w:line="31" w:lineRule="exact"/>
        <w:rPr>
          <w:sz w:val="24"/>
          <w:szCs w:val="24"/>
          <w:color w:val="auto"/>
        </w:rPr>
      </w:pPr>
    </w:p>
    <w:p>
      <w:pPr>
        <w:ind w:left="380"/>
        <w:spacing w:after="0"/>
        <w:rPr>
          <w:sz w:val="20"/>
          <w:szCs w:val="20"/>
          <w:color w:val="auto"/>
        </w:rPr>
      </w:pPr>
      <w:r>
        <w:rPr>
          <w:rFonts w:ascii="Arial" w:cs="Arial" w:eastAsia="Arial" w:hAnsi="Arial"/>
          <w:sz w:val="13"/>
          <w:szCs w:val="13"/>
          <w:color w:val="auto"/>
        </w:rPr>
        <w:t>As of February 24, 2023, 127,910,134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706120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13"/>
          <w:szCs w:val="13"/>
          <w:b w:val="1"/>
          <w:bCs w:val="1"/>
          <w:color w:val="auto"/>
        </w:rPr>
        <w:t>Documents Incorporated By Reference</w:t>
      </w:r>
    </w:p>
    <w:p>
      <w:pPr>
        <w:spacing w:after="0" w:line="43" w:lineRule="exact"/>
        <w:rPr>
          <w:sz w:val="20"/>
          <w:szCs w:val="20"/>
          <w:color w:val="auto"/>
        </w:rPr>
      </w:pPr>
    </w:p>
    <w:p>
      <w:pPr>
        <w:ind w:firstLine="374"/>
        <w:spacing w:after="0" w:line="235" w:lineRule="auto"/>
        <w:rPr>
          <w:sz w:val="20"/>
          <w:szCs w:val="20"/>
          <w:color w:val="auto"/>
        </w:rPr>
      </w:pPr>
      <w:r>
        <w:rPr>
          <w:rFonts w:ascii="Arial" w:cs="Arial" w:eastAsia="Arial" w:hAnsi="Arial"/>
          <w:sz w:val="13"/>
          <w:szCs w:val="13"/>
          <w:color w:val="auto"/>
        </w:rPr>
        <w:t>Portions of the registrant’s definitive Proxy Statement for its Annual Meeting of Stockholders scheduled to be held June 6, 2023 are incorporated by reference into Part III of this Form 10-K. Such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91"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4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w w:val="91"/>
              </w:rPr>
              <w:t>Gogo Inc.</w:t>
            </w:r>
          </w:p>
        </w:tc>
        <w:tc>
          <w:tcPr>
            <w:tcW w:w="940" w:type="dxa"/>
            <w:vAlign w:val="bottom"/>
          </w:tcPr>
          <w:p>
            <w:pPr>
              <w:spacing w:after="0"/>
              <w:rPr>
                <w:sz w:val="20"/>
                <w:szCs w:val="20"/>
                <w:color w:val="auto"/>
              </w:rPr>
            </w:pPr>
          </w:p>
        </w:tc>
      </w:tr>
      <w:tr>
        <w:trPr>
          <w:trHeight w:val="431"/>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7"/>
          </w:tcPr>
          <w:p>
            <w:pPr>
              <w:jc w:val="center"/>
              <w:ind w:right="436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4"/>
                <w:szCs w:val="24"/>
                <w:color w:val="auto"/>
              </w:rPr>
            </w:pPr>
          </w:p>
        </w:tc>
      </w:tr>
      <w:tr>
        <w:trPr>
          <w:trHeight w:val="452"/>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Page</w:t>
            </w:r>
          </w:p>
        </w:tc>
      </w:tr>
      <w:tr>
        <w:trPr>
          <w:trHeight w:val="229"/>
        </w:trPr>
        <w:tc>
          <w:tcPr>
            <w:tcW w:w="9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2"/>
        </w:trPr>
        <w:tc>
          <w:tcPr>
            <w:tcW w:w="96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320" w:type="dxa"/>
            <w:vAlign w:val="bottom"/>
            <w:gridSpan w:val="21"/>
          </w:tcPr>
          <w:p>
            <w:pPr>
              <w:spacing w:after="0" w:line="202" w:lineRule="exact"/>
              <w:rPr>
                <w:sz w:val="20"/>
                <w:szCs w:val="20"/>
                <w:color w:val="auto"/>
              </w:rPr>
            </w:pPr>
            <w:r>
              <w:rPr>
                <w:rFonts w:ascii="Arial" w:cs="Arial" w:eastAsia="Arial" w:hAnsi="Arial"/>
                <w:sz w:val="18"/>
                <w:szCs w:val="18"/>
                <w:color w:val="0000FF"/>
              </w:rPr>
              <w:t>Business</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3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1B.</w:t>
            </w:r>
          </w:p>
        </w:tc>
        <w:tc>
          <w:tcPr>
            <w:tcW w:w="932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21"/>
          </w:tcPr>
          <w:p>
            <w:pPr>
              <w:spacing w:after="0"/>
              <w:rPr>
                <w:sz w:val="20"/>
                <w:szCs w:val="20"/>
                <w:color w:val="auto"/>
              </w:rPr>
            </w:pPr>
            <w:r>
              <w:rPr>
                <w:rFonts w:ascii="Arial" w:cs="Arial" w:eastAsia="Arial" w:hAnsi="Arial"/>
                <w:sz w:val="18"/>
                <w:szCs w:val="18"/>
                <w:color w:val="0000FF"/>
              </w:rPr>
              <w:t>Properties</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32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32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2"/>
        </w:trPr>
        <w:tc>
          <w:tcPr>
            <w:tcW w:w="960" w:type="dxa"/>
            <w:vAlign w:val="bottom"/>
          </w:tcPr>
          <w:p>
            <w:pPr>
              <w:spacing w:after="0" w:line="202" w:lineRule="exact"/>
              <w:rPr>
                <w:sz w:val="20"/>
                <w:szCs w:val="20"/>
                <w:color w:val="auto"/>
              </w:rPr>
            </w:pPr>
            <w:r>
              <w:rPr>
                <w:rFonts w:ascii="Arial" w:cs="Arial" w:eastAsia="Arial" w:hAnsi="Arial"/>
                <w:sz w:val="18"/>
                <w:szCs w:val="18"/>
                <w:color w:val="auto"/>
              </w:rPr>
              <w:t>Item 5.</w:t>
            </w:r>
          </w:p>
        </w:tc>
        <w:tc>
          <w:tcPr>
            <w:tcW w:w="9320" w:type="dxa"/>
            <w:vAlign w:val="bottom"/>
            <w:gridSpan w:val="21"/>
          </w:tcPr>
          <w:p>
            <w:pPr>
              <w:spacing w:after="0" w:line="202"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6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3"/>
              </w:rPr>
              <w:t>Reserved</w:t>
            </w:r>
          </w:p>
        </w:tc>
        <w:tc>
          <w:tcPr>
            <w:tcW w:w="80" w:type="dxa"/>
            <w:vAlign w:val="bottom"/>
            <w:tcBorders>
              <w:top w:val="single" w:sz="8" w:color="0000FF"/>
              <w:bottom w:val="single" w:sz="8" w:color="0000EE"/>
            </w:tcBorders>
          </w:tcPr>
          <w:p>
            <w:pPr>
              <w:spacing w:after="0"/>
              <w:rPr>
                <w:sz w:val="19"/>
                <w:szCs w:val="19"/>
                <w:color w:val="auto"/>
              </w:rPr>
            </w:pPr>
          </w:p>
        </w:tc>
        <w:tc>
          <w:tcPr>
            <w:tcW w:w="7300" w:type="dxa"/>
            <w:vAlign w:val="bottom"/>
            <w:tcBorders>
              <w:top w:val="single" w:sz="8" w:color="0000FF"/>
            </w:tcBorders>
            <w:gridSpan w:val="17"/>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932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7A.</w:t>
            </w:r>
          </w:p>
        </w:tc>
        <w:tc>
          <w:tcPr>
            <w:tcW w:w="932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9320" w:type="dxa"/>
            <w:vAlign w:val="bottom"/>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9320" w:type="dxa"/>
            <w:vAlign w:val="bottom"/>
            <w:gridSpan w:val="21"/>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9A.</w:t>
            </w:r>
          </w:p>
        </w:tc>
        <w:tc>
          <w:tcPr>
            <w:tcW w:w="932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9B.</w:t>
            </w:r>
          </w:p>
        </w:tc>
        <w:tc>
          <w:tcPr>
            <w:tcW w:w="932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9C.</w:t>
            </w:r>
          </w:p>
        </w:tc>
        <w:tc>
          <w:tcPr>
            <w:tcW w:w="9320" w:type="dxa"/>
            <w:vAlign w:val="bottom"/>
            <w:gridSpan w:val="21"/>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2"/>
        </w:trPr>
        <w:tc>
          <w:tcPr>
            <w:tcW w:w="960" w:type="dxa"/>
            <w:vAlign w:val="bottom"/>
          </w:tcPr>
          <w:p>
            <w:pPr>
              <w:spacing w:after="0" w:line="202" w:lineRule="exact"/>
              <w:rPr>
                <w:sz w:val="20"/>
                <w:szCs w:val="20"/>
                <w:color w:val="auto"/>
              </w:rPr>
            </w:pPr>
            <w:r>
              <w:rPr>
                <w:rFonts w:ascii="Arial" w:cs="Arial" w:eastAsia="Arial" w:hAnsi="Arial"/>
                <w:sz w:val="18"/>
                <w:szCs w:val="18"/>
                <w:color w:val="auto"/>
              </w:rPr>
              <w:t>Item 10.</w:t>
            </w:r>
          </w:p>
        </w:tc>
        <w:tc>
          <w:tcPr>
            <w:tcW w:w="9320" w:type="dxa"/>
            <w:vAlign w:val="bottom"/>
            <w:gridSpan w:val="21"/>
          </w:tcPr>
          <w:p>
            <w:pPr>
              <w:spacing w:after="0" w:line="202" w:lineRule="exact"/>
              <w:rPr>
                <w:sz w:val="20"/>
                <w:szCs w:val="20"/>
                <w:color w:val="auto"/>
              </w:rPr>
            </w:pPr>
            <w:r>
              <w:rPr>
                <w:rFonts w:ascii="Arial" w:cs="Arial" w:eastAsia="Arial" w:hAnsi="Arial"/>
                <w:sz w:val="18"/>
                <w:szCs w:val="18"/>
                <w:color w:val="0000FF"/>
              </w:rPr>
              <w:t>Directors, Executive Officers and Corporate Governance</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11.</w:t>
            </w:r>
          </w:p>
        </w:tc>
        <w:tc>
          <w:tcPr>
            <w:tcW w:w="9320" w:type="dxa"/>
            <w:vAlign w:val="bottom"/>
            <w:gridSpan w:val="21"/>
          </w:tcPr>
          <w:p>
            <w:pPr>
              <w:spacing w:after="0"/>
              <w:rPr>
                <w:sz w:val="20"/>
                <w:szCs w:val="20"/>
                <w:color w:val="auto"/>
              </w:rPr>
            </w:pPr>
            <w:r>
              <w:rPr>
                <w:rFonts w:ascii="Arial" w:cs="Arial" w:eastAsia="Arial" w:hAnsi="Arial"/>
                <w:sz w:val="18"/>
                <w:szCs w:val="18"/>
                <w:color w:val="0000FF"/>
              </w:rPr>
              <w:t>Executive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12.</w:t>
            </w:r>
          </w:p>
        </w:tc>
        <w:tc>
          <w:tcPr>
            <w:tcW w:w="932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13.</w:t>
            </w:r>
          </w:p>
        </w:tc>
        <w:tc>
          <w:tcPr>
            <w:tcW w:w="9320" w:type="dxa"/>
            <w:vAlign w:val="bottom"/>
            <w:gridSpan w:val="21"/>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14.</w:t>
            </w:r>
          </w:p>
        </w:tc>
        <w:tc>
          <w:tcPr>
            <w:tcW w:w="9320" w:type="dxa"/>
            <w:vAlign w:val="bottom"/>
            <w:gridSpan w:val="21"/>
          </w:tcPr>
          <w:p>
            <w:pPr>
              <w:spacing w:after="0"/>
              <w:rPr>
                <w:sz w:val="20"/>
                <w:szCs w:val="20"/>
                <w:color w:val="auto"/>
              </w:rPr>
            </w:pPr>
            <w:r>
              <w:rPr>
                <w:rFonts w:ascii="Arial" w:cs="Arial" w:eastAsia="Arial" w:hAnsi="Arial"/>
                <w:sz w:val="18"/>
                <w:szCs w:val="18"/>
                <w:color w:val="0000FF"/>
              </w:rPr>
              <w:t>Principal Accounting Fees and Services</w:t>
            </w: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2"/>
        </w:trPr>
        <w:tc>
          <w:tcPr>
            <w:tcW w:w="960" w:type="dxa"/>
            <w:vAlign w:val="bottom"/>
          </w:tcPr>
          <w:p>
            <w:pPr>
              <w:spacing w:after="0" w:line="202" w:lineRule="exact"/>
              <w:rPr>
                <w:sz w:val="20"/>
                <w:szCs w:val="20"/>
                <w:color w:val="auto"/>
              </w:rPr>
            </w:pPr>
            <w:r>
              <w:rPr>
                <w:rFonts w:ascii="Arial" w:cs="Arial" w:eastAsia="Arial" w:hAnsi="Arial"/>
                <w:sz w:val="18"/>
                <w:szCs w:val="18"/>
                <w:color w:val="auto"/>
              </w:rPr>
              <w:t>Item 15.</w:t>
            </w:r>
          </w:p>
        </w:tc>
        <w:tc>
          <w:tcPr>
            <w:tcW w:w="9320" w:type="dxa"/>
            <w:vAlign w:val="bottom"/>
            <w:gridSpan w:val="21"/>
          </w:tcPr>
          <w:p>
            <w:pPr>
              <w:spacing w:after="0" w:line="202" w:lineRule="exact"/>
              <w:rPr>
                <w:sz w:val="20"/>
                <w:szCs w:val="20"/>
                <w:color w:val="auto"/>
              </w:rPr>
            </w:pPr>
            <w:r>
              <w:rPr>
                <w:rFonts w:ascii="Arial" w:cs="Arial" w:eastAsia="Arial" w:hAnsi="Arial"/>
                <w:sz w:val="18"/>
                <w:szCs w:val="18"/>
                <w:color w:val="0000FF"/>
              </w:rPr>
              <w:t>Exhibits, Financial Statement Schedules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gridSpan w:val="6"/>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16.</w:t>
            </w:r>
          </w:p>
        </w:tc>
        <w:tc>
          <w:tcPr>
            <w:tcW w:w="9320" w:type="dxa"/>
            <w:vAlign w:val="bottom"/>
            <w:gridSpan w:val="21"/>
          </w:tcPr>
          <w:p>
            <w:pPr>
              <w:spacing w:after="0"/>
              <w:rPr>
                <w:sz w:val="20"/>
                <w:szCs w:val="20"/>
                <w:color w:val="auto"/>
              </w:rPr>
            </w:pPr>
            <w:r>
              <w:rPr>
                <w:rFonts w:ascii="Arial" w:cs="Arial" w:eastAsia="Arial" w:hAnsi="Arial"/>
                <w:sz w:val="18"/>
                <w:szCs w:val="18"/>
                <w:color w:val="0000FF"/>
              </w:rPr>
              <w:t>Form 10-K Summary</w:t>
            </w: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53"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INTRODUCTORY NOTE</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i w:val="1"/>
          <w:iCs w:val="1"/>
          <w:color w:val="auto"/>
        </w:rPr>
        <w:t>Unless the context otherwise indicates or requires, as used in this Annual Report on Form 10-K for the fiscal year ended December 31, 2022, references to: (i) “we,” “us,” “our,” “Gogo,” or the “Company” refer to Gogo Inc. and its directly and indirectly owned subsidiaries as a combined entity, except where otherwise stated or where it is clear that the term means only Gogo Inc. exclusive of its subsidiaries; and (ii) “fiscal,” when used in reference to any twelve-month period ended December 31, refers to our fiscal year ended December 31. Unless otherwise indicated, information contained in this Annual Report on Form 10-K is as of December 31, 2022. We have made rounding adjustments to reach some of the figures included in this Annual Report on Form 10-K and, unless otherwise indicated, percentages presented in this Annual Report on Form 10-K are approximate.</w:t>
      </w:r>
    </w:p>
    <w:p>
      <w:pPr>
        <w:spacing w:after="0" w:line="55"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i w:val="1"/>
          <w:iCs w:val="1"/>
          <w:color w:val="auto"/>
        </w:rPr>
        <w:t>On December 1, 2020, we completed the previously announced sale of our commercial aviation (“CA”) business to a subsidiary of Intelsat Jackson Holdings S.A. (“Intelsat”) for a purchase price of $400.0 million in cash, subject to certain adjustments (the “Transaction”). As a result, all periods presented in this Annual Report on Form 10-K have been conformed to present the CA business as discontinued operations.</w:t>
      </w:r>
    </w:p>
    <w:p>
      <w:pPr>
        <w:spacing w:after="0" w:line="56"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i w:val="1"/>
          <w:iCs w:val="1"/>
          <w:color w:val="auto"/>
        </w:rPr>
        <w:t>Upon the closing of the Transaction, we and Intelsat entered into a network sharing agreement (the “ATG Network Sharing Agreement”), pursuant to which we provide certain in-flight connectivity services on our ATG network to Intelsat, subject to certain revenue sharing obligations, and pursuant to which Intelsat has exclusive commercial aviation access to the ATG network in North America, subject to certain revenue guarantees.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Annual Report on Form 10-K. Forward-looking statements are based on current expectations and assumptions that are subject to risks and uncertainties that may cause actual results to differ materially. We describe risks and uncertainties that could cause actual results and events to differ materially under “Risk Factors,” “Quantitative and Qualitative Disclosures about Market Risk,” and “Management’s Discussion and Analysis of Financial Condition and Results of Operations” in this report. We undertake no obligation to update or revise publicly any forward-looking statements, whether because of new information, future events, or otherwise.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52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Risks Related to Our Business</w:t>
      </w:r>
    </w:p>
    <w:p>
      <w:pPr>
        <w:spacing w:after="0" w:line="117"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generate revenue from the provision of our connectivity services;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our key OEMs and dealers for equipment sales;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for equipment components and services;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supply chain and logistics issues and increasing inflation;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business outside of the United States;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train and retain highly skilled employees;</w:t>
      </w:r>
    </w:p>
    <w:p>
      <w:pPr>
        <w:spacing w:after="0" w:line="116" w:lineRule="exact"/>
        <w:rPr>
          <w:rFonts w:ascii="Arial" w:cs="Arial" w:eastAsia="Arial" w:hAnsi="Arial"/>
          <w:sz w:val="18"/>
          <w:szCs w:val="18"/>
          <w:color w:val="auto"/>
        </w:rPr>
      </w:pPr>
    </w:p>
    <w:p>
      <w:pPr>
        <w:ind w:left="1020" w:right="30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pandemics or other outbreaks of contagious diseases, including the COVID-19 pandemic, and the measures implemented to combat them;</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fully utilize portions of our deferred tax assets;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increased attention to climate change, ESG matters and conservation measures;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evaluate or pursue strategic opportunities.</w:t>
      </w:r>
    </w:p>
    <w:p>
      <w:pPr>
        <w:spacing w:after="0" w:line="200" w:lineRule="exact"/>
        <w:rPr>
          <w:sz w:val="20"/>
          <w:szCs w:val="20"/>
          <w:color w:val="auto"/>
        </w:rPr>
      </w:pPr>
    </w:p>
    <w:p>
      <w:pPr>
        <w:spacing w:after="0" w:line="240" w:lineRule="exact"/>
        <w:rPr>
          <w:sz w:val="20"/>
          <w:szCs w:val="20"/>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deploy Gogo 5G, Global Broadband or other next generation technologies;</w:t>
      </w:r>
    </w:p>
    <w:p>
      <w:pPr>
        <w:spacing w:after="0" w:line="116" w:lineRule="exact"/>
        <w:rPr>
          <w:rFonts w:ascii="Arial" w:cs="Arial" w:eastAsia="Arial" w:hAnsi="Arial"/>
          <w:sz w:val="18"/>
          <w:szCs w:val="18"/>
          <w:color w:val="auto"/>
        </w:rPr>
      </w:pPr>
    </w:p>
    <w:p>
      <w:pPr>
        <w:ind w:left="1020" w:right="20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rights to use our licensed 3Mhz of ATG spectrum in the United States and obtain rights to additional spectrum if needed;</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service interruptions or delays, technology failures, equipment damage or system disruptions or failures;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assertions by third parties of infringement, misappropriation or other violations;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innovate and provide products and services;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our use of open-source software;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equipment failure or material defects or errors in our software.</w:t>
      </w:r>
    </w:p>
    <w:p>
      <w:pPr>
        <w:spacing w:after="0" w:line="200" w:lineRule="exact"/>
        <w:rPr>
          <w:sz w:val="20"/>
          <w:szCs w:val="20"/>
          <w:color w:val="auto"/>
        </w:rPr>
      </w:pPr>
    </w:p>
    <w:p>
      <w:pPr>
        <w:spacing w:after="0" w:line="240" w:lineRule="exact"/>
        <w:rPr>
          <w:sz w:val="20"/>
          <w:szCs w:val="20"/>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applicable foreign ownership limitations;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government regulation of the internet and conflict minerals;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possession and use of personal information;</w:t>
      </w:r>
    </w:p>
    <w:p>
      <w:pPr>
        <w:spacing w:after="0" w:line="116" w:lineRule="exact"/>
        <w:rPr>
          <w:rFonts w:ascii="Arial" w:cs="Arial" w:eastAsia="Arial" w:hAnsi="Arial"/>
          <w:sz w:val="18"/>
          <w:szCs w:val="18"/>
          <w:color w:val="auto"/>
        </w:rPr>
      </w:pPr>
    </w:p>
    <w:p>
      <w:pPr>
        <w:ind w:left="1020" w:right="340" w:hanging="504"/>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participation in the Federal Communications Commission’s (“FCC”) Reimbursement Program, should we decide to participate;</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anti-bribery, anti-corruption and anti-money laundering laws;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of expenses, liabilities or business disruptions resulting from litigation;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global climate change and legal, regulatory or market responses to it.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i w:val="1"/>
          <w:iCs w:val="1"/>
          <w:color w:val="auto"/>
        </w:rPr>
        <w:t>Risks Related to Our Indebtedness</w:t>
      </w:r>
    </w:p>
    <w:p>
      <w:pPr>
        <w:spacing w:after="0" w:line="117" w:lineRule="exact"/>
        <w:rPr>
          <w:sz w:val="20"/>
          <w:szCs w:val="20"/>
          <w:color w:val="auto"/>
        </w:rPr>
      </w:pPr>
    </w:p>
    <w:p>
      <w:pPr>
        <w:ind w:left="504" w:hanging="503"/>
        <w:spacing w:after="0"/>
        <w:tabs>
          <w:tab w:leader="none" w:pos="5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our substantial indebtedness;</w:t>
      </w:r>
    </w:p>
    <w:p>
      <w:pPr>
        <w:spacing w:after="0" w:line="116" w:lineRule="exact"/>
        <w:rPr>
          <w:rFonts w:ascii="Arial" w:cs="Arial" w:eastAsia="Arial" w:hAnsi="Arial"/>
          <w:sz w:val="18"/>
          <w:szCs w:val="18"/>
          <w:color w:val="auto"/>
        </w:rPr>
      </w:pPr>
    </w:p>
    <w:p>
      <w:pPr>
        <w:ind w:left="504" w:hanging="503"/>
        <w:spacing w:after="0"/>
        <w:tabs>
          <w:tab w:leader="none" w:pos="504"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additional financing to refinance or repay our existing indebtedness;</w:t>
      </w:r>
    </w:p>
    <w:p>
      <w:pPr>
        <w:spacing w:after="0" w:line="116" w:lineRule="exact"/>
        <w:rPr>
          <w:rFonts w:ascii="Arial" w:cs="Arial" w:eastAsia="Arial" w:hAnsi="Arial"/>
          <w:sz w:val="18"/>
          <w:szCs w:val="18"/>
          <w:color w:val="auto"/>
        </w:rPr>
      </w:pPr>
    </w:p>
    <w:p>
      <w:pPr>
        <w:ind w:left="504" w:hanging="503"/>
        <w:spacing w:after="0"/>
        <w:tabs>
          <w:tab w:leader="none" w:pos="5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restrictions and limitations in the agreements and instruments governing our debt;</w:t>
      </w:r>
    </w:p>
    <w:p>
      <w:pPr>
        <w:spacing w:after="0" w:line="116" w:lineRule="exact"/>
        <w:rPr>
          <w:rFonts w:ascii="Arial" w:cs="Arial" w:eastAsia="Arial" w:hAnsi="Arial"/>
          <w:sz w:val="18"/>
          <w:szCs w:val="18"/>
          <w:color w:val="auto"/>
        </w:rPr>
      </w:pPr>
    </w:p>
    <w:p>
      <w:pPr>
        <w:ind w:left="504" w:hanging="503"/>
        <w:spacing w:after="0"/>
        <w:tabs>
          <w:tab w:leader="none" w:pos="5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increases in interest rates;</w:t>
      </w:r>
    </w:p>
    <w:p>
      <w:pPr>
        <w:spacing w:after="0" w:line="116" w:lineRule="exact"/>
        <w:rPr>
          <w:rFonts w:ascii="Arial" w:cs="Arial" w:eastAsia="Arial" w:hAnsi="Arial"/>
          <w:sz w:val="18"/>
          <w:szCs w:val="18"/>
          <w:color w:val="auto"/>
        </w:rPr>
      </w:pPr>
    </w:p>
    <w:p>
      <w:pPr>
        <w:ind w:left="504" w:hanging="503"/>
        <w:spacing w:after="0"/>
        <w:tabs>
          <w:tab w:leader="none" w:pos="5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substantial portion of our indebtedness being secured by substantially all of our assets; and</w:t>
      </w:r>
    </w:p>
    <w:p>
      <w:pPr>
        <w:spacing w:after="0" w:line="116" w:lineRule="exact"/>
        <w:rPr>
          <w:rFonts w:ascii="Arial" w:cs="Arial" w:eastAsia="Arial" w:hAnsi="Arial"/>
          <w:sz w:val="18"/>
          <w:szCs w:val="18"/>
          <w:color w:val="auto"/>
        </w:rPr>
      </w:pPr>
    </w:p>
    <w:p>
      <w:pPr>
        <w:ind w:left="504" w:hanging="503"/>
        <w:spacing w:after="0"/>
        <w:tabs>
          <w:tab w:leader="none" w:pos="5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downgrade, suspension or withdrawal of the rating assigned by a rating agency.</w:t>
      </w:r>
    </w:p>
    <w:p>
      <w:pPr>
        <w:spacing w:after="0" w:line="200" w:lineRule="exact"/>
        <w:rPr>
          <w:sz w:val="20"/>
          <w:szCs w:val="20"/>
          <w:color w:val="auto"/>
        </w:rPr>
      </w:pPr>
    </w:p>
    <w:p>
      <w:pPr>
        <w:spacing w:after="0" w:line="240" w:lineRule="exact"/>
        <w:rPr>
          <w:sz w:val="20"/>
          <w:szCs w:val="20"/>
          <w:color w:val="auto"/>
        </w:rPr>
      </w:pPr>
    </w:p>
    <w:p>
      <w:pPr>
        <w:ind w:left="504" w:hanging="504"/>
        <w:spacing w:after="0"/>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fully utilize our tax losses;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dilutive impact of future stock issuances;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stockholder concentration and of our CEO and Chairman of the Board being a significant stockholder;</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fulfill our obligations associated with being a public company; and</w:t>
      </w:r>
    </w:p>
    <w:p>
      <w:pPr>
        <w:spacing w:after="0" w:line="116" w:lineRule="exact"/>
        <w:rPr>
          <w:rFonts w:ascii="Arial" w:cs="Arial" w:eastAsia="Arial" w:hAnsi="Arial"/>
          <w:sz w:val="18"/>
          <w:szCs w:val="18"/>
          <w:color w:val="auto"/>
        </w:rPr>
      </w:pPr>
    </w:p>
    <w:p>
      <w:pPr>
        <w:ind w:left="504" w:hanging="504"/>
        <w:spacing w:after="0" w:line="277"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anti-takeover provisions, ownership provisions and certain other provisions in our charter, our bylaws, Delaware law, and our existing and any future credit facilities.</w:t>
      </w:r>
    </w:p>
    <w:p>
      <w:pPr>
        <w:spacing w:after="0" w:line="385" w:lineRule="exact"/>
        <w:rPr>
          <w:sz w:val="20"/>
          <w:szCs w:val="20"/>
          <w:color w:val="auto"/>
        </w:rPr>
      </w:pPr>
    </w:p>
    <w:p>
      <w:pPr>
        <w:jc w:val="center"/>
        <w:ind w:right="29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4"/>
          </w:cols>
          <w:pgMar w:left="836" w:top="449" w:right="5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and Strategy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Mission and our Industry’s Evolution</w:t>
      </w:r>
    </w:p>
    <w:p>
      <w:pPr>
        <w:spacing w:after="0" w:line="117" w:lineRule="exact"/>
        <w:rPr>
          <w:sz w:val="20"/>
          <w:szCs w:val="20"/>
          <w:color w:val="auto"/>
        </w:rPr>
      </w:pPr>
    </w:p>
    <w:p>
      <w:pPr>
        <w:ind w:right="120" w:firstLine="509"/>
        <w:spacing w:after="0" w:line="288" w:lineRule="auto"/>
        <w:rPr>
          <w:sz w:val="20"/>
          <w:szCs w:val="20"/>
          <w:color w:val="auto"/>
        </w:rPr>
      </w:pPr>
      <w:r>
        <w:rPr>
          <w:rFonts w:ascii="Arial" w:cs="Arial" w:eastAsia="Arial" w:hAnsi="Arial"/>
          <w:sz w:val="16"/>
          <w:szCs w:val="16"/>
          <w:color w:val="auto"/>
        </w:rPr>
        <w:t>Gogo is the world’s largest provider of broadband connectivity services for the 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expect to commercially launch our fourth ATG network – Gogo 5G – in the fourth quarter of 2023. We also continue to provide narrowband satellite services to customers in North America and internationally through distribution agreements with satellite providers. As of December 31, 2022, we had approximately 6,900 ATG business aircraft online of which approximately 3,300 were equipped with our AVANCE platform and approximately 3,600 with Gogo Biz, our legacy ATG broadband system.</w:t>
      </w:r>
    </w:p>
    <w:p>
      <w:pPr>
        <w:spacing w:after="0" w:line="58"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business aviation in-flight connectivity market is evolving again due to advancements in technology and several change catalysts. The most significant advancement in technology driving change in our industry today is the introduction of low earth orbit (“LEO”) satellite technology, which provides, among other things, a global service offering and significantly higher capacity and lower latency than alternatives available today. We believe that demand for in-flight connectivity will continue to increase because of changes in the demographics of our customer base, the proliferation of social applications and lifestyle changes that remain in a post-COVID world such as remote work and use of videoconferencing. Further, 66% of business aircraft in North America were manufactured before IFC was available as a linefit option. We expect approximately 25% of these aircraft will be replaced in the next five to seven years with new aircraft coming pre-installed with in-flight connectivity given customer expectations today.</w:t>
      </w:r>
    </w:p>
    <w:p>
      <w:pPr>
        <w:spacing w:after="0" w:line="73"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view all these significant changes as opportunities to leverage our technological know-how and deep understanding of the business aviation in-flight connectivity market to drive greater penetration of our solutions in our markets over the next five to ten years. As outlined below, we have refined our strategy to capture these opportunities, including an announcement in May 2022 that we are preparing to launch the first global broadband service designed for business aviation (“Global Broadband”). The service will use an electronically steered antenna (“ESA”), specifically designed with Hughes Network Systems, LLC (“Hughes”) to address a broad range of business aviation aircraft, operating on a LEO satellite network operated by Network Access Associates, Ltd. (“OneWeb”). We believe that Global Broadband, in combination with or as an alternative to our ATG systems, will allow us to increase our penetration of the North American heavy jet market and provide an upgrade path for our existing ATG customer base. In addition, Global Broadband will allow us to penetrate the business aviation market outside of North America, where fewer than 6% of business aviation aircraft are installed with in-flight connectivity systems.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Now and Next Strategy</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Given the industry evolution described above, we have refined our strategy, ultimately creating what we refer to as the “Now and Next Strategy”. The Now and Next Strategy positions Gogo to penetrate the rest of the world business aviation market while maintaining and strengthening our leadership position in North America. The principal elements of our Now and Next Strategy include the following:</w:t>
      </w:r>
    </w:p>
    <w:p>
      <w:pPr>
        <w:spacing w:after="0" w:line="75" w:lineRule="exact"/>
        <w:rPr>
          <w:sz w:val="20"/>
          <w:szCs w:val="20"/>
          <w:color w:val="auto"/>
        </w:rPr>
      </w:pPr>
    </w:p>
    <w:p>
      <w:pPr>
        <w:ind w:left="1020" w:right="60" w:hanging="504"/>
        <w:spacing w:after="0" w:line="275"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Leveraging our deep understanding of the business aviation in-flight connectivity market to accelerate growth by (i) expanding our total addressable market through the broadening of the Gogo product line to meet the needs of every segment of the business aviation market; (ii) extending customer use of our services by driving penetration of our AVANCE platform, enhancing ATG networks, and providing easy upgrade paths to Global Broadband and other new technologies; and (iii) providing equivalent or better service at a lower cost of ownership than competitive products to all segments of the business aviation market;</w:t>
      </w:r>
    </w:p>
    <w:p>
      <w:pPr>
        <w:spacing w:after="0" w:line="66" w:lineRule="exact"/>
        <w:rPr>
          <w:rFonts w:ascii="Arial" w:cs="Arial" w:eastAsia="Arial" w:hAnsi="Arial"/>
          <w:sz w:val="17"/>
          <w:szCs w:val="17"/>
          <w:color w:val="auto"/>
        </w:rPr>
      </w:pPr>
    </w:p>
    <w:p>
      <w:pPr>
        <w:ind w:left="1020" w:right="28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Preserving and expanding our relationships with Original Equipment Manufacturers (“OEMs”), our aftermarket dealers, and fractional jet operators by providing superior customer support, products and services;</w:t>
      </w:r>
    </w:p>
    <w:p>
      <w:pPr>
        <w:spacing w:after="0" w:line="61" w:lineRule="exact"/>
        <w:rPr>
          <w:rFonts w:ascii="Arial" w:cs="Arial" w:eastAsia="Arial" w:hAnsi="Arial"/>
          <w:sz w:val="18"/>
          <w:szCs w:val="18"/>
          <w:color w:val="auto"/>
        </w:rPr>
      </w:pPr>
    </w:p>
    <w:p>
      <w:pPr>
        <w:ind w:left="1020" w:right="14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continuous culture of improvement by, among other things, building knowledge and maintaining flexibility to migrate to new hardware and network technologies as they evolve; and</w:t>
      </w:r>
    </w:p>
    <w:p>
      <w:pPr>
        <w:spacing w:after="0" w:line="61" w:lineRule="exact"/>
        <w:rPr>
          <w:rFonts w:ascii="Arial" w:cs="Arial" w:eastAsia="Arial" w:hAnsi="Arial"/>
          <w:sz w:val="18"/>
          <w:szCs w:val="18"/>
          <w:color w:val="auto"/>
        </w:rPr>
      </w:pPr>
    </w:p>
    <w:p>
      <w:pPr>
        <w:ind w:left="1020" w:right="860" w:hanging="504"/>
        <w:spacing w:after="0" w:line="34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Pursuing a balanced capital allocation strategy focused on maintaining adequate liquidity, investing in strategic initiatives to drive competitive positioning and financial value, maintaining an appropriate level of leverage and enhancing shareholder value.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firstLine="509"/>
        <w:spacing w:after="0" w:line="296" w:lineRule="auto"/>
        <w:rPr>
          <w:sz w:val="20"/>
          <w:szCs w:val="20"/>
          <w:color w:val="auto"/>
        </w:rPr>
      </w:pPr>
      <w:r>
        <w:rPr>
          <w:rFonts w:ascii="Arial" w:cs="Arial" w:eastAsia="Arial" w:hAnsi="Arial"/>
          <w:sz w:val="16"/>
          <w:szCs w:val="16"/>
          <w:color w:val="auto"/>
        </w:rPr>
        <w:t>In executing the Now and Next Strategy, we will continue to adhere to the product development principles that have guided us historically. These include, among other things, (i) maintaining product offerings that fit the distinct needs of each segment of the business aviation market based on geography, mission, size of aircraft, and passenger preferences; (ii) building customer loyalty by providing easy and low-cost upgrade paths for our customers as their demand for capacity grows; and (iii) running all of our offerings on a single software-centric operating system via AVANCE, which allows for easy software upgrades and multiple-network access points to the aircraft allowing for easy upgrades to superior networks as technology evolves.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Differentiators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believe Gogo is uniquely positioned to thrive in this dynamic industry environment, due in part to the competitive differentiators described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98" w:lineRule="exact"/>
        <w:rPr>
          <w:sz w:val="20"/>
          <w:szCs w:val="20"/>
          <w:color w:val="auto"/>
        </w:rPr>
      </w:pPr>
    </w:p>
    <w:p>
      <w:pPr>
        <w:ind w:right="340"/>
        <w:spacing w:after="0" w:line="288" w:lineRule="auto"/>
        <w:rPr>
          <w:sz w:val="20"/>
          <w:szCs w:val="20"/>
          <w:color w:val="auto"/>
        </w:rPr>
      </w:pPr>
      <w:r>
        <w:rPr>
          <w:rFonts w:ascii="Arial" w:cs="Arial" w:eastAsia="Arial" w:hAnsi="Arial"/>
          <w:sz w:val="17"/>
          <w:szCs w:val="17"/>
          <w:b w:val="1"/>
          <w:bCs w:val="1"/>
          <w:u w:val="single" w:color="auto"/>
          <w:color w:val="auto"/>
        </w:rPr>
        <w:t>Our Product Platform</w:t>
      </w:r>
      <w:r>
        <w:rPr>
          <w:rFonts w:ascii="Arial" w:cs="Arial" w:eastAsia="Arial" w:hAnsi="Arial"/>
          <w:sz w:val="17"/>
          <w:szCs w:val="17"/>
          <w:color w:val="auto"/>
        </w:rPr>
        <w:t>. Our product platform includes three components – networks, antennas, and airborne equipment and software, each of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discussed in greater detail below. The comprehensiveness and flexibility in our product platform allows us to align our value proposition with our customers’ priorities and identify solutions based on geography, mission, size of aircraft and passenger preference.</w:t>
      </w:r>
    </w:p>
    <w:p>
      <w:pPr>
        <w:spacing w:after="0" w:line="5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u w:val="single" w:color="auto"/>
          <w:color w:val="auto"/>
        </w:rPr>
        <w:t>Our Distribution Relationships</w:t>
      </w:r>
      <w:r>
        <w:rPr>
          <w:rFonts w:ascii="Arial" w:cs="Arial" w:eastAsia="Arial" w:hAnsi="Arial"/>
          <w:sz w:val="18"/>
          <w:szCs w:val="18"/>
          <w:color w:val="auto"/>
        </w:rPr>
        <w:t>. We believe that our distribution network is unmatched in our industry. Our distribution partners include every OEM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aviation aircraft and an aftermarket network of approximately 120 dealers, many of whom we have worked with for decades. We have established trusted relationships with our distribution partners and a proven track record of generating revenues and profits for them, and they have trust and confidence in our ability to continue to do so. This facilitates our sales and our speed to market as our distribution partners are willing to invest in marketing and certification efforts for our equipment.</w:t>
      </w:r>
    </w:p>
    <w:p>
      <w:pPr>
        <w:spacing w:after="0" w:line="74"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b w:val="1"/>
          <w:bCs w:val="1"/>
          <w:u w:val="single" w:color="auto"/>
          <w:color w:val="auto"/>
        </w:rPr>
        <w:t>Our Innovative Culture</w:t>
      </w:r>
      <w:r>
        <w:rPr>
          <w:rFonts w:ascii="Arial" w:cs="Arial" w:eastAsia="Arial" w:hAnsi="Arial"/>
          <w:sz w:val="18"/>
          <w:szCs w:val="18"/>
          <w:color w:val="auto"/>
        </w:rPr>
        <w:t>. We continuously innovate and have a strong track record of innovation in our networks. As of February 24, 2023, we held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457 U.S. and international patents, most of which relate to network technology. We pioneered and have led innovation in our industry for nearly 30 years, as evidenced by the three proprietary ATG network technologies that we have deployed for the business aviation market. We expect to commercially launch our fourth ATG network – Gogo 5G – in the fourth quarter of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Services, Customers and Customer Support</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focus exclusively on selling in-flight connectivity to the business aviation market and implement our value proposition of offering the best products and services through a comprehensive portfolio consisting of our in-flight systems, in-flight services, aviation partner support, engineering, design and development services and production operations functions.</w:t>
      </w:r>
    </w:p>
    <w:p>
      <w:pPr>
        <w:spacing w:after="0" w:line="71" w:lineRule="exact"/>
        <w:rPr>
          <w:sz w:val="20"/>
          <w:szCs w:val="20"/>
          <w:color w:val="auto"/>
        </w:rPr>
      </w:pPr>
    </w:p>
    <w:p>
      <w:pPr>
        <w:ind w:right="420"/>
        <w:spacing w:after="0" w:line="281" w:lineRule="auto"/>
        <w:rPr>
          <w:sz w:val="20"/>
          <w:szCs w:val="20"/>
          <w:color w:val="auto"/>
        </w:rPr>
      </w:pPr>
      <w:r>
        <w:rPr>
          <w:rFonts w:ascii="Arial" w:cs="Arial" w:eastAsia="Arial" w:hAnsi="Arial"/>
          <w:sz w:val="18"/>
          <w:szCs w:val="18"/>
          <w:b w:val="1"/>
          <w:bCs w:val="1"/>
          <w:u w:val="single" w:color="auto"/>
          <w:color w:val="auto"/>
        </w:rPr>
        <w:t>In-Flight Systems</w:t>
      </w:r>
      <w:r>
        <w:rPr>
          <w:rFonts w:ascii="Arial" w:cs="Arial" w:eastAsia="Arial" w:hAnsi="Arial"/>
          <w:sz w:val="18"/>
          <w:szCs w:val="18"/>
          <w:color w:val="auto"/>
        </w:rPr>
        <w:t>. Our customers have a broad range of equipment choices for their in-flight systems, which allows us to provide a solution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geography, mission, size of aircraft and passenger preference. Key components of our in-flight systems include:</w:t>
      </w:r>
    </w:p>
    <w:p>
      <w:pPr>
        <w:spacing w:after="0" w:line="59"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i w:val="1"/>
          <w:iCs w:val="1"/>
          <w:color w:val="auto"/>
        </w:rPr>
        <w:t>Antennas</w:t>
      </w:r>
      <w:r>
        <w:rPr>
          <w:rFonts w:ascii="Arial" w:cs="Arial" w:eastAsia="Arial" w:hAnsi="Arial"/>
          <w:sz w:val="16"/>
          <w:szCs w:val="16"/>
          <w:color w:val="auto"/>
        </w:rPr>
        <w:t>. Gogo has developed three families of ATG antennas, all of which act in pairs and are mounted on the belly of the aircraft. Gogo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deploys omni-directional antennas and dual directional antennas, both of which support customers utilizing our 3G and 4G networks. In connection with the launch of Gogo 5G, Gogo will introduce the MB-13 antenna, which is capable of accessing Gogo’s 4 MHz of licensed spectrum in the 800 MHz band and unlicensed spectrum in the 2.4 GHz band at the same time, enabling greater throughput than our omni-directional and dual directional antennas.</w:t>
      </w:r>
    </w:p>
    <w:p>
      <w:pPr>
        <w:spacing w:after="0" w:line="48"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In connection with the launch of Global Broadband, Gogo is working with Hughes to design an ESA that will fit on a very broad range of business aviation aircraft – from light jets and turboprops to large-cabin jets. The ESA is expected to be delivered in the second half of 2024 and will operate on OneWeb’s high speed, low latency LEO satellite network.</w:t>
      </w:r>
    </w:p>
    <w:p>
      <w:pPr>
        <w:spacing w:after="0" w:line="75"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i w:val="1"/>
          <w:iCs w:val="1"/>
          <w:color w:val="auto"/>
        </w:rPr>
        <w:t>Airborne Equipment and Software</w:t>
      </w:r>
      <w:r>
        <w:rPr>
          <w:rFonts w:ascii="Arial" w:cs="Arial" w:eastAsia="Arial" w:hAnsi="Arial"/>
          <w:sz w:val="17"/>
          <w:szCs w:val="17"/>
          <w:color w:val="auto"/>
        </w:rPr>
        <w:t>. Our networks and systems are designed to provide the best in-flight Internet experience and highest network and</w:t>
      </w:r>
      <w:r>
        <w:rPr>
          <w:rFonts w:ascii="Arial" w:cs="Arial" w:eastAsia="Arial" w:hAnsi="Arial"/>
          <w:sz w:val="17"/>
          <w:szCs w:val="17"/>
          <w:i w:val="1"/>
          <w:iCs w:val="1"/>
          <w:color w:val="auto"/>
        </w:rPr>
        <w:t xml:space="preserve"> </w:t>
      </w:r>
      <w:r>
        <w:rPr>
          <w:rFonts w:ascii="Arial" w:cs="Arial" w:eastAsia="Arial" w:hAnsi="Arial"/>
          <w:sz w:val="17"/>
          <w:szCs w:val="17"/>
          <w:color w:val="auto"/>
        </w:rPr>
        <w:t>system availability across the broadest range of aircraft wherever they fly, and a growing number of our installed aircraft are on the AVANCE platform. The AVANCE platform is software-centric and designed to be extensible as it includes hardware built with common components that operate on a single operating system across multiple devices. Approximately 80% of the components included in AVANCE L5™ and AVANCE L3™ (a compact version of AVANCE L5 designed for smaller aircraft) are common across the two systems. Because of this extensibility, we can add new products, features and options; we can increase connectivity speeds by augmenting spectrum; and we can add proprietary or third-party ATG or satellite networks, all with minimal or no hardware or aircraft modifications. For example, existing AVANCE customers who wish to add Global Broadband service will only have to install an ESA on top of their aircraft and run a power cable and ethernet cable to the AVANCE box inside the aircraft. For customers operating AVANCE-equipped aircraft in North America, AVANCE’s unique multi-bearer capability will allow Gogo to combine capacity from its ATG network and the OneWeb LEO satellite network to provide more capacity than stand-alone LEO satellite networks can provide. We expect AVANCE’s common componentry to facilitate standardization of hardware and FAA certifications across multiple products, spectrum frequencies and networks, and we expect that such standardization will in turn increase efficiency and improve quality in functions that include supply chain, production operations and customer support.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AVANCE aircraft online at December 31, 2022, approximately 2,100 were equipped with AVANCE L5 and approximately 1,200 with AVANCE L3.</w:t>
      </w:r>
    </w:p>
    <w:p>
      <w:pPr>
        <w:spacing w:after="0" w:line="124"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u w:val="single" w:color="auto"/>
          <w:color w:val="auto"/>
        </w:rPr>
        <w:t>In-Flight Services (Service Plans)</w:t>
      </w:r>
      <w:r>
        <w:rPr>
          <w:rFonts w:ascii="Arial" w:cs="Arial" w:eastAsia="Arial" w:hAnsi="Arial"/>
          <w:sz w:val="18"/>
          <w:szCs w:val="18"/>
          <w:color w:val="auto"/>
        </w:rPr>
        <w:t>. We provide a wide range of in-flight services for passengers, flight and cabin crews and our aviation partners. We offer</w:t>
      </w:r>
      <w:r>
        <w:rPr>
          <w:rFonts w:ascii="Arial" w:cs="Arial" w:eastAsia="Arial" w:hAnsi="Arial"/>
          <w:sz w:val="18"/>
          <w:szCs w:val="18"/>
          <w:b w:val="1"/>
          <w:bCs w:val="1"/>
          <w:color w:val="auto"/>
        </w:rPr>
        <w:t xml:space="preserve"> </w:t>
      </w:r>
      <w:r>
        <w:rPr>
          <w:rFonts w:ascii="Arial" w:cs="Arial" w:eastAsia="Arial" w:hAnsi="Arial"/>
          <w:sz w:val="18"/>
          <w:szCs w:val="18"/>
          <w:color w:val="auto"/>
        </w:rPr>
        <w:t>a variety of connectivity services tailored to our various networks and technologies that are generally priced on a per-aircraft per-month basis. We offer service plans ranging from unlimited data usage to a pay-as-you-go monthly consumption plan and offer alongside these data plans voice rates, inflight entertainment options such as Gogo Vision, and other service features.</w:t>
      </w:r>
    </w:p>
    <w:p>
      <w:pPr>
        <w:spacing w:after="0" w:line="7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u w:val="single" w:color="auto"/>
          <w:color w:val="auto"/>
        </w:rPr>
        <w:t>Customers and Distribution Partners</w:t>
      </w:r>
      <w:r>
        <w:rPr>
          <w:rFonts w:ascii="Arial" w:cs="Arial" w:eastAsia="Arial" w:hAnsi="Arial"/>
          <w:sz w:val="17"/>
          <w:szCs w:val="17"/>
          <w:color w:val="auto"/>
        </w:rPr>
        <w:t>. We provide in-flight connectivity services to a variety of customers needing connectivity, but our end users are</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aircraft owners/operators. As of December 31, 2022, our market was comprised of approximately 24,700 business aircraft in North America, of which approximately 30% have broadband connectivity, and approximately 14,400 business aircraft in the rest of the world, of which fewer than 6% have broadband connectivity. As of December 31, 2022, we had approximately 4,200 customers. Out top ten customers accounted for approximately 20% of our 2022 service revenue (excluding Intelsat), and no customer accounted for more than 10% of our revenue in 2022.</w:t>
      </w:r>
    </w:p>
    <w:p>
      <w:pPr>
        <w:spacing w:after="0" w:line="6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also sell directly to every OEM of business aviation aircraft including Bombardier, Dassault Falcon, Embraer, Gulfstream, Pilatus and Textron Aviation. In the aftermarket, we sell through a global distribution network of approximately 120 independent dealers who are certified by the Federal Aviation Administration (“FAA”) as Maintenance and Repair Organizations. Our independent dealers market, resell and obtain FAA-required supplemental type certificates (“STC”) for our equipment. Our customers also include fractional jet operators such as Flexjet and NetJets, charter operators such as Wheels Up, corporate flight departments and individuals owning aircraft.</w:t>
      </w:r>
    </w:p>
    <w:p>
      <w:pPr>
        <w:spacing w:after="0" w:line="79" w:lineRule="exact"/>
        <w:rPr>
          <w:sz w:val="20"/>
          <w:szCs w:val="20"/>
          <w:color w:val="auto"/>
        </w:rPr>
      </w:pPr>
    </w:p>
    <w:p>
      <w:pPr>
        <w:ind w:right="540"/>
        <w:spacing w:after="0" w:line="281" w:lineRule="auto"/>
        <w:rPr>
          <w:sz w:val="20"/>
          <w:szCs w:val="20"/>
          <w:color w:val="auto"/>
        </w:rPr>
      </w:pPr>
      <w:r>
        <w:rPr>
          <w:rFonts w:ascii="Arial" w:cs="Arial" w:eastAsia="Arial" w:hAnsi="Arial"/>
          <w:sz w:val="18"/>
          <w:szCs w:val="18"/>
          <w:b w:val="1"/>
          <w:bCs w:val="1"/>
          <w:u w:val="single" w:color="auto"/>
          <w:color w:val="auto"/>
        </w:rPr>
        <w:t>Infrastructure</w:t>
      </w:r>
      <w:r>
        <w:rPr>
          <w:rFonts w:ascii="Arial" w:cs="Arial" w:eastAsia="Arial" w:hAnsi="Arial"/>
          <w:sz w:val="18"/>
          <w:szCs w:val="18"/>
          <w:color w:val="auto"/>
        </w:rPr>
        <w:t>. The infrastructure supporting our in-flight connectivity services consists of our networks, towers, and data centers, each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greater detail below.</w:t>
      </w:r>
    </w:p>
    <w:p>
      <w:pPr>
        <w:spacing w:after="0" w:line="59"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i w:val="1"/>
          <w:iCs w:val="1"/>
          <w:color w:val="auto"/>
        </w:rPr>
        <w:t>Networks and Towers</w:t>
      </w:r>
      <w:r>
        <w:rPr>
          <w:rFonts w:ascii="Arial" w:cs="Arial" w:eastAsia="Arial" w:hAnsi="Arial"/>
          <w:sz w:val="17"/>
          <w:szCs w:val="17"/>
          <w:color w:val="auto"/>
        </w:rPr>
        <w:t>. We have developed, deployed and operated our own networks for more than 25 years, resulting in experience and know-how</w:t>
      </w:r>
      <w:r>
        <w:rPr>
          <w:rFonts w:ascii="Arial" w:cs="Arial" w:eastAsia="Arial" w:hAnsi="Arial"/>
          <w:sz w:val="17"/>
          <w:szCs w:val="17"/>
          <w:i w:val="1"/>
          <w:iCs w:val="1"/>
          <w:color w:val="auto"/>
        </w:rPr>
        <w:t xml:space="preserve"> </w:t>
      </w:r>
      <w:r>
        <w:rPr>
          <w:rFonts w:ascii="Arial" w:cs="Arial" w:eastAsia="Arial" w:hAnsi="Arial"/>
          <w:sz w:val="17"/>
          <w:szCs w:val="17"/>
          <w:color w:val="auto"/>
        </w:rPr>
        <w:t>that we believe is unmatched by any other provider in our industry. We hold the exclusive license to 4MHz of U.S. nationwide spectrum dedicated to ATG use, as well as the exclusive rights to the same spectrum in Canada. We currently operate a terrestrial network using 3 MHz of licensed spectrum in the 800 MHz band and approximately 260 terrestrial cell sites in the lower 48 states and parts of Alaska and Canada. All but one of our cell sites are leased from tower operators. Our terrestrial network targets approximately 24,700 business aircraft based in North America. As of December 31, 2022, this network supported 3.1 Mbps 3G service and 9.8 Mbps 4G service. Our proprietary ATG network provides lower latency and requires less powerful antennas than the networks operated by our geosynchronous (“GEO”) satellite competitors and enables us to avoid the interference issues that can accompany use of shared, unlicensed spectrum. We expect to commercially launch our fourth ATG network – Gogo 5G – in the fourth quarter of 2023. We have announced completion of key Gogo 5G milestones including finishing construction of our initial 150 cell sites that comprise our 5G terrestrial network in the lower 48 states, obtaining a STC and Parts Manufacturing Approval (“PMA”) for the 5G airborne antenna system, qualifying the airborne line replaceable unit (“LRU”) for flight testing and signing an agreement with Jet Edge as our 5G launch partner. Customers who elect to not upgrade to Gogo 5G may continue to use our 3G and 4G service over our ATG networks in North America. The 3G and 4G service will also serve as a redundancy network and performance enhancement mechanism for Gogo 5G.</w:t>
      </w:r>
    </w:p>
    <w:p>
      <w:pPr>
        <w:spacing w:after="0" w:line="75"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In addition, in May 2022 we announced that we have partnered with OneWeb to utilize their global LEO satellite network. They plan to complete launch of their network in April of 2023 and be ready to start offering aero service in 2024. In addition to the significant performance enhancements provided by the LEO network, Global Broadband expands our total addressable market by approximately 14,400 aircraft in the rest of the world.</w:t>
      </w:r>
    </w:p>
    <w:p>
      <w:pPr>
        <w:spacing w:after="0" w:line="40"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i w:val="1"/>
          <w:iCs w:val="1"/>
          <w:color w:val="auto"/>
        </w:rPr>
        <w:t>Ground Network and Data Centers</w:t>
      </w:r>
      <w:r>
        <w:rPr>
          <w:rFonts w:ascii="Arial" w:cs="Arial" w:eastAsia="Arial" w:hAnsi="Arial"/>
          <w:sz w:val="16"/>
          <w:szCs w:val="16"/>
          <w:color w:val="auto"/>
        </w:rPr>
        <w:t>. We lease an extensive, predominantly fiber-optic network to connect our approximately 260 cell sites to our two</w:t>
      </w:r>
      <w:r>
        <w:rPr>
          <w:rFonts w:ascii="Arial" w:cs="Arial" w:eastAsia="Arial" w:hAnsi="Arial"/>
          <w:sz w:val="16"/>
          <w:szCs w:val="16"/>
          <w:i w:val="1"/>
          <w:iCs w:val="1"/>
          <w:color w:val="auto"/>
        </w:rPr>
        <w:t xml:space="preserve"> </w:t>
      </w:r>
      <w:r>
        <w:rPr>
          <w:rFonts w:ascii="Arial" w:cs="Arial" w:eastAsia="Arial" w:hAnsi="Arial"/>
          <w:sz w:val="16"/>
          <w:szCs w:val="16"/>
          <w:color w:val="auto"/>
        </w:rPr>
        <w:t>data centers, the Internet and cloud-based services, and our network operations center (“NOC”). Our data centers and cloud-based services provide redundant telecommunications connections to the Internet and contain numerous servers that enable the expansive set of features that we offer. The NOC monitors daily network operations, conducts network diagnostics and coordinates responses to any performance issues. We augment our ability to monitor, maintain and update our in-flight systems while aircraft are on the ground with a terrestrial modem utilizing 3G, 4G and Wi-Fi wireless service.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Support Organizations</w:t>
      </w:r>
      <w:r>
        <w:rPr>
          <w:rFonts w:ascii="Arial" w:cs="Arial" w:eastAsia="Arial" w:hAnsi="Arial"/>
          <w:sz w:val="17"/>
          <w:szCs w:val="17"/>
          <w:color w:val="auto"/>
        </w:rPr>
        <w:t>. We strive to deliver a premium customer experience. We accomplish this through the support of the following functions.</w:t>
      </w:r>
    </w:p>
    <w:p>
      <w:pPr>
        <w:spacing w:after="0" w:line="132"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i w:val="1"/>
          <w:iCs w:val="1"/>
          <w:color w:val="auto"/>
        </w:rPr>
        <w:t>Customer Support</w:t>
      </w:r>
      <w:r>
        <w:rPr>
          <w:rFonts w:ascii="Arial" w:cs="Arial" w:eastAsia="Arial" w:hAnsi="Arial"/>
          <w:sz w:val="18"/>
          <w:szCs w:val="18"/>
          <w:color w:val="auto"/>
        </w:rPr>
        <w:t>. We have created a support and service organization designed to provide operational assistance and comprehensive analytics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Our customer support organization is grouped into three subfunctions that include account teams, operational support, and comprehensive analytics. These teams assist with, among other things, installations, troubleshooting and system activations, and data analysis to evaluate our system and operational performance. We have specialized support for our OEM distribution partners and dealers who are responsible for obtaining the FAA certifications required for installation of our equipment on aircraft, and we support them in obtaining such certifications and installing the equipment through our aircraft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 w:name="page10"/>
    <w:bookmarkEnd w:id="9"/>
    <w:p>
      <w:pPr>
        <w:ind w:right="240"/>
        <w:spacing w:after="0" w:line="263" w:lineRule="auto"/>
        <w:rPr>
          <w:sz w:val="20"/>
          <w:szCs w:val="20"/>
          <w:color w:val="auto"/>
        </w:rPr>
      </w:pPr>
      <w:r>
        <w:rPr>
          <w:rFonts w:ascii="Arial" w:cs="Arial" w:eastAsia="Arial" w:hAnsi="Arial"/>
          <w:sz w:val="18"/>
          <w:szCs w:val="18"/>
          <w:color w:val="auto"/>
        </w:rPr>
        <w:t>application engineers. We also deploy our field service engineering teams in key locations across the United States and Europe to support our customers’ flight departments following installation of our equipment. Both the dealer network and customer flight departments have access to our technical and logistical support 24 hours a day, seven days a week.</w:t>
      </w:r>
    </w:p>
    <w:p>
      <w:pPr>
        <w:spacing w:after="0" w:line="7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i w:val="1"/>
          <w:iCs w:val="1"/>
          <w:color w:val="auto"/>
        </w:rPr>
        <w:t>Engineering, Design and Development (“ED&amp;D”)</w:t>
      </w:r>
      <w:r>
        <w:rPr>
          <w:rFonts w:ascii="Arial" w:cs="Arial" w:eastAsia="Arial" w:hAnsi="Arial"/>
          <w:sz w:val="17"/>
          <w:szCs w:val="17"/>
          <w:color w:val="auto"/>
        </w:rPr>
        <w:t>. Our large in-house ED&amp;D operation is responsible for translating business requirements into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that comply with rigorous avionics certification requirements. Its capabilities include: (i) a radiofrequency engineering team with expertise in antenna specifications, radio technology, spectrum analysis, network design and regulatory requirements; (ii) an airborne platform development team which manages the design, development and testing of airborne equipment and its integration with ground systems and leads FAA certification efforts; (iii) a systems engineering team that manages all aspects of turning business requirements into technical specifications and is responsible for our program management process; (iv) an application development and business systems organization team that manages development of our internal business systems and the product extensions that sit on the AVANCE platform; and (v) a network engineering team that designs, implements and manages our network and data center infrastructure, security and core network functions.</w:t>
      </w:r>
    </w:p>
    <w:p>
      <w:pPr>
        <w:spacing w:after="0" w:line="7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i w:val="1"/>
          <w:iCs w:val="1"/>
          <w:color w:val="auto"/>
        </w:rPr>
        <w:t xml:space="preserve">Production Operations. </w:t>
      </w:r>
      <w:r>
        <w:rPr>
          <w:rFonts w:ascii="Arial" w:cs="Arial" w:eastAsia="Arial" w:hAnsi="Arial"/>
          <w:sz w:val="17"/>
          <w:szCs w:val="17"/>
          <w:color w:val="auto"/>
        </w:rPr>
        <w:t>Our manufacturing objective is to produce superior quality products that conform to avionics specifications while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best value to our customers. Given our highly specialized technology and required production levels, we design, assemble and test our airborne LRUs in-house, while relying on third parties to manufacture specific components based on our design specifications to maximize production efficiencies. We retain the intellectual property associated with the airborne LRUs. We also rely on third parties to manufacture our antennas and we generally share antenna design responsibilities and intellectual property with these vendors. Our manufacturing processes include internally designed test fixtures and software that we and our third-party manufacturers employ at all levels of manufacturing. Our manufacturing-related business processes – from sales forecasts to supply chain activities to shipping – are integrated and automated within our enterprise resource planning tools. Our manufacturing and repair facilities are FAA-certified.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compete against both equipment-providers and GEO- and LEO- satellite based telecommunications service providers, as well as resellers of the above, to the business aviation market, including Honeywell Aerospace, Collins Aerospace, Satcom Direct, Inmarsat, ViaSat and Starlink. In addition, SmartSky Networks, which in 2014 announced that it planned to launch an ATG network in the continental United States in 2016, announced in late 2022 that the network is “live nationwide.” A number of our competitors are focused on servicing the heavy jet market through GEO satellite services. We may in the future face competition from other operators of LEO or other non-GEO satellite networks. We believe that the principal points of competition in our market are technological capabilities, price, geographic coverage, customer service, product development, conformity to customer specifications, regulatory compliance, quality of support after the sale and timeliness of delivery and installation.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Regulation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Federal Aviation Administration</w:t>
      </w:r>
    </w:p>
    <w:p>
      <w:pPr>
        <w:spacing w:after="0" w:line="117"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The FAA prescribes standards and certification requirements for the manufacturing of aircraft and aircraft components, and certifies repair stations to perform aircraft maintenance, preventive maintenance and alterations, including the installation and maintenance of aircraft components. Each type of aircraft operated in the United States under an FAA-issued standard airworthiness certificate must possess an FAA Type Certificate, which constitutes approval of the design of the aircraft type based on applicable airworthiness standards. When a party other than the holder of the Type Certificate develops a major modification to an aircraft already type-certificated, that party must obtain an FAA-issued STC approving the design of the modified aircraft type. The dealers and OEMs to which we sell our equipment are generally responsible for obtaining STCs for each aircraft type on which our equipment will be installed, and we support them in those efforts. Separate STCs typically are required for different configurations of the same aircraft type, such as when they are configured differently for different owners and operators.</w:t>
      </w:r>
    </w:p>
    <w:p>
      <w:pPr>
        <w:spacing w:after="0" w:line="75"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After an STC is obtained, a manufacturer desiring to manufacture components to be used in the modification covered by the STC must apply to the FAA for a PMA, which permits the holder to manufacture and sell components manufactured in conformity with the PMA and its approved design and data package. In general, each initial PMA is an approval of a manufacturing or modification facility’s production quality control system. PMA supplements are obtained to authorize the manufacture of a particular part in accordance with the requirements of the pertinent PMA, including its production quality control system. We routinely apply for and receive such PMAs and supplements.</w:t>
      </w:r>
    </w:p>
    <w:p>
      <w:pPr>
        <w:spacing w:after="0" w:line="8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Certain of our FCC licenses are conditioned upon our ability to obtain from the FAA a “No Hazard Determination” for our cell sites, which indicates that a proposed structure will not, if built as specified, create a hazard to air navigation. When building or altering certain cell sites, we may first be required to obtain such a determination.</w:t>
      </w:r>
    </w:p>
    <w:p>
      <w:pPr>
        <w:spacing w:after="0" w:line="7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Our business depends on our continuing access to, or use of, these FAA certifications, authorizations and other approvals, and our employment of, or access to, FAA-certified engineering and other professionals.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firstLine="509"/>
        <w:spacing w:after="0" w:line="255" w:lineRule="auto"/>
        <w:rPr>
          <w:sz w:val="20"/>
          <w:szCs w:val="20"/>
          <w:color w:val="auto"/>
        </w:rPr>
      </w:pPr>
      <w:r>
        <w:rPr>
          <w:rFonts w:ascii="Arial" w:cs="Arial" w:eastAsia="Arial" w:hAnsi="Arial"/>
          <w:sz w:val="18"/>
          <w:szCs w:val="18"/>
          <w:color w:val="auto"/>
        </w:rPr>
        <w:t>In accordance with these certifications, authorizations and other approvals, the FAA requires that we maintain, review and document our quality assurance processes. The FAA may visit our facilities at any time as part of our agreement for certification as a manufacturing facility and repair station to ensure that our facilities, procedures and quality control systems continue to meet FAA requirements. In addition, we are responsible for informing the FAA of significant changes to our organization and operations, product failures or defects, and any changes to our operational facilities or FAA-approved quality control systems. Other FAA requirements include training procedures and drug and alcohol screening for safety-sensitive employees working at our facilities or on aircraft.</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Aviation Regulation</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According to the Convention on International Civil Aviation, the airworthiness of U.S.-registered and FAA type-certificated aircraft on which FAA-certified Gogo equipment is installed is recognized by civil aviation authorities (“CAAs”) worldwide that are signatories to that Convention. As a result, Gogo does not expect to require further airworthiness certification formalities in countries outside of the United States for U.S.-registered aircraft that already have an STC issued by the FAA covering Gogo equipment. For aircraft registered with a CAA of a country other than the United States, the installation of Gogo equipment requires airworthiness certification from an airworthiness certification body. Typically, the CAA of the country in which the aircraft is registered is responsible for ensuring the airworthiness of any aircraft modifications under its authority.</w:t>
      </w:r>
    </w:p>
    <w:p>
      <w:pPr>
        <w:spacing w:after="0" w:line="6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FAA holds bilateral agreements with certification authorities around the globe. Bilateral agreements facilitate the reciprocal airworthiness certification of civil aeronautical products that are imported/exported between two signatory countries. A Bilateral Airworthiness Agreement (“BAA”) or Bilateral Aviation Safety Agreement (“BASA”) with Implementation Procedures for Airworthiness provides for airworthiness technical cooperation between the FAA and its counterpart CAA. Under a BAA or BASA, the CAA of the aircraft’s country of registration generally validates STCs issued by the FAA and then issues a Validation Supplemental Type Certificate. For countries with which the FAA does not have a BAA or BASA, Gogo must apply for certification approval with the CAA of the country in which the aircraft is registered. In order to obtain the necessary certification, Gogo will be required to comply with the airworthiness regulations of the country in which the aircraft is registered. Failure to address all foreign airworthiness and aviation regulatory requirements at the commencement of each aircraft operator’s service in any country in which it registers aircraft when there are no applicable bilateral agreements may lead to significant additional costs related to certification and could impact the timing of our ability to provide our service on such aircraft.</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Department of Transportation</w:t>
      </w:r>
    </w:p>
    <w:p>
      <w:pPr>
        <w:spacing w:after="0" w:line="117"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The U.S. Department of Transportation (“DOT”) established an Advisory Committee on Accessible Air Transportation to negotiate and develop a proposed rule concerning accommodations for passengers with disabilities in three basic areas, including in-flight entertainment (“IFE”) and closed captioning of IFE. The Committee issued a resolution in late 2016 that included its recommendations to the DOT for a rule on IFE. However, since a final rule on IFE has not yet been issued, it is unclear how, if at all, it may impact Gogo. According to the Agency Rule List – Spring 2022 posted by the Office of Information and Regulatory Affairs, Office of Management and Budget, the rulemaking about accessible IFE is a long-term action.</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Federal Communications Commission</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Under the Communications Act of 1934, as amended (the “Communications Act”), the FCC licenses the spectrum that we use and regulates the construction, operation, acquisition and sale of our wireless services. The Communications Act and FCC rules also require the FCC’s prior approval of the assignment or transfer of control of an FCC license, or the acquisition, directly or indirectly, of more than 25% of the equity or voting control of Gogo by non-U.S. individuals or entities.</w:t>
      </w:r>
    </w:p>
    <w:p>
      <w:pPr>
        <w:spacing w:after="0" w:line="77"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Our various services are regulated differently by the FCC. For example, we provide some of our voice and data services (not including Gogo Biz or AVANCE) by reselling the telecommunications services of two satellite operators. Because we provide these services on a common carrier basis, we are subject to the provisions of Title II of the Communications Act, which require, among other things, that the charges and practices of common carriers be just, reasonable and non-discriminatory. In addition, we provide an interconnected voice over Internet protocol (“VoIP”) service. The FCC applies many, but not all, of the same regulatory requirements to interconnected VoIP services as it does to common carrier telecommunications services.</w:t>
      </w:r>
    </w:p>
    <w:p>
      <w:pPr>
        <w:spacing w:after="0" w:line="5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offer connectivity service in the United States to business aviation aircraft and, pursuant to the ATG Network Sharing Agreement, to certain commercial aircraft operated by Intelsat’s airline customers, through our own facilities, using our ATG License, a nationwide commercial air-ground radiotelephone license in the 800 MHz band. We obtained and paid for this spectrum through an auction conducted by the FCC. See “ATG License Terms and Conditions.”</w:t>
      </w:r>
    </w:p>
    <w:p>
      <w:pPr>
        <w:spacing w:after="0" w:line="7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The FCC’s current rules classify broadband Internet access service as a lightly regulated, non-common carrier “information service,” and remove virtually all of the previously imposed network neutrality restrictions on blocking access to lawful content, applications, services or non-harmful devices; impairing or degrading lawful Internet traffic on the basis of content, applications, services or non-harmful devices; favoring some lawful Internet traffic over other lawful traffic in exchange for consideration of any kind; or prioritizing the content and services of broadband providers’ affiliates. We remain subject to certain modified transparency obligations that require disclosure of network management practices, performance, and commercial terms. To the extent the FCC</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right="540"/>
        <w:spacing w:after="0" w:line="277" w:lineRule="auto"/>
        <w:rPr>
          <w:sz w:val="20"/>
          <w:szCs w:val="20"/>
          <w:color w:val="auto"/>
        </w:rPr>
      </w:pPr>
      <w:r>
        <w:rPr>
          <w:rFonts w:ascii="Arial" w:cs="Arial" w:eastAsia="Arial" w:hAnsi="Arial"/>
          <w:sz w:val="18"/>
          <w:szCs w:val="18"/>
          <w:color w:val="auto"/>
        </w:rPr>
        <w:t>further restricts reasonable network management, or to the extent network neutrality proponents prevail on the adoption of further network neutrality restrictions, our business may be affected.</w:t>
      </w:r>
    </w:p>
    <w:p>
      <w:pPr>
        <w:spacing w:after="0" w:line="62"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Our Internet access service is also subject to the FCC’s data roaming rules, which require commercial mobile data service (“CMDS”) providers like Gogo to negotiate roaming arrangements with any requesting facilities-based, technologically compatible providers of CMDS. The rules do not give other providers the right to install equipment on Gogo-equipped aircraft and do not require the Gogo service to be provided on a discounted basis, although the arrangement must be “commercially reasonable.” The rules allow us to take reasonable measures to safeguard the quality of our service against network congestion that may result from roaming traffic.</w:t>
      </w:r>
    </w:p>
    <w:p>
      <w:pPr>
        <w:spacing w:after="0" w:line="83" w:lineRule="exact"/>
        <w:rPr>
          <w:sz w:val="20"/>
          <w:szCs w:val="20"/>
          <w:color w:val="auto"/>
        </w:rPr>
      </w:pPr>
    </w:p>
    <w:p>
      <w:pPr>
        <w:ind w:right="80" w:firstLine="509"/>
        <w:spacing w:after="0" w:line="307" w:lineRule="auto"/>
        <w:rPr>
          <w:sz w:val="20"/>
          <w:szCs w:val="20"/>
          <w:color w:val="auto"/>
        </w:rPr>
      </w:pPr>
      <w:r>
        <w:rPr>
          <w:rFonts w:ascii="Arial" w:cs="Arial" w:eastAsia="Arial" w:hAnsi="Arial"/>
          <w:sz w:val="17"/>
          <w:szCs w:val="17"/>
          <w:color w:val="auto"/>
        </w:rPr>
        <w:t>In addition, most of our services are subject to various rules that seek to ensure that the services are accessible to persons with disabilities, including requirements related to the pass-through of closed captioning for certain IP-delivered video content offered through our Gogo Vision.</w:t>
      </w:r>
    </w:p>
    <w:p>
      <w:pPr>
        <w:spacing w:after="0" w:line="39"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In addition to the two ATG licenses, we hold microwave licenses that are used for backhaul in our terrestrial network and an authorization for the provision of voice and data services between the United States and foreign points.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ATG License Terms and Conditions</w:t>
      </w:r>
    </w:p>
    <w:p>
      <w:pPr>
        <w:spacing w:after="0" w:line="117" w:lineRule="exact"/>
        <w:rPr>
          <w:sz w:val="20"/>
          <w:szCs w:val="20"/>
          <w:color w:val="auto"/>
        </w:rPr>
      </w:pPr>
    </w:p>
    <w:p>
      <w:pPr>
        <w:ind w:right="20" w:firstLine="509"/>
        <w:spacing w:after="0" w:line="341" w:lineRule="auto"/>
        <w:rPr>
          <w:sz w:val="20"/>
          <w:szCs w:val="20"/>
          <w:color w:val="auto"/>
        </w:rPr>
      </w:pPr>
      <w:r>
        <w:rPr>
          <w:rFonts w:ascii="Arial" w:cs="Arial" w:eastAsia="Arial" w:hAnsi="Arial"/>
          <w:sz w:val="16"/>
          <w:szCs w:val="16"/>
          <w:color w:val="auto"/>
        </w:rPr>
        <w:t>The FCC issued our ATG License on October 31, 2006, for a renewable 10-year term. We have satisfied our obligation under the license to provide “substantial service” to aircraft, and on January 25, 2017, we received confirmation from the FCC that the license has been renewed until October 31, 2026.</w:t>
      </w:r>
    </w:p>
    <w:p>
      <w:pPr>
        <w:spacing w:after="0" w:line="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Our 1 MHz ATG license obtained in 2013 from LiveTV Airfone, LLC was also originally issued on October 31, 2006, for a renewable 10-year term, although there is no “substantial service” obligation that attaches to this license. Our application to renew our license was subsequently granted for an additional 10-year term. On August 3, 2017, the FCC released an order that, among other things, revised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construction or substantial service requirement, it is not currently clear what level and length of service the FCC will find adequate when considering the next renewal of the 1 MHz ATG license in 2026.</w:t>
      </w:r>
    </w:p>
    <w:p>
      <w:pPr>
        <w:spacing w:after="0" w:line="55"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Our two ATG licenses contain certain conditions that require us to comply with all applicable FCC and FAA rules as well as all bilateral agreements between the United States and Canada and the United States and Mexico regarding the frequencies that are allocated for ATG services. These agreements apply to our use of the spectrum in areas adjacent to the United States’ northern and southern borders and in and out of Canadian and Mexican airspace.</w:t>
      </w:r>
    </w:p>
    <w:p>
      <w:pPr>
        <w:spacing w:after="0" w:line="40"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A bilateral ATG spectrum coordination agreement between the U.S. and Canada has been negotiated and approved and a bilateral agreement between the United States and Mexico is pending. In 2012, Industry Canada issued to our Canadian subsidiary a subordinate license that allows us to use Canadian ATG spectrum of which SkySurf Communications Inc. is the primary licensee, and in 2019 the primary license was renewed for an eight-year term expiring June 29, 2027. In 2012, we entered into a license agreement with SkySurf (the “License Agreement”), which commenced on August 14, 2012 and was recently renewed for a second ten-year term expiring July 24, 2032. Provided that the primary spectrum license agreement issued by Industry Canada (now Innovation, Science and Economic Development Canada or “ISED”) to SkySurf remains in effect on July 24, 2032, the License Agreement is renewable at our option for a further five-year term. The term of the License Agreement, including the second 10-year term and any renewals, is contingent on the effectiveness of the primary spectrum license.</w:t>
      </w:r>
    </w:p>
    <w:p>
      <w:pPr>
        <w:spacing w:after="0" w:line="75"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Any future coordination agreement with Mexico and/or a Mexican ATG licensee could affect our ability to provide our broadband Internet service in the border areas using our current cell sites at current operating power levels and could affect our ability to establish or maintain ATG service in the border areas as aircraft fly into and out of Mexican airspace.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Certification</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may not lease, sell, market or distribute any radio transmission equipment used in the provision of our services unless such equipment is certified by the FCC as compliant with the FCC’s technical rules. All certifications required for equipment currently used in the provision of our services have been obtained.</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Privacy and Data Security-Related Regulations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collect personal information, such as name, address, e-mail address and credit card information, directly from our users when they register to use our services, along with certain identifiers associated with devices using our services. We also may obtain information about our users from third parties or create records that may be personal information in connection with our services. We use the information that we collect and create to, for example, consummate their purchase transaction, customize and personalize advertising and content for our users and enhance the entertainment options when using our service. Our collection, protection, disclosure and use of such information are required in some circumstances to comply with our privacy policies, applicable law, and our contractual obligations to aviation partners and other third parties, as well as industry standards such as the Payment Card Industry Data Security Standard.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200" w:firstLine="509"/>
        <w:spacing w:after="0" w:line="259" w:lineRule="auto"/>
        <w:rPr>
          <w:sz w:val="20"/>
          <w:szCs w:val="20"/>
          <w:color w:val="auto"/>
        </w:rPr>
      </w:pPr>
      <w:r>
        <w:rPr>
          <w:rFonts w:ascii="Arial" w:cs="Arial" w:eastAsia="Arial" w:hAnsi="Arial"/>
          <w:sz w:val="18"/>
          <w:szCs w:val="18"/>
          <w:color w:val="auto"/>
        </w:rPr>
        <w:t>Notwithstanding that broadband Internet access is currently classified as a Title I information service, we must continue to comply with certain Communications Act and FCC privacy and data security rules for our services, including certain provisions applicable to customer proprietary network information (“CPNI”). The FCC is currently considering additional CPNI and cybersecurity requirements, which may subject the Company to additional compliance obligations.</w:t>
      </w:r>
    </w:p>
    <w:p>
      <w:pPr>
        <w:spacing w:after="0" w:line="7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are also subject to other federal and state consumer privacy and data security requirements. For example, Section 5 of the Federal Trade Commission (“FTC”) Act prohibits “unfair or deceptive acts or practices in or affecting commerce.” Although the FTC’s authority to regulate the non-common carrier services offered by communications common carriers has not been fully delineated, the FTC may have jurisdiction over some or all of our services. The FTC has brought enforcement actions under the FTC Act against companies that among other things: (1) collect, use, share or retain personal information in a way that is inconsistent with the representations, commitments, and promises that they make in their privacy policies and other public statements; (2) have privacy policies that do not adequately inform consumers about the company’s actual practices; and (3) fail to reasonably protect the security, privacy and confidentiality of nonpublic consumer information.</w:t>
      </w:r>
    </w:p>
    <w:p>
      <w:pPr>
        <w:spacing w:after="0" w:line="73"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We may also be subject to state laws pertaining to privacy and data security, such as the “mini-FTC Acts,” which prohibit unfair or deceptive acts or practices, along with data security breach notification laws requiring entities holding certain personal data to provide notices in the event of a breach of the security of that data. A few states have also imposed specific data security obligations. These state mini-FTC Acts, data security breach notification laws, and data security obligations may not extend to all of our services and their applicability may be limited by various factors, such as whether an affected party is a resident of a particular state.</w:t>
      </w:r>
    </w:p>
    <w:p>
      <w:pPr>
        <w:spacing w:after="0" w:line="8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Certain states have also enacted specific privacy laws to which we may be subject. For example, the California Consumer Privacy Act (“CCPA”) took effect January 1, 2020 and provides broad new privacy rights for California consumers, including, among others, the right to obtain copies of their personal information collected in the past 12 months, the ability to opt out from the sale of personal information and the right to demand deletion of personal information. The CCPA also imposes compliance requirements on companies that do business in California and collect personal information from consumers, including, among others, notice, consent and service provider requirements. The CCPA also provides for civil penalties for violations as well as a private right of action for data breaches that may increase data breach litigation. The California Office of the Attorney General has published final regulations to implement portions of the CCPA. In addition, in November 2020 California voters passed the California Privacy Rights Act (“CPRA”) ballot initiative, which introduced significant amendments to the CCPA. The CPRA went into effect on January 1, 2023, and new regulations are expected to take effect in 2023.</w:t>
      </w:r>
    </w:p>
    <w:p>
      <w:pPr>
        <w:spacing w:after="0" w:line="86"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Other states have enacted privacy laws: the Virginia Consumer Data Protection Act (“VCDPA”) went into effect on January 1, 2023, the Colorado Privacy Act and the Connecticut Data Privacy Act will take effect on July 1, 2023 and the Utah Consumer Privacy Act will take effect on December 31, 2023. These laws provide broad new privacy rights for consumers in these states, including the right to opt out of targeted advertising and certain profiling activities. Regulations relating to the Colorado Privacy Act are expected to be finalized in the course of 2023. Depending on these developments, the measures we are required to take to comply with these laws may be significant.</w:t>
      </w:r>
    </w:p>
    <w:p>
      <w:pPr>
        <w:spacing w:after="0" w:line="83"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Congress and other state legislatures have also been considering additional legislation relating to privacy and data breaches. Should any additional laws be enacted, they could affect our business.</w:t>
      </w:r>
    </w:p>
    <w:p>
      <w:pPr>
        <w:spacing w:after="0" w:line="62"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To the extent we collect personal information of residents of other countries, we may be subject to the data protection regulations of the relevant countries. On May 25, 2018, the General Data Protection Regulation (“GDPR”) of the European Union (“EU”) took effect, and it has imposed more restrictive privacy-related requirements for entities outside the EU that process personal information about European data subjects. EU member states also have some flexibility to supplement the GDPR with their own laws and regulations and may apply stricter requirements for certain data processing activities. Additionally, in Canada, the Personal Information Protection and Electronic Documents Act of 2000 (“PIPEDA”) and substantially similar provincial laws may impose data privacy and security obligations on the processing of personal data. The regulation of data privacy and security in other jurisdictions continues to evolve.</w:t>
      </w:r>
    </w:p>
    <w:p>
      <w:pPr>
        <w:spacing w:after="0" w:line="85"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In addition, certain countries have laws that restrict the transfer of personal information outside of such countries. For example, Switzerland, the United Kingdom and the member states of the EU impose restrictions on transferring such data to countries, including the U.S., that they do not deem to offer a similar standard of protection as they require. Certain mechanisms apply under Swiss, United Kingdom and EU member state laws that permit the cross-border transfer of personal information to countries that are not deemed adequate, such as the United States. Additionally, on July 16, 2020, the European Court of Justice (the highest EU court) ruled the EU-US privacy shield to be an invalid data transfer mechanism, confirmed that the Model Standard Contractual Clauses (“SCCs”) remain valid, and left unaddressed some issues regarding supplementary measures that may need to be taken to support transfers. On September 27, 2021, new versions of the SCC went into effect. Depending on the supplementary measures that may need to be taken to support transfers and implement the SCC, our ability to lawfully transfer personally identifiable information out of relevant jurisdictions to the United States or other jurisdictions may be impacted.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 w:name="page14"/>
    <w:bookmarkEnd w:id="13"/>
    <w:p>
      <w:pPr>
        <w:jc w:val="both"/>
        <w:ind w:right="140" w:firstLine="509"/>
        <w:spacing w:after="0" w:line="263" w:lineRule="auto"/>
        <w:rPr>
          <w:sz w:val="20"/>
          <w:szCs w:val="20"/>
          <w:color w:val="auto"/>
        </w:rPr>
      </w:pPr>
      <w:r>
        <w:rPr>
          <w:rFonts w:ascii="Arial" w:cs="Arial" w:eastAsia="Arial" w:hAnsi="Arial"/>
          <w:sz w:val="18"/>
          <w:szCs w:val="18"/>
          <w:color w:val="auto"/>
        </w:rPr>
        <w:t>Other countries, such as Australia, Brazil, China, India and Russia have also implemented, amended or been considering legislation regarding data protection, data security, breach notification and data transfers/localization. Such laws may affect our business and, should any additional laws be enacted in countries in which we do business, those laws may also affect our business.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Truth in Billing and Consumer Protection</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FCC’s Truth in Billing rules require full and fair disclosure of all charges on customer bills for telecommunications services, except for broadband Internet access services. Thus, these rules apply to our satellite-based services. This disclosure must include brief, clear and non-misleading plain language descriptions of the services provided. States also have the right to regulate wireless carriers’ billing; however, we are not currently aware of any states that impose billing requirements on ATG services.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CALEA</w:t>
      </w:r>
    </w:p>
    <w:p>
      <w:pPr>
        <w:spacing w:after="0" w:line="117" w:lineRule="exact"/>
        <w:rPr>
          <w:sz w:val="20"/>
          <w:szCs w:val="20"/>
          <w:color w:val="auto"/>
        </w:rPr>
      </w:pPr>
    </w:p>
    <w:p>
      <w:pPr>
        <w:ind w:right="420" w:firstLine="509"/>
        <w:spacing w:after="0" w:line="301" w:lineRule="auto"/>
        <w:rPr>
          <w:sz w:val="20"/>
          <w:szCs w:val="20"/>
          <w:color w:val="auto"/>
        </w:rPr>
      </w:pPr>
      <w:r>
        <w:rPr>
          <w:rFonts w:ascii="Arial" w:cs="Arial" w:eastAsia="Arial" w:hAnsi="Arial"/>
          <w:sz w:val="16"/>
          <w:szCs w:val="16"/>
          <w:color w:val="auto"/>
        </w:rPr>
        <w:t>The FCC has determined that facilities-based broadband Internet access providers, which include Gogo, are subject to the Communications Assistance for Law Enforcement Act, or CALEA, which requires covered service providers to build certain law enforcement surveillance assistance capabilities into their communications networks and to maintain CALEA-related system security policies and procedures. We have implemented such policies and procedures and, based upon our periodic self-assessments, we believe that our network is compliant with CALEA.</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FCC Secure and Trusted Communications Networks Reimbursement Program (the “FCC Reimbursement Program”)</w:t>
      </w:r>
      <w:r>
        <w:rPr>
          <w:rFonts w:ascii="Arial" w:cs="Arial" w:eastAsia="Arial" w:hAnsi="Arial"/>
          <w:sz w:val="18"/>
          <w:szCs w:val="18"/>
          <w:color w:val="auto"/>
        </w:rPr>
        <w:t>​</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 xml:space="preserve">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$333 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 shortfall in the amount appropriated by Congress to fund the FCC Reimbursement Program, approximately $131 million of the approved amount is currently allocated to the Company under the program. If Congress appropriates additional funds for this purpose, the allocations of the Company and other approved applicants will be increased </w:t>
      </w:r>
      <w:r>
        <w:rPr>
          <w:rFonts w:ascii="Arial" w:cs="Arial" w:eastAsia="Arial" w:hAnsi="Arial"/>
          <w:sz w:val="17"/>
          <w:szCs w:val="17"/>
          <w:i w:val="1"/>
          <w:iCs w:val="1"/>
          <w:color w:val="auto"/>
        </w:rPr>
        <w:t>pro rata</w:t>
      </w:r>
      <w:r>
        <w:rPr>
          <w:rFonts w:ascii="Arial" w:cs="Arial" w:eastAsia="Arial" w:hAnsi="Arial"/>
          <w:sz w:val="17"/>
          <w:szCs w:val="17"/>
          <w:color w:val="auto"/>
        </w:rPr>
        <w:t>. Program participants are subject to a number of conditions and requirements under the FCC’s rules including a requirement that they submit their first reimbursement request by July 14, 2023 and certify that they have developed a plan to permanently remove, replace and dispose of covered equipment or services within one year following the first reimbursement request. The rules permit participants to petition the FCC for one or more six-month extensions of the completion deadline. The Company has not yet determined whether it will participate in the FCC Reimbursement Program.</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We rely on a combination of intellectual property rights, including trade secrets, patents, copyrights, trademarks and domain names, as well as contractual restrictions to protect intellectual property and proprietary technology owned or used by us.</w:t>
      </w:r>
    </w:p>
    <w:p>
      <w:pPr>
        <w:spacing w:after="0" w:line="6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have patented certain of our technologies in the United States and certain countries outside of the United States. As of February 24, 2023, we held U.S. patents expiring on dates ranging from June 2023 to January 2041 and foreign patents expiring on dates ranging from November 2024 to August 2039. We do not believe that our business is dependent to any material extent on any single patent or group of patents that we own. We also have a number of patent applications pending both in and outside of the United States and we will continue to seek patent protection in the United States and certain other countries to the extent we believe such protection is appropriate and cost-effective.</w:t>
      </w:r>
    </w:p>
    <w:p>
      <w:pPr>
        <w:spacing w:after="0" w:line="67"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We consider our brands to be important to the success of our business and our competitive position. We rely on both trademark registrations and common law protection for trademarks. Our registered trademarks in the United States and certain other countries include, among others, “Gogo,” “Gogo Biz” and “Gogo Vision,” although we have not yet obtained registrations for our most important marks in all markets in which we currently do business or intend to do business in the future. Generally, the protection afforded for trademarks is perpetual, if they are renewed on a timely basis, if registered, and continue to be used properly as trademarks.</w:t>
      </w:r>
    </w:p>
    <w:p>
      <w:pPr>
        <w:spacing w:after="0" w:line="83" w:lineRule="exact"/>
        <w:rPr>
          <w:sz w:val="20"/>
          <w:szCs w:val="20"/>
          <w:color w:val="auto"/>
        </w:rPr>
      </w:pPr>
    </w:p>
    <w:p>
      <w:pPr>
        <w:ind w:right="60" w:firstLine="509"/>
        <w:spacing w:after="0" w:line="316" w:lineRule="auto"/>
        <w:rPr>
          <w:sz w:val="20"/>
          <w:szCs w:val="20"/>
          <w:color w:val="auto"/>
        </w:rPr>
      </w:pPr>
      <w:r>
        <w:rPr>
          <w:rFonts w:ascii="Arial" w:cs="Arial" w:eastAsia="Arial" w:hAnsi="Arial"/>
          <w:sz w:val="15"/>
          <w:szCs w:val="15"/>
          <w:color w:val="auto"/>
        </w:rPr>
        <w:t>We license or purchase from third parties technology, software and hardware that are critical to providing our products and services. Much of this technology, software and hardware is customized for our use and would be difficult or time-consuming to obtain from alternative vendors. We also license our proprietary technology and software to third parties to enable them to integrate such technology and software into the products they provide to us. Many of our agreements with such third parties are renewable for indefinite periods of time unless either party chooses to terminate, although some of our agreements expire after fixed periods and require renegotiation prior to expiration in order to extend the term. Among the most material of our technology-related agreements are those for modems, base stations and antennas. Our agreements for modems, base stations and antennas do not renew automatically</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and thus require periodic renegotiation. Such agreements, as well as certain licenses to commercially available software, are material to our business.</w:t>
      </w:r>
    </w:p>
    <w:p>
      <w:pPr>
        <w:spacing w:after="0" w:line="140" w:lineRule="exact"/>
        <w:rPr>
          <w:sz w:val="20"/>
          <w:szCs w:val="20"/>
          <w:color w:val="auto"/>
        </w:rPr>
      </w:pPr>
    </w:p>
    <w:p>
      <w:pPr>
        <w:jc w:val="both"/>
        <w:ind w:right="500" w:firstLine="509"/>
        <w:spacing w:after="0" w:line="311" w:lineRule="auto"/>
        <w:rPr>
          <w:sz w:val="20"/>
          <w:szCs w:val="20"/>
          <w:color w:val="auto"/>
        </w:rPr>
      </w:pPr>
      <w:r>
        <w:rPr>
          <w:rFonts w:ascii="Arial" w:cs="Arial" w:eastAsia="Arial" w:hAnsi="Arial"/>
          <w:sz w:val="16"/>
          <w:szCs w:val="16"/>
          <w:color w:val="auto"/>
        </w:rPr>
        <w:t>Under the terms of the Transaction, we retained ownership of the entire patent portfolio held by Gogo Inc. and its affiliates, including patents developed and obtained in connection with our former commercial aviation business. We have granted Intelsat a worldwide, perpetual, non-exclusive license to our patent portfolio for use in the commercial aviation and satellite mobility businesses (each as defined in the license agreement).</w:t>
      </w:r>
    </w:p>
    <w:p>
      <w:pPr>
        <w:spacing w:after="0" w:line="40"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We have developed certain ideas, processes, and methods that contribute to our success and competitive position that we consider to be trade secrets. We protect our trade secrets by keeping them confidential through the use of internal and external controls, including contractual protections with employees, contractors, customers and vendors. Trade secrets can be protected for an indefinite period so long as their secrecy is maintained.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believe that our success is the product of an integrated approach to talent management that touches every part of our business. Rather than focusing on individual processes, we manage our employee ecosystem holistically by encouraging behaviors, conversations, relationships and activities that represent best practices for a high performing culture. We are committed to fostering a highly engaged workforce and in turn driving satisfaction among partners and customers through initiatives that include the following:</w:t>
      </w:r>
    </w:p>
    <w:p>
      <w:pPr>
        <w:spacing w:after="0" w:line="77" w:lineRule="exact"/>
        <w:rPr>
          <w:sz w:val="20"/>
          <w:szCs w:val="20"/>
          <w:color w:val="auto"/>
        </w:rPr>
      </w:pPr>
    </w:p>
    <w:p>
      <w:pPr>
        <w:ind w:left="1020" w:right="300" w:hanging="503"/>
        <w:spacing w:after="0" w:line="25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Compensation: Our compensation program is designed to attract, retain and reward the best performers. In addition to carefully calibrated salaries and bonuses, which are reviewed annually, our employees benefit from a generous benefit package, including employee stock purchase and 401(k) programs. Additionally, in 2022 and 2021 all of our employees were eligible for equity awards through our annual equity program as a part of their compensation. We also grant additional equity awards on an annual basis to employees identified as high performers.</w:t>
      </w:r>
    </w:p>
    <w:p>
      <w:pPr>
        <w:spacing w:after="0" w:line="82" w:lineRule="exact"/>
        <w:rPr>
          <w:rFonts w:ascii="Arial" w:cs="Arial" w:eastAsia="Arial" w:hAnsi="Arial"/>
          <w:sz w:val="18"/>
          <w:szCs w:val="18"/>
          <w:color w:val="auto"/>
        </w:rPr>
      </w:pPr>
    </w:p>
    <w:p>
      <w:pPr>
        <w:ind w:left="1020" w:right="340" w:hanging="503"/>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Training &amp; Development: The continued development of our people is critical to our success. New hires participate in an onboarding and orientation program, which is intended to build knowledge and understanding of our business. We also invest in various professional development and leadership training initiatives and conduct quarterly forums relevant to our business that provide unique learning and networking opportunities across all business functions.</w:t>
      </w:r>
    </w:p>
    <w:p>
      <w:pPr>
        <w:spacing w:after="0" w:line="77"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Recognition: Our employees’ success is celebrated. Our recognition programs include service awards, peer-to-peer recognition awards (called Gogo Props), spot bonuses for significant contributions above and beyond daily work efforts and special equity awards for high performers nominated by their managers. We believe these programs promote a positive employee experience that champions performance while creating a sense of community.</w:t>
      </w:r>
    </w:p>
    <w:p>
      <w:pPr>
        <w:spacing w:after="0" w:line="77" w:lineRule="exact"/>
        <w:rPr>
          <w:rFonts w:ascii="Arial" w:cs="Arial" w:eastAsia="Arial" w:hAnsi="Arial"/>
          <w:sz w:val="18"/>
          <w:szCs w:val="18"/>
          <w:color w:val="auto"/>
        </w:rPr>
      </w:pPr>
    </w:p>
    <w:p>
      <w:pPr>
        <w:ind w:left="1020" w:right="80" w:hanging="503"/>
        <w:spacing w:after="0" w:line="296"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Talent Review: We employ a comprehensive talent review program to assess the performance and capabilities of each individual. Annually we set company-wide priorities that serve as the basis upon which clear individual objectives are set across the entire workforce. Feedback is provided regularly and our annual talent review process identifies and supports high performers in the form of additional development opportunities so that each employee has the opportunity to reach their full potential. By investing in our people and taking the opportunity to promote from within when appropriate, we believe we are best able to reinforce our core values and achieve our strategic objectives.</w:t>
      </w:r>
    </w:p>
    <w:p>
      <w:pPr>
        <w:spacing w:after="0" w:line="52" w:lineRule="exact"/>
        <w:rPr>
          <w:rFonts w:ascii="Arial" w:cs="Arial" w:eastAsia="Arial" w:hAnsi="Arial"/>
          <w:sz w:val="16"/>
          <w:szCs w:val="16"/>
          <w:color w:val="auto"/>
        </w:rPr>
      </w:pPr>
    </w:p>
    <w:p>
      <w:pPr>
        <w:ind w:left="1020" w:right="20" w:hanging="503"/>
        <w:spacing w:after="0" w:line="301"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Culture and Engagement: We conduct annual employee engagement surveys to solicit feedback and help guide planning on all people-related efforts and initiatives that not only support our team members but propel our business forward. We have had strong participation in our engagement surveys and are proud that our results benchmark us as a high performing company. Our employees have the opportunity to learn more about our business strategy and ask questions of our leadership team during Town Hall meetings we host quarterly.</w:t>
      </w:r>
    </w:p>
    <w:p>
      <w:pPr>
        <w:spacing w:after="0" w:line="47" w:lineRule="exact"/>
        <w:rPr>
          <w:rFonts w:ascii="Arial" w:cs="Arial" w:eastAsia="Arial" w:hAnsi="Arial"/>
          <w:sz w:val="16"/>
          <w:szCs w:val="16"/>
          <w:color w:val="auto"/>
        </w:rPr>
      </w:pPr>
    </w:p>
    <w:p>
      <w:pPr>
        <w:ind w:left="1020" w:right="20" w:hanging="504"/>
        <w:spacing w:after="0" w:line="288"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Diversity, Equity &amp; Inclusion (DEI): Gogo seeks to create an environment where each individual’s uniqueness is respected and which allows for a sense of inclusion and belonging. We have formed a Diversity Council consisting of a diverse, cross-functional group of employees who provide input to our DEI initiatives. Most recently, Gogo named an individual as Vice President, Diversity, Equity and Inclusion who dedicates time and effort toward evolving and driving our DEI strategy and associated initiatives. We have established employee resource groups led by employees with diverse backgrounds, experiences or characteristics who share a common interest in professional development and improving corporate culture. Other key initiatives include building awareness of unconscious bias and investing in and seeking to expand our engagement with diverse students at targeted colleges and universities. We also publish an annual Diversity and Inclusion report that includes a summary of our various DEI initiatives, together with data highlighting certain DEI metrics relative to our employee population. A copy of the annual Diversity and Inclusion Report can be found on our website under the heading “Diversity”.</w:t>
      </w:r>
    </w:p>
    <w:p>
      <w:pPr>
        <w:spacing w:after="0" w:line="63"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As of December 31, 2022, women and employees identifying with minority races comprised approximately 28.2% and 30.8%, respectively, of our workforce. We have nine members on our Board of Directors of which one is Black and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980" w:right="20"/>
        <w:spacing w:after="0" w:line="263" w:lineRule="auto"/>
        <w:rPr>
          <w:sz w:val="20"/>
          <w:szCs w:val="20"/>
          <w:color w:val="auto"/>
        </w:rPr>
      </w:pPr>
      <w:r>
        <w:rPr>
          <w:rFonts w:ascii="Arial" w:cs="Arial" w:eastAsia="Arial" w:hAnsi="Arial"/>
          <w:sz w:val="18"/>
          <w:szCs w:val="18"/>
          <w:color w:val="auto"/>
        </w:rPr>
        <w:t>woman. Of the five members on our Executive Leadership Team, two are women and another is Hispanic/Latinx. While Gogo promotes inclusiveness for all, we are focusing our recruiting efforts on expanding the diversity in our candidate pipeline overall, specifically including a greater focus on hiring more women and individuals who are Black.</w:t>
      </w:r>
    </w:p>
    <w:p>
      <w:pPr>
        <w:spacing w:after="0" w:line="75"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The efforts outlined above are supported by our dedicated human resources team and led by our Executive Vice President, Chief People Experience Officer, who is responsible for developing and executing our human capital strategy and regularly updates our Board of Directors and senior management on the operation and status of our human capital activities.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we had 422 employees. No employee is a member of a labor union.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Gogo Inc. is a holding company that does business through its subsidiaries. Our principal operating subsidiary is Gogo Business Aviation LLC, which is a direct, wholly-owned subsidiary of Gogo Intermediate Holdings LLC.</w:t>
      </w:r>
    </w:p>
    <w:p>
      <w:pPr>
        <w:spacing w:after="0" w:line="62"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Our principal executive offices are located at 105 Edgeview Dr., Suite 300, Broomfield, CO 80021. Our telephone number is (303) 301-3271. Our website addresses are www.gogoair.com and www.business.gogoair.com.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Our websites are located at www.gogoair.com and www.business.gogoair.com, and our investor relations website is located at http://ir.gogoair.com. Our Proxy Statements, Annual Reports on Form 10-K, Quarterly Reports on Form 10-Q, Current Reports on Form 8-K and amendments to reports filed or furnished pursuant to Sections 13(a) and 15(d) of the Securities Exchange Act of 1934, as amended (the “Exchange Act”), are available free of charge on the investor relations website as soon as reasonably practicable after we electronically file such material with, or furnish it to, the SEC. We also provide a link to the section of the SEC's website at www.sec.gov that has all of our public filings, including Annual Reports on Form 10-K, Quarterly Reports on Form 10-Q, Current Reports on Form 8-K, all amendments to those reports, our Proxy Statements, and other ownership related filings.</w:t>
      </w:r>
    </w:p>
    <w:p>
      <w:pPr>
        <w:spacing w:after="0" w:line="5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Investors and others can receive notifications of new information posted on our investor relations website in real-time by signing up for email alerts and RSS feeds. Further corporate governance information, including our certificate of incorporation, bylaws, corporate governance guidelines, board committee charters, and code of business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b w:val="1"/>
          <w:bCs w:val="1"/>
          <w:i w:val="1"/>
          <w:iCs w:val="1"/>
          <w:color w:val="auto"/>
        </w:rPr>
        <w:t>You should consider and read carefully all of the risks and uncertainties described below, as well as other information included in this Annual Report on Form 10-K,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on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b w:val="1"/>
          <w:bCs w:val="1"/>
          <w:i w:val="1"/>
          <w:iCs w:val="1"/>
          <w:color w:val="auto"/>
        </w:rPr>
        <w:t>We may be unable to continue to generate revenue from the provision of our connectivity services, which could materially and adversely affect our business and profitability.</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Our business is dependent on our ability to continuously attract and retain users of our connectivity and other service offerings, and we cannot be certain that we will be successful in these efforts or that customer retention levels will not materially decline. For the fiscal years ended December 31, 2022, 2021 and 2020, the Gogo service we provided on business aircraft (which excludes service provided on commercial aircraft under the ATG Network Sharing Agreement) generated approximately 71%, 75% and 78% of our revenue from continuing operations, respectively. A significant portion of such service revenue is generated through individual subscription agreements with our customers that cover a single or small number of aircraft, with the remainder generated through subscription agreements with certain fractional or charter operators covering larger fleets of aircraft. These agreements are generally no more than one-year in duration. As such, we have no assurance that any of such customers will renew their existing agreements with us upon expiration on comparable terms or at all, including as a result of a lack of demand or dissatisfaction with our services or the availability of superior or less expensive alternatives in the market. In addition, our subscription agreements are generally terminable at will by our customers and, if terminated, we may not be able to collect amounts we would have otherwise expected to receive during the full term of the agreement. To the extent that our subscribers terminate or fail to renew their contracts with us for any reason, our business prospects, financial condition and results of operations may be materially adversely affected.</w:t>
      </w:r>
    </w:p>
    <w:p>
      <w:pPr>
        <w:spacing w:after="0" w:line="77"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Our subscription agreements do not generally contain minimum commitments for the usage of our connectivity and other services. We have in the past, and may in the future, experience periods of reduced usage of our services by our customers or allow customers to suspend their accounts, which could adversely impact our results of operations and profitability. For example, we experienced a sharp decrease in flight activity, an increase in account suspensions and a decrease in new plan activities in mid-2020 as a result of reduced travel demand due to the COVID-19 pandemic.</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reliant on our key OEMs and dealers for equipment sales.</w:t>
      </w:r>
    </w:p>
    <w:p>
      <w:pPr>
        <w:spacing w:after="0" w:line="117" w:lineRule="exact"/>
        <w:rPr>
          <w:sz w:val="20"/>
          <w:szCs w:val="20"/>
          <w:color w:val="auto"/>
        </w:rPr>
      </w:pPr>
    </w:p>
    <w:p>
      <w:pPr>
        <w:ind w:right="100" w:firstLine="509"/>
        <w:spacing w:after="0" w:line="287" w:lineRule="auto"/>
        <w:rPr>
          <w:sz w:val="20"/>
          <w:szCs w:val="20"/>
          <w:color w:val="auto"/>
        </w:rPr>
      </w:pPr>
      <w:r>
        <w:rPr>
          <w:rFonts w:ascii="Arial" w:cs="Arial" w:eastAsia="Arial" w:hAnsi="Arial"/>
          <w:sz w:val="16"/>
          <w:szCs w:val="16"/>
          <w:color w:val="auto"/>
        </w:rPr>
        <w:t>Revenue from equipment sales accounted for approximately 27%, 23% and 21% of our revenue from continuing operations for the fiscal years ended December 31, 2022, 2021 and 2020, respectively. More than 90% of our equipment revenue in each such fiscal year was generated from contracts with OEMs and after-market dealers. Almost all of our contracts with OEMs and dealers are terminable at will by either party on short notice. If one or more key OEMs or dealers terminates its relationship with us for any reason or our contract expires and is not renewed, our business and results of operations may be materially and adversely affected. In addition, pursuant to many of our contracts with our OEM distribution partners, we have agreed to deliver equipment and/or services, including equipment and services not yet in production, for a fixed price and, accordingly, take the risk of any cost overruns or delays in the completion of the design and manufacturing of the product. Certain of our contracts with our OEMs also include provisions that, under specified circumstances, entitle them to the benefit of certain more favorable provisions in other equipment contracts, including with respect to pricing. These provisions, some of which have retroactive effect, may limit the benefits we realize from contracts containing such provisions. Our inability to identify and offer improved terms to a distribution partner or customer in accordance with such a provision could negatively affect our relationship with that distribution partner or customer or give rise to a claim that we are in breach of such contract.</w:t>
      </w:r>
    </w:p>
    <w:p>
      <w:pPr>
        <w:spacing w:after="0" w:line="6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Many of our distribution partners have also not committed to purchase any minimum quantity of our equipment. In certain cases, we must anticipate the future volume of orders based upon non-binding production schedules provided by OEMs, historical purchasing patterns and informal discussions with customers and dealers as to their anticipated future requirements. Cancellations, reductions or delays by OEMs and dealers may have a material adverse effect on our business, financial condition and results of operations.</w:t>
      </w:r>
    </w:p>
    <w:p>
      <w:pPr>
        <w:spacing w:after="0" w:line="7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Some of our dealers are experiencing continuing issues with labor shortages, which has impacted their ability to install our equipment, leading to a longer period of time between shipment and activation of our equipment. If our dealers are unable to eliminate or mitigate these labor shortages, our business, financial condition and results of operations may be materially adversely affected.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ind w:firstLine="509"/>
        <w:spacing w:after="0" w:line="256" w:lineRule="auto"/>
        <w:rPr>
          <w:sz w:val="20"/>
          <w:szCs w:val="20"/>
          <w:color w:val="auto"/>
        </w:rPr>
      </w:pPr>
      <w:r>
        <w:rPr>
          <w:rFonts w:ascii="Arial" w:cs="Arial" w:eastAsia="Arial" w:hAnsi="Arial"/>
          <w:sz w:val="18"/>
          <w:szCs w:val="18"/>
          <w:color w:val="auto"/>
        </w:rPr>
        <w:t>Our distribution partners may be materially adversely impacted by economic downturns and market disruptions. See “—</w:t>
      </w:r>
      <w:r>
        <w:rPr>
          <w:rFonts w:ascii="Arial" w:cs="Arial" w:eastAsia="Arial" w:hAnsi="Arial"/>
          <w:sz w:val="18"/>
          <w:szCs w:val="18"/>
          <w:i w:val="1"/>
          <w:iCs w:val="1"/>
          <w:color w:val="auto"/>
        </w:rPr>
        <w:t>Adverse economic</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including economic slowdowns, may have a material adverse effect on our business</w:t>
      </w:r>
      <w:r>
        <w:rPr>
          <w:rFonts w:ascii="Arial" w:cs="Arial" w:eastAsia="Arial" w:hAnsi="Arial"/>
          <w:sz w:val="18"/>
          <w:szCs w:val="18"/>
          <w:color w:val="auto"/>
        </w:rPr>
        <w:t>.” In anticipation of changing economic conditions, OEMs</w:t>
      </w:r>
      <w:r>
        <w:rPr>
          <w:rFonts w:ascii="Arial" w:cs="Arial" w:eastAsia="Arial" w:hAnsi="Arial"/>
          <w:sz w:val="18"/>
          <w:szCs w:val="18"/>
          <w:i w:val="1"/>
          <w:iCs w:val="1"/>
          <w:color w:val="auto"/>
        </w:rPr>
        <w:t xml:space="preserve"> </w:t>
      </w:r>
      <w:r>
        <w:rPr>
          <w:rFonts w:ascii="Arial" w:cs="Arial" w:eastAsia="Arial" w:hAnsi="Arial"/>
          <w:sz w:val="18"/>
          <w:szCs w:val="18"/>
          <w:color w:val="auto"/>
        </w:rPr>
        <w:t>in particular may be more conservative in their production, which may reduce our market opportunities. Further, unfavorable market conditions could cause one or more of our OEMs or dealers to file for bankruptcy, which may have a material adverse effect on our business, financial condition and results of operations.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Competition could result in price reduction, reduced revenue and loss of market position and could harm our results of operations.</w:t>
      </w:r>
    </w:p>
    <w:p>
      <w:pPr>
        <w:spacing w:after="0" w:line="128"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Our equipment and services are sold in competitive markets. Some of our current or potential future competitors are, or could potentially be, larger, more diversified corporations and have greater financial, marketing, production and research and development resources. As a result, they may be better able to withstand pricing pressures and the effects of periodic economic downturns. Some of our current or future competitors may offer a broader product line or broader geographic coverage to customers. Our business and results of operations may be materially adversely affected if our competitors:</w:t>
      </w:r>
    </w:p>
    <w:p>
      <w:pPr>
        <w:spacing w:after="0" w:line="48" w:lineRule="exact"/>
        <w:rPr>
          <w:sz w:val="20"/>
          <w:szCs w:val="20"/>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equipment or services that are superior to our equipment and services;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equipment or services that are priced more competitively than our equipment and services;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methods of more efficiently and effectively providing equipment and services; or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 more quickly than we do to new technologies or evolving customer requirements.</w:t>
      </w:r>
    </w:p>
    <w:p>
      <w:pPr>
        <w:spacing w:after="0" w:line="117"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We believe that the principal points of competition in our business are technological capabilities, geographic coverage, price, customer service, product development, conformity to customer specifications, compliance with regulatory certification requirements, quality of support after the sale and timeliness of delivery and installation. Maintaining and improving our competitive position will require continued investment in technology, manufacturing, engineering, quality standards, marketing and customer service and support. If we do not maintain sufficient resources to make these investments or are not successful in maintaining our competitive position, our operations and financial performance will suffer. We may not have the financial resources, technical expertise or support capabilities to continue to compete successfully. SmartSky recently announced that its ATG network in the continental United States, originally targeted for launch in 2016, is now “live nationwide.” This is the first time that we have faced competition from a nationwide ATG network, and should such competitor be successful in entering our market, other competitors could be prompted to enter this business using the same or other ATG spectrum. Another in-flight connectivity provider has launched service on commercial aircraft in Europe using a hybrid ATG/satellite network.</w:t>
      </w:r>
    </w:p>
    <w:p>
      <w:pPr>
        <w:spacing w:after="0" w:line="74"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While we have recently announced our plans to launch our LEO-satellite based Global Broadband service, we do not currently offer satellite-based broadband service and could face competition from owners of LEO and other new non-GEO satellite constellations should they decide to enter our market. Starlink, a division of Space Exploration Technologies Corp. that operates a LEO satellite network, has been awarded an ESIM (Earth Stations in Motion) license by the FCC that would cover aircraft and other moving vehicles. In October 2022, Starlink announced that it is taking orders for its planned global in-flight connectivity service, with equipment deliveries expected to begin in 2023. A failure to successfully anticipate and respond to Starlink and other established and new competitors may have a material adverse impact on our business and results of operations.</w:t>
      </w:r>
    </w:p>
    <w:p>
      <w:pPr>
        <w:spacing w:after="0" w:line="163"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b w:val="1"/>
          <w:bCs w:val="1"/>
          <w:i w:val="1"/>
          <w:iCs w:val="1"/>
          <w:color w:val="auto"/>
        </w:rPr>
        <w:t>We depend upon third parties, many of which are single-source providers, to manufacture equipment components, provide services for our network and install and maintain our equipment.</w:t>
      </w:r>
    </w:p>
    <w:p>
      <w:pPr>
        <w:spacing w:after="0" w:line="62"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rely on third-party suppliers for equipment components and services that we use to provide our services. Many suppliers of critical components of our equipment are single-source providers. Components for which we rely on single-source suppliers include, among others, the antennas and modems for all systems, the equipment used at our ATG cell site base stations and the ESA for our Global Broadband network. We plan to launch Global Broadband using OneWeb as our sole LEO satellite network provider. If we are required for any reason (including expiration of the contract, termination by one party for material breach or other termination events) to find one or more alternative suppliers, we estimate that the replacement process could take up to two years depending upon the component or service, and we may not be able to contract with such alternative suppliers on a timely basis, on commercially reasonable terms, or at all. Finding and contracting with suppliers of some components may be delayed or made more difficult by current suppliers’ ownership of key intellectual property that requires alternative suppliers to either obtain rights to such intellectual property or develop new designs that do not infringe on such intellectual property. In addition, many of our components, such as the equipment used in our base stations, are highly integrated with other system components, which may further lengthen the time required for an alternative supplier to deliver a component or service that meets our system requirements. We also rely on third parties to provide the links between our data centers and our ground network. If we are not able to continue to engage suppliers with the capabilities or capacities required by our business, or if such suppliers fail to deliver quality products, parts, equipment and services in sufficient quantities or on a timely basis consistent with our inventory needs and production schedule, our business, financial condition and results of operations may be materially adversely affected.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ind w:right="60" w:firstLine="509"/>
        <w:spacing w:after="0" w:line="301" w:lineRule="auto"/>
        <w:rPr>
          <w:sz w:val="20"/>
          <w:szCs w:val="20"/>
          <w:color w:val="auto"/>
        </w:rPr>
      </w:pPr>
      <w:r>
        <w:rPr>
          <w:rFonts w:ascii="Arial" w:cs="Arial" w:eastAsia="Arial" w:hAnsi="Arial"/>
          <w:sz w:val="16"/>
          <w:szCs w:val="16"/>
          <w:color w:val="auto"/>
        </w:rPr>
        <w:t>The supply of third-party components and services could be interrupted or halted by a termination of our relationships, a failure of quality control or other operational problems at such suppliers or a significant decline in their financial condition. If we are not able to continue to engage suppliers with the capabilities or capacities required by our business, or if such suppliers fail to deliver quality products, parts, equipment and services on a timely basis consistent with our schedule, our business, financial condition and results of operations may be materially adversely affected.</w:t>
      </w:r>
    </w:p>
    <w:p>
      <w:pPr>
        <w:spacing w:after="0" w:line="156"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b w:val="1"/>
          <w:bCs w:val="1"/>
          <w:i w:val="1"/>
          <w:iCs w:val="1"/>
          <w:color w:val="auto"/>
        </w:rPr>
        <w:t>Global supply chain challenges and logistics issues as well as increasing inflation have had, and may continue to have, an adverse effect on our business, financial condition and results of operations.</w:t>
      </w:r>
    </w:p>
    <w:p>
      <w:pPr>
        <w:spacing w:after="0" w:line="6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early 2020, many manufacturers of electronic components reduced their capacity in response to the reduced demand that accompanied the COVID-19 pandemic. While manufacturers have begun to increase manufacturing capacity as demand recovers from the impact of COVID-19, demand has exceeded supply in certain areas, and global shortages of electronic components have occurred. In addition, inflation, changes in trade policies, the imposition of duties and tariffs, potential retaliatory countermeasures, public health crises (such as the COVID-19 pandemic) and geopolitical conflicts continue to adversely impact the availability and price of electronic components.</w:t>
      </w:r>
    </w:p>
    <w:p>
      <w:pPr>
        <w:spacing w:after="0" w:line="8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We have experienced longer lead times and encountered delays in obtaining electronic components, and we expect longer lead times and delays to continue. While we believe that we have adequate inventory or will be able to acquire sufficient electronic components to meet customer demand as currently forecasted, increases in demand combined with a continued shortage of electronic components could cause product delays or shortages. We have prepaid the suppliers of certain components to help ensure adequate supply and expect to continue to do so, and we may face price increases for certain components due to the shortages. In addition, the effects of the pandemic include global logistics issues such as shipping logjams, workforce shortages and carrier capacity constraints, all of which may negatively affect our ability to obtain electronic and other components on a timely basis. We cannot predict how long the component shortages or logistics issues will continue.</w:t>
      </w:r>
    </w:p>
    <w:p>
      <w:pPr>
        <w:spacing w:after="0" w:line="181"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b w:val="1"/>
          <w:bCs w:val="1"/>
          <w:i w:val="1"/>
          <w:iCs w:val="1"/>
          <w:color w:val="auto"/>
        </w:rPr>
        <w:t>When we expand our business outside the United States with Global Broadband, we will be exposed to a variety of risks associated with international operations that could adversely affect our business.</w:t>
      </w:r>
    </w:p>
    <w:p>
      <w:pPr>
        <w:spacing w:after="0" w:line="62" w:lineRule="exact"/>
        <w:rPr>
          <w:sz w:val="20"/>
          <w:szCs w:val="20"/>
          <w:color w:val="auto"/>
        </w:rPr>
      </w:pPr>
    </w:p>
    <w:p>
      <w:pPr>
        <w:jc w:val="both"/>
        <w:ind w:right="300" w:firstLine="509"/>
        <w:spacing w:after="0" w:line="286" w:lineRule="auto"/>
        <w:rPr>
          <w:sz w:val="20"/>
          <w:szCs w:val="20"/>
          <w:color w:val="auto"/>
        </w:rPr>
      </w:pPr>
      <w:r>
        <w:rPr>
          <w:rFonts w:ascii="Arial" w:cs="Arial" w:eastAsia="Arial" w:hAnsi="Arial"/>
          <w:sz w:val="17"/>
          <w:szCs w:val="17"/>
          <w:color w:val="auto"/>
        </w:rPr>
        <w:t>Although our operations and business are currently predominately located in the United States, a component of our growth strategy involves the launch and expansion of our Global Broadband operations and customer base internationally. As we expand internationally, we expect that we would be subject to additional risks related to conducting operations outside the United States, including, but not limited to:</w:t>
      </w:r>
    </w:p>
    <w:p>
      <w:pPr>
        <w:spacing w:after="0" w:line="56" w:lineRule="exact"/>
        <w:rPr>
          <w:sz w:val="20"/>
          <w:szCs w:val="20"/>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penetrating new markets due to established and entrenched competitors;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developing products and services that are tailored to the needs of local customers;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to adapt and localize our products and services for specific countries;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local acceptance or knowledge of our products and services;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obtaining required regulatory or other governmental approvals;</w:t>
      </w:r>
    </w:p>
    <w:p>
      <w:pPr>
        <w:spacing w:after="0" w:line="116" w:lineRule="exact"/>
        <w:rPr>
          <w:rFonts w:ascii="Arial" w:cs="Arial" w:eastAsia="Arial" w:hAnsi="Arial"/>
          <w:sz w:val="18"/>
          <w:szCs w:val="18"/>
          <w:color w:val="auto"/>
        </w:rPr>
      </w:pPr>
    </w:p>
    <w:p>
      <w:pPr>
        <w:ind w:left="1020" w:right="380" w:hanging="50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and managing collections in countries where our recourse may be more limited, as well as longer collection periods;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laws and regulatory requirements, including with respect to taxes and trade laws;</w:t>
      </w:r>
    </w:p>
    <w:p>
      <w:pPr>
        <w:spacing w:after="0" w:line="116" w:lineRule="exact"/>
        <w:rPr>
          <w:rFonts w:ascii="Arial" w:cs="Arial" w:eastAsia="Arial" w:hAnsi="Arial"/>
          <w:sz w:val="18"/>
          <w:szCs w:val="18"/>
          <w:color w:val="auto"/>
        </w:rPr>
      </w:pPr>
    </w:p>
    <w:p>
      <w:pPr>
        <w:ind w:left="1020" w:right="220" w:hanging="50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stringent regulations relating to communications; privacy and data security and the unauthorized use of, or access to, commercial and personal data; and aerospace and liability standards;</w:t>
      </w:r>
    </w:p>
    <w:p>
      <w:pPr>
        <w:spacing w:after="0" w:line="61" w:lineRule="exact"/>
        <w:rPr>
          <w:rFonts w:ascii="Arial" w:cs="Arial" w:eastAsia="Arial" w:hAnsi="Arial"/>
          <w:sz w:val="18"/>
          <w:szCs w:val="18"/>
          <w:color w:val="auto"/>
        </w:rPr>
      </w:pPr>
    </w:p>
    <w:p>
      <w:pPr>
        <w:ind w:left="1020" w:right="200" w:hanging="50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over large geographic distances, including compliance with differing labor laws and the need to implement appropriate systems, policies and hiring, benefits and compliance programs;</w:t>
      </w:r>
    </w:p>
    <w:p>
      <w:pPr>
        <w:spacing w:after="0" w:line="61" w:lineRule="exact"/>
        <w:rPr>
          <w:rFonts w:ascii="Arial" w:cs="Arial" w:eastAsia="Arial" w:hAnsi="Arial"/>
          <w:sz w:val="18"/>
          <w:szCs w:val="18"/>
          <w:color w:val="auto"/>
        </w:rPr>
      </w:pPr>
    </w:p>
    <w:p>
      <w:pPr>
        <w:ind w:left="1020" w:right="160" w:hanging="50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costs associated with international operations, including travel, real estate, infrastructure and legal compliance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left="1020" w:right="48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other economic factors, including inflation, pricing and currency devaluation;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116" w:lineRule="exact"/>
        <w:rPr>
          <w:rFonts w:ascii="Arial" w:cs="Arial" w:eastAsia="Arial" w:hAnsi="Arial"/>
          <w:sz w:val="18"/>
          <w:szCs w:val="18"/>
          <w:color w:val="auto"/>
        </w:rPr>
      </w:pPr>
    </w:p>
    <w:p>
      <w:pPr>
        <w:ind w:left="1020" w:right="54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enforcing our intellectual property;</w:t>
      </w:r>
    </w:p>
    <w:p>
      <w:pPr>
        <w:spacing w:after="0" w:line="116" w:lineRule="exact"/>
        <w:rPr>
          <w:rFonts w:ascii="Arial" w:cs="Arial" w:eastAsia="Arial" w:hAnsi="Arial"/>
          <w:sz w:val="18"/>
          <w:szCs w:val="18"/>
          <w:color w:val="auto"/>
        </w:rPr>
      </w:pPr>
    </w:p>
    <w:p>
      <w:pPr>
        <w:ind w:left="1020" w:right="60" w:hanging="504"/>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instability, social unrest, terrorist activities, acts of civil or international hostility, such as the current military conflict and escalating tensions between Russia and Ukraine, natural disasters and regional or global outbreaks of contagious diseases, such as the COVID-19 pandemic;</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ability of U.S. companies to do business in foreign countries; and</w:t>
      </w:r>
    </w:p>
    <w:p>
      <w:pPr>
        <w:spacing w:after="0" w:line="116" w:lineRule="exact"/>
        <w:rPr>
          <w:rFonts w:ascii="Arial" w:cs="Arial" w:eastAsia="Arial" w:hAnsi="Arial"/>
          <w:sz w:val="18"/>
          <w:szCs w:val="18"/>
          <w:color w:val="auto"/>
        </w:rPr>
      </w:pPr>
    </w:p>
    <w:p>
      <w:pPr>
        <w:ind w:left="1020" w:right="240" w:hanging="504"/>
        <w:spacing w:after="0" w:line="307"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exposure to liabilities under anti-corruption and anti-money laundering laws, including the U.S. Foreign Corrupt Practices Act of 1977, as amended (the “FCPA”), the U.K. Bribery Act (the “Bribery Act”) and similar laws and regulations in other jurisdictions.</w:t>
      </w:r>
    </w:p>
    <w:p>
      <w:pPr>
        <w:spacing w:after="0" w:line="39"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These and other factors could affect our ability to compete successfully and expand internationally and, consequently, our business, financial condition and results of operations may be materially adversely affected.</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We may fail to recruit, train and retain the highly skilled employees that are necessary to remain competitive and execute our growth strategy.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of our key personnel could harm our business.</w:t>
      </w:r>
    </w:p>
    <w:p>
      <w:pPr>
        <w:spacing w:after="0" w:line="102"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Competition for key technical personnel in high-technology industries such as ours is intense. We believe that our future success depends in large part on our continued ability to hire, train, retain and leverage the skills of qualified engineers and other highly skilled personnel needed to maintain and grow our ATG networks and related technology and develop and successfully deploy Gogo 5G, Global Broadband and other elements of our technology roadmap and new wireless telecommunications products and technology. We may not be as successful as our competitors at recruiting, training, retaining and utilizing these highly skilled personnel. Any failure to recruit, train and retain highly skilled employees may have a material adverse effect on our business.</w:t>
      </w:r>
    </w:p>
    <w:p>
      <w:pPr>
        <w:spacing w:after="0" w:line="8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depend on the continued service and performance of our key personnel, including Oakleigh Thorne, our CEO. Such individuals have acquired specialized knowledge and skills with respect to Gogo and its operations. As a result, if any of our key personnel were to leave Gogo, we could face substantial difficulty in hiring qualified successors and could experience a loss of productivity while any such successor obtains the necessary training and expertise. We do not maintain key man insurance on any of our officers or key employees. In addition, much of our key technology and systems is custom-made for our business by our personnel. The loss of key personnel, including key members of our management team, could disrupt our operations and may have a material adverse effect on our business.</w:t>
      </w:r>
    </w:p>
    <w:p>
      <w:pPr>
        <w:spacing w:after="0" w:line="19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b w:val="1"/>
          <w:bCs w:val="1"/>
          <w:i w:val="1"/>
          <w:iCs w:val="1"/>
          <w:color w:val="auto"/>
        </w:rPr>
        <w:t>Pandemics or other outbreaks of contagious diseases, including the COVID-19 pandemic, and the measures implemented to combat them have had, and may continue to have, a material adverse effect on our business.</w:t>
      </w:r>
    </w:p>
    <w:p>
      <w:pPr>
        <w:spacing w:after="0" w:line="62"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We face various risks related to public health issues, including epidemics, pandemics and other outbreak of infectious disease. For example, the COVID-19 pandemic caused a significant decline in international and domestic business aviation travel, which materially and adversely affected our business in 2020. Future pandemics and other outbreaks of contagious diseases could result in similar or worse impacts and significant business and operational disruptions, including business closures, supply chain disruptions, travel restrictions, stay-at-home orders and limitations on the availability of workforces.</w:t>
      </w:r>
    </w:p>
    <w:p>
      <w:pPr>
        <w:spacing w:after="0" w:line="83"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Whether and to what extent future pandemics and other outbreaks of contagious diseases may impact our financial and operational performance will depend on developments that include the duration, spread and severity of the outbreak, the timetable for administering and efficacy of vaccines, the duration and geographic scope of related travel advisories and restrictions and the extent of the impact of the pandemic or outbreak on overall demand for commercial and business aviation travel, and other factors beyond our control, all of which are highly uncertain and cannot be predicted.</w:t>
      </w:r>
    </w:p>
    <w:p>
      <w:pPr>
        <w:spacing w:after="0" w:line="48"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In addition to directly impacting demand for air travel, COVID-19 has had, and future pandemics and other outbreaks of contagious diseases and any resultant restrictions may have, a material and adverse impact on other aspects of our business, including:</w:t>
      </w:r>
    </w:p>
    <w:p>
      <w:pPr>
        <w:spacing w:after="0" w:line="62" w:lineRule="exact"/>
        <w:rPr>
          <w:sz w:val="20"/>
          <w:szCs w:val="20"/>
          <w:color w:val="auto"/>
        </w:rPr>
      </w:pPr>
    </w:p>
    <w:p>
      <w:pPr>
        <w:ind w:left="5540" w:right="4940" w:hanging="5024"/>
        <w:spacing w:after="0" w:line="572" w:lineRule="auto"/>
        <w:tabs>
          <w:tab w:leader="none" w:pos="1032"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and difficulties in completing installations on certain aircraft; and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0" w:name="page21"/>
    <w:bookmarkEnd w:id="20"/>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our ability to market and grow our business and to promote technological innovation.</w:t>
      </w:r>
    </w:p>
    <w:p>
      <w:pPr>
        <w:spacing w:after="0" w:line="117"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In addition, pandemics and other outbreaks of contagious diseases may also exacerbate other risks disclosed in this Annual Report on Form 10-K. For example, COVID-19 has had, and future pandemics and other outbreaks of contagious diseases may have, an adverse effect on our supply chain. See “—</w:t>
      </w:r>
      <w:r>
        <w:rPr>
          <w:rFonts w:ascii="Arial" w:cs="Arial" w:eastAsia="Arial" w:hAnsi="Arial"/>
          <w:sz w:val="18"/>
          <w:szCs w:val="18"/>
          <w:i w:val="1"/>
          <w:iCs w:val="1"/>
          <w:color w:val="auto"/>
        </w:rPr>
        <w:t>Global supply chain challenges and logistics issues as well as increasing inflation have had, and may continue to have, an adverse effect on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financial condition and results of operations</w:t>
      </w:r>
      <w:r>
        <w:rPr>
          <w:rFonts w:ascii="Arial" w:cs="Arial" w:eastAsia="Arial" w:hAnsi="Arial"/>
          <w:sz w:val="18"/>
          <w:szCs w:val="18"/>
          <w:color w:val="auto"/>
        </w:rPr>
        <w: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Adverse economic conditions, including economic slowdowns, may have a material adverse effect on our business.</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cannot predict the nature, extent, timing or likelihood of any economic slowdown or the strength or sustainability of any economic recovery, worldwide, in the United States or in the aviation industry. Negative conditions in the general economy both in the United States and globally, including conditions resulting from changes in gross domestic product growth, declines in consumer confidence, labor shortages, inflationary pressures, rising interest rates, and financial and credit market fluctuations could cause a decrease in business investments, including spending on air travel and otherwise, and could materially and adversely affect the growth of our business. In particular, although inflation in the United States has been relatively low in recent years, the U.S. economy has recently experienced a significant inflationary effect from, among other things, supply chain disruptions and governmental stimulus or fiscal policies adopted in response to the COVID-19 pandemic. While we cannot predict any future trends in the rate of inflation, there is currently significant uncertainty in the near-term economic outlook. Continued inflation would further raise our costs for labor, materials and services, which could negatively impact our profitability and cash flows. Additionally, we may be unable to raise our prices for our equipment and services in amounts equal to the rate of inflation, and if our constrained supply chain continues, our operating profit and balance sheet may be negatively impacted.</w:t>
      </w:r>
    </w:p>
    <w:p>
      <w:pPr>
        <w:spacing w:after="0" w:line="58"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In addition, geopolitical risks, including those arising from political turmoil, trade tension and/or the imposition of trade tariffs, terrorist activity and acts of civil or international hostility, are increasing. For instance, the ongoing military conflict between Russia and Ukraine has had negative impacts on the global economy, including by contributing to rapidly rising costs of living (driven largely by higher energy prices) in Europe and created uncertainty in the global capital markets and is expected to have further global economic consequences, including disruptions of energy markets. Further, other events outside of our control, including natural disasters, climate change-related events and regional or global outbreaks of contagious diseases, such as the COVID-19 pandemic,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 If conditions of the general economy or markets in which we operate worsen from present levels, it could lead to a decrease in air travel, cause owners and operators of business aircraft to cut costs by reducing their purchases or use of private aircraft or their use of in-flight Internet access on such aircraft or reduce the number of airline passengers on commercial aircraft to which we supply ATG network access. Should an economic slowdown occur in the U.S. or globally, our business and results of operations may be materially adversely affected.</w:t>
      </w:r>
    </w:p>
    <w:p>
      <w:pPr>
        <w:spacing w:after="0" w:line="183"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b w:val="1"/>
          <w:bCs w:val="1"/>
          <w:i w:val="1"/>
          <w:iCs w:val="1"/>
          <w:color w:val="auto"/>
        </w:rPr>
        <w:t>We may not be able to fully utilize portions of our deferred tax assets, which would negatively impact our earnings and other comprehensive income.</w:t>
      </w:r>
    </w:p>
    <w:p>
      <w:pPr>
        <w:spacing w:after="0" w:line="62"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For the year ended December 31, 2022, our determination that we are more likely than not to realize a portion of our deferred tax assets resulted in a release of approximately $11.4 million of our valuation allowance. As discussed in more detail in the section entitled “Management’s Discussion and Analysis of Financial Condition and Results of Operations—Critical Accounting Estimates—Deferred Income Taxes - Valuation Allowance,” our determination that we are more likely than not to realize a portion of our deferred tax assets represents our best estimate and considers both positive and negative factors. We considered positive factors including the sale of our CA business, the reduction in interest expense resulting from the Refinancing and the settlement of the 2022 Convertible Notes, strong demand for our products and services and pre-tax income from continuing operations in 2022 and the third and fourth fiscal quarters of 2021. The negative factors included cumulative pre-tax losses from continuing operations in the three-year period ending with the current quarter and our relatively short history of pre-tax income from continuing operations. It is possible that there will be changes in our business, our performance, our industry or otherwise that cause actual results to differ materially from this estimate. If those changes result in significant and sustained reductions in our pre-tax income or utilization of existing tax carryforwards in future periods, additional valuation allowances may have to be recorded, which could have a material adverse impact on earnings and/or other comprehensive income.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Increased attention to climate change, ESG matters and conservation measures may adversely impact our business.</w:t>
      </w:r>
    </w:p>
    <w:p>
      <w:pPr>
        <w:spacing w:after="0" w:line="117"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 xml:space="preserve">Concern over climate change, including the impact of global warming, has led to significant U.S. and international legislative and regulatory efforts to limit greenhouse gas (“GHG”) emissions. See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Risks Related to Litigation and Regulation</w:t>
      </w:r>
      <w:r>
        <w:rPr>
          <w:rFonts w:ascii="Arial" w:cs="Arial" w:eastAsia="Arial" w:hAnsi="Arial"/>
          <w:sz w:val="18"/>
          <w:szCs w:val="18"/>
          <w:color w:val="auto"/>
        </w:rPr>
        <w:t>—</w:t>
      </w:r>
      <w:r>
        <w:rPr>
          <w:rFonts w:ascii="Arial" w:cs="Arial" w:eastAsia="Arial" w:hAnsi="Arial"/>
          <w:sz w:val="18"/>
          <w:szCs w:val="18"/>
          <w:i w:val="1"/>
          <w:iCs w:val="1"/>
          <w:color w:val="auto"/>
        </w:rPr>
        <w:t>We may be affected by global climate change or by legal</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regulatory responses to such change.</w:t>
      </w:r>
      <w:r>
        <w:rPr>
          <w:rFonts w:ascii="Arial" w:cs="Arial" w:eastAsia="Arial" w:hAnsi="Arial"/>
          <w:sz w:val="18"/>
          <w:szCs w:val="18"/>
          <w:color w:val="auto"/>
        </w:rPr>
        <w:t>” Increased awareness and any adverse publicity in the global marketplace about the GHGs emitted by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airline and transportation industries could harm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60"/>
        <w:spacing w:after="0" w:line="275" w:lineRule="auto"/>
        <w:rPr>
          <w:sz w:val="20"/>
          <w:szCs w:val="20"/>
          <w:color w:val="auto"/>
        </w:rPr>
      </w:pPr>
      <w:r>
        <w:rPr>
          <w:rFonts w:ascii="Arial" w:cs="Arial" w:eastAsia="Arial" w:hAnsi="Arial"/>
          <w:sz w:val="17"/>
          <w:szCs w:val="17"/>
          <w:color w:val="auto"/>
        </w:rPr>
        <w:t>reputation and reduce customer demand for our services. Environmental activists and organizations have recently promoted the idea of “flight shaming,” or advocating that consumers reduce their use of private jets and commercial air travel in favor of more environmentally sustainable modes of transportation such as boats, trains and buses. To the extent that our customers reduce their use of air travel in response to new environmental regulation or changes in public perception about the impact of air travel on climate change, our customers may reduce their usage of our services and, as a result, our business prospects, financial condition and results of operations may be materially adversely affected.</w:t>
      </w:r>
    </w:p>
    <w:p>
      <w:pPr>
        <w:spacing w:after="0" w:line="6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In addition, other stakeholders, including shareholders, customers, employees, regulators and suppliers, have also been focused on ESG matters. Companies that do not adapt to or comply with investor or other stakeholder expectations and standards, which are evolving, or that are perceived to have not responded appropriately to the growing concern regarding ESG issues, regardless of whether there is a legal requirement to do so, may suffer from reputational damage and other adverse consequences.</w:t>
      </w:r>
    </w:p>
    <w:p>
      <w:pPr>
        <w:spacing w:after="0" w:line="18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b w:val="1"/>
          <w:bCs w:val="1"/>
          <w:i w:val="1"/>
          <w:iCs w:val="1"/>
          <w:color w:val="auto"/>
        </w:rPr>
        <w:t>We may be unsuccessful at evaluating or pursuing strategic opportunities, which could adversely affect our revenue, financial condition and results of operation.</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Board and management continuously assess whether shareholder value would be increased by engaging in strategic and/or financial relationships, transactions or other opportunities, including those that are suggested to us by third parties. There can be no assurance that we will pursue any strategic or financial relationship, transaction or other opportunity, the outcome of which is inherently uncertain. Further, the process of evaluating and pursuing any such relationship, transaction or other opportunity will involve the dedication of significant resources and the incurrence of significant costs and expenses. If we are unable to mitigate these or other potential risks relating to assessing and undertaking strategic opportunities, it may disrupt our business or adversely impact our revenue, financial condition and results of operation.</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unsuccessful or delayed in developing and deploying Gogo 5G or other next generation technologies.</w:t>
      </w:r>
    </w:p>
    <w:p>
      <w:pPr>
        <w:spacing w:after="0" w:line="11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 xml:space="preserve">We are currently developing a next generation ATG network using 5G technology and unlicensed spectrum, which we intend to launch on a commercial, nationwide basis in the fourth quarter of 2023. Gogo 5G will be capable of working with different spectrum and supporting different next generation technologies. There can be no assurance that we will launch Gogo 5G or any other next generation technology in sufficient time to meet growing user expectations regarding the in-flight connectivity experience and to effectively compete in the business aviation market, due to, among other things, risks associated with: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 (vii) our ability to negotiate contracts with suppliers on acceptable commercial and other terms; (viii) our reliance on single-source suppliers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 As disclosed above under the caption </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Risks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w:t>
      </w:r>
      <w:r>
        <w:rPr>
          <w:rFonts w:ascii="Arial" w:cs="Arial" w:eastAsia="Arial" w:hAnsi="Arial"/>
          <w:sz w:val="16"/>
          <w:szCs w:val="16"/>
          <w:color w:val="auto"/>
        </w:rPr>
        <w:t>—</w:t>
      </w:r>
      <w:r>
        <w:rPr>
          <w:rFonts w:ascii="Arial" w:cs="Arial" w:eastAsia="Arial" w:hAnsi="Arial"/>
          <w:sz w:val="16"/>
          <w:szCs w:val="16"/>
          <w:i w:val="1"/>
          <w:iCs w:val="1"/>
          <w:color w:val="auto"/>
        </w:rPr>
        <w:t>Global supply chain challenges and logistics issues as well as increasing inflation have had, and may continue to have, an adverse effect on our business, financial condition and results of operations</w:t>
      </w:r>
      <w:r>
        <w:rPr>
          <w:rFonts w:ascii="Arial" w:cs="Arial" w:eastAsia="Arial" w:hAnsi="Arial"/>
          <w:sz w:val="16"/>
          <w:szCs w:val="16"/>
          <w:color w:val="auto"/>
        </w:rPr>
        <w:t>,” we have experienced longer lead times and encountered delays in obtaining certain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used in our business. For instance, manufacturing issues with respect to the 5G chip necessitated process revisions and additional testing, which repeatedly delayed the delivery date for this component, and the supplier of the chip informed us in August 2022 of late-stage testing issues which will further delay delivery. We currently believe that this combination of delays will likely shift the launch of Gogo 5G service into the fourth quarter of 2023. If Gogo 5G or any other next generation technology fails to perform as expected or its commercial availability is significantly delayed as compared to the timelines we establish, our ability to meet users' expectations regarding our systems' performance and to effectively compete in our market may be impaired and our business, financial condition and results of operations may be materially adversely affected.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unsuccessful or delayed in developing and deploying our Global Broadband service.</w:t>
      </w:r>
    </w:p>
    <w:p>
      <w:pPr>
        <w:spacing w:after="0" w:line="117" w:lineRule="exact"/>
        <w:rPr>
          <w:sz w:val="20"/>
          <w:szCs w:val="20"/>
          <w:color w:val="auto"/>
        </w:rPr>
      </w:pPr>
    </w:p>
    <w:p>
      <w:pPr>
        <w:ind w:right="180" w:firstLine="509"/>
        <w:spacing w:after="0" w:line="287" w:lineRule="auto"/>
        <w:rPr>
          <w:sz w:val="20"/>
          <w:szCs w:val="20"/>
          <w:color w:val="auto"/>
        </w:rPr>
      </w:pPr>
      <w:r>
        <w:rPr>
          <w:rFonts w:ascii="Arial" w:cs="Arial" w:eastAsia="Arial" w:hAnsi="Arial"/>
          <w:sz w:val="16"/>
          <w:szCs w:val="16"/>
          <w:color w:val="auto"/>
        </w:rPr>
        <w:t>In May 2022, we announced our plans to launch Global Broadband using an ESA designed with Hughes and utilized on a LEO satellite network operated by OneWeb. There can be no assurance that we will launch Global Broadband in sufficient time to effectively compete in the global business aviation market, if at all, due to, among other things, risks associated with: (i) OneWeb’s failure to launch or delay in launching its LEO satellite network;</w:t>
      </w:r>
    </w:p>
    <w:p>
      <w:pPr>
        <w:spacing w:after="0" w:line="2" w:lineRule="exact"/>
        <w:rPr>
          <w:sz w:val="20"/>
          <w:szCs w:val="20"/>
          <w:color w:val="auto"/>
        </w:rPr>
      </w:pPr>
    </w:p>
    <w:p>
      <w:pPr>
        <w:ind w:right="20" w:firstLine="8"/>
        <w:spacing w:after="0" w:line="269"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failure of our equipment and software to perform as expected; (iii) the failure of the OneWeb network to perform as expected; (iv) integrating our hardware and software with the OneWeb network; (v) problems arising in the manufacturing process; (vi) our ability to negotiate contracts with suppliers on acceptable commercial and other terms; (vii) our reliance on single-source suppliers for the development and manufacturing of the antenna and access to a LEO network; and (viii) delays in obtaining or failures to obtain the required regulatory approvals for installation and operation of such equipment and the provision of service to passengers. As disclosed above under the caption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Risks Related to Our Business</w:t>
      </w:r>
      <w:r>
        <w:rPr>
          <w:rFonts w:ascii="Arial" w:cs="Arial" w:eastAsia="Arial" w:hAnsi="Arial"/>
          <w:sz w:val="17"/>
          <w:szCs w:val="17"/>
          <w:color w:val="auto"/>
        </w:rPr>
        <w:t>—</w:t>
      </w:r>
      <w:r>
        <w:rPr>
          <w:rFonts w:ascii="Arial" w:cs="Arial" w:eastAsia="Arial" w:hAnsi="Arial"/>
          <w:sz w:val="17"/>
          <w:szCs w:val="17"/>
          <w:i w:val="1"/>
          <w:iCs w:val="1"/>
          <w:color w:val="auto"/>
        </w:rPr>
        <w:t>Global supply chain challenges and</w:t>
      </w:r>
      <w:r>
        <w:rPr>
          <w:rFonts w:ascii="Arial" w:cs="Arial" w:eastAsia="Arial" w:hAnsi="Arial"/>
          <w:sz w:val="17"/>
          <w:szCs w:val="17"/>
          <w:color w:val="auto"/>
        </w:rPr>
        <w:t xml:space="preserve"> </w:t>
      </w:r>
      <w:r>
        <w:rPr>
          <w:rFonts w:ascii="Arial" w:cs="Arial" w:eastAsia="Arial" w:hAnsi="Arial"/>
          <w:sz w:val="17"/>
          <w:szCs w:val="17"/>
          <w:i w:val="1"/>
          <w:iCs w:val="1"/>
          <w:color w:val="auto"/>
        </w:rPr>
        <w:t>logistics issues as well as increasing inflation have had, and may continue to have, an adverse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240"/>
        <w:spacing w:after="0" w:line="270" w:lineRule="auto"/>
        <w:rPr>
          <w:sz w:val="20"/>
          <w:szCs w:val="20"/>
          <w:color w:val="auto"/>
        </w:rPr>
      </w:pPr>
      <w:r>
        <w:rPr>
          <w:rFonts w:ascii="Arial" w:cs="Arial" w:eastAsia="Arial" w:hAnsi="Arial"/>
          <w:sz w:val="17"/>
          <w:szCs w:val="17"/>
          <w:i w:val="1"/>
          <w:iCs w:val="1"/>
          <w:color w:val="auto"/>
        </w:rPr>
        <w:t>effect on our business, financial condition and results of operations</w:t>
      </w:r>
      <w:r>
        <w:rPr>
          <w:rFonts w:ascii="Arial" w:cs="Arial" w:eastAsia="Arial" w:hAnsi="Arial"/>
          <w:sz w:val="17"/>
          <w:szCs w:val="17"/>
          <w:color w:val="auto"/>
        </w:rPr>
        <w:t>,” we have experienced longer lead times and encountered delays in obtaining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components used in our business, and such issues could affect the development of Global Broadband. If Global Broadband fails to perform as expected or its commercial availability is significantly delayed as compared to the timelines we establish, our ability to meet customers’ or end users’ expectations regarding our systems’ performance and to effectively compete in our market may be impaired and our business, financial condition and results of operations may be materially adversely affected. See “</w:t>
      </w:r>
      <w:r>
        <w:rPr>
          <w:rFonts w:ascii="Arial" w:cs="Arial" w:eastAsia="Arial" w:hAnsi="Arial"/>
          <w:sz w:val="17"/>
          <w:szCs w:val="17"/>
          <w:i w:val="1"/>
          <w:iCs w:val="1"/>
          <w:color w:val="auto"/>
        </w:rPr>
        <w:t>Risks Related to Our Business</w:t>
      </w:r>
      <w:r>
        <w:rPr>
          <w:rFonts w:ascii="Arial" w:cs="Arial" w:eastAsia="Arial" w:hAnsi="Arial"/>
          <w:sz w:val="17"/>
          <w:szCs w:val="17"/>
          <w:color w:val="auto"/>
        </w:rPr>
        <w:t>—</w:t>
      </w:r>
      <w:r>
        <w:rPr>
          <w:rFonts w:ascii="Arial" w:cs="Arial" w:eastAsia="Arial" w:hAnsi="Arial"/>
          <w:sz w:val="17"/>
          <w:szCs w:val="17"/>
          <w:i w:val="1"/>
          <w:iCs w:val="1"/>
          <w:color w:val="auto"/>
        </w:rPr>
        <w:t>Competition could result in price reduction, reduced</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and loss of market position and could harm our results of operations</w:t>
      </w:r>
      <w:r>
        <w:rPr>
          <w:rFonts w:ascii="Arial" w:cs="Arial" w:eastAsia="Arial" w:hAnsi="Arial"/>
          <w:sz w:val="17"/>
          <w:szCs w:val="17"/>
          <w:color w:val="auto"/>
        </w:rPr>
        <w:t>.” Furthermore, under our agreement with Hughes we have committed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over a seven-year period, antennas with an aggregate purchase price of approximately $170 million, and we may make additional financial commitments in connection with Global Broadband. If we are not successful in launching Global Broadband, we may nonetheless, depending on the circumstances, be required to honor these commitments.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business is dependent on the availability of spectrum.</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June 2006, we purchased at FCC auction an exclusive ten-year, 3 MHz license for ATG spectrum, and in April 2013, as part of our acquisition of LiveTV Airfone, LLC, we acquired an additional 1MHz ATG spectrum license. In 2017, our applications to renew our licenses were granted for additional ten-year terms without further payment. Any breach of the terms of our FCC licenses, FCC waiver conditions or FCC regulations including foreign ownership restrictions, permitted uses of the spectrum and compliance with FAA regulations could result in the revocation, suspension, cancellation or reduction in the term of our licenses or a refusal by the FCC to renew the licenses upon expiration. Further, in connection with an application to renew our licenses upon expiration, a competitor could file a petition opposing such renewal on anti-competitive or other grounds. On August 3, 2017, the FCC released an order that, among other things, revised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construction or substantial service requirement, it is currently not clear what level and length of service the FCC will find adequate when considering the next renewal of the 1 MHz ATG license in 2026. While we do not currently use this license, changes in technology may enable its use in our network in the future. An ambiguous renewal requirement could impair our flexibility to use or otherwise realize the value of such spectrum beyond 2026.</w:t>
      </w:r>
    </w:p>
    <w:p>
      <w:pPr>
        <w:spacing w:after="0" w:line="7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ability to offer in-flight broadband Internet access through our ATG service currently depends on our ability to maintain rights to use the 3 MHz ATG spectrum in the U.S., and our failure to do so may have a material adverse effect on our business, financial condition and results of operations. In addition, our ability to meet increasing performance demands and expand our service offerings in the United States will depend in part upon our ability to successfully roll-out our plans to employ unlicensed spectrum in the 2.4 GHz band for concurrent use with the licensed 3 MHz spectrum to launch Gogo 5G, and may require that we obtain additional licensed or unlicensed spectrum suitable for our use. Such spectrum may not be available to us on commercially reasonable terms or at all. Our failure to obtain adequate spectrum could have a material adverse effect on our business, financial condition and results of operations.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Additional ATG spectrum, whether licensed or unlicensed, is or may become available in the future.</w:t>
      </w:r>
    </w:p>
    <w:p>
      <w:pPr>
        <w:spacing w:after="0" w:line="117"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While we have exclusive rights to the only broadband spectrum licensed by the FCC for ATG use, the FCC may in the future decide to auction additional spectrum for ATG use that is not currently designated for that purpose, or a competitor could develop technology or a business plan that allows it to cost effectively use spectrum not specifically reserved for ATG, but on which ATG use is not prohibited, to provide broadband connectivity.</w:t>
      </w:r>
    </w:p>
    <w:p>
      <w:pPr>
        <w:spacing w:after="0" w:line="40"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color w:val="auto"/>
        </w:rPr>
        <w:t>The availability of additional spectrum in the marketplace that is available for ATG use may increase the possibility that we may face competition from one or more other ATG service providers in the future. For example, a prospective competitor has announced that its ATG network in the continental U.S. is available on a nationwide basis. Such network uses the same unlicensed spectrum that we intend to aggregate with our licensed spectrum for use in our Gogo 5G network.</w:t>
      </w:r>
    </w:p>
    <w:p>
      <w:pPr>
        <w:spacing w:after="0" w:line="185"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b w:val="1"/>
          <w:bCs w:val="1"/>
          <w:i w:val="1"/>
          <w:iCs w:val="1"/>
          <w:color w:val="auto"/>
        </w:rPr>
        <w:t>We could be adversely affected if we or our third party suppliers or service providers suffer service interruptions or delays, technology failures, damage to equipment or system disruptions or failures arising from, among other things, force majeure events, cyber-attacks or other malicious activities.</w:t>
      </w:r>
    </w:p>
    <w:p>
      <w:pPr>
        <w:spacing w:after="0" w:line="7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rely heavily on communications, information systems (both internal and provided by third parties), and the internet to conduct our business. Our brand, reputation and ability to attract, retain and serve our customers depend upon the reliable performance of our ground network and in-flight systems. We have experienced interruptions in these systems in the past, and we may in the future experience service interruptions, service delays or technology or systems failures, which may be due to factors beyond our control. If we experience frequent system or network failures, our reputation, brand and customer retention could be harmed, and such failures could be material breaches of our customer contracts resulting in termination rights, penalties or claims for damages.</w:t>
      </w:r>
    </w:p>
    <w:p>
      <w:pPr>
        <w:spacing w:after="0" w:line="83"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Our operations and services depend upon the extent to which our and our suppliers’ equipment is protected against damage or interruption from fire, floods, earthquakes, tornadoes, power loss, solar flares, telecommunication failures, break-ins, acts of war or terrorism and similar events. We and our vendors, like other commercial entities, have been, and will likely continue to be, subject to 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ind w:right="60"/>
        <w:spacing w:after="0" w:line="286" w:lineRule="auto"/>
        <w:rPr>
          <w:sz w:val="20"/>
          <w:szCs w:val="20"/>
          <w:color w:val="auto"/>
        </w:rPr>
      </w:pPr>
      <w:r>
        <w:rPr>
          <w:rFonts w:ascii="Arial" w:cs="Arial" w:eastAsia="Arial" w:hAnsi="Arial"/>
          <w:sz w:val="16"/>
          <w:szCs w:val="16"/>
          <w:color w:val="auto"/>
        </w:rPr>
        <w:t>variety of forms of cyberattacks with the objective of gaining unauthorized access to our systems and data or disrupting our operations. These include, but are not limited to, cyberattacks, phishing attacks, account takeover attempts, the introduction of computer viruses or malicious code (commonly referred to as “malware”), ransomware or other extortion tactics, denial of service attacks, credential stuffing, and other computer-related penetrations. Hardware, software or applications developed by us or received from third parties may contain exploitable vulnerabilities, bugs, or defects in design, maintenance or manufacture or other issues that could compromise information and cybersecurity. The risk of cyberattacks has also increased and will continue to increase in connection with Russia’s invasion of Ukraine. In light of the Ukraine war and other geopolitical events and dynamics, including ongoing tensions with North Korea, Iran and other states, state-sponsored parties or their supporters may launch retaliatory cyberattacks, and may attempt to cause supply chain disruptions, or carry out other geopolitically motivated retaliatory actions that may adversely disrupt or degrade our operations and may result in data compromise. These security attacks can originate from a wide variety of sources/malicious actors, including, but not limited to, persons who constitute an insider threat, who are involved with organized crime, or who may be linked to terrorist organizations or hostile foreign governments. Those same parties may also attempt to fraudulently induce employees, customers, or other users of our systems to disclose sensitive information in order to gain access to our data or that of our customers or clients through social engineering, phishing, mobile phone malware, and other methods.</w:t>
      </w:r>
    </w:p>
    <w:p>
      <w:pPr>
        <w:spacing w:after="0" w:line="66"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There is no assurance that administrative, physical, and technical controls and other preventive actions taken to reduce the risk of cyberattacks and protect our information technology will prevent physical and electronic break-ins, cyberattacks or other security breaches to such computer systems. In some cases, such physical and electronic break-ins, cyberattacks or other security breaches may not be immediately detected. If we or our vendors fail to prevent, detect, address and mitigate such incidents, this may impede or interrupt our business operations and could adversely affect our business, financial condition and results of operations.</w:t>
      </w:r>
    </w:p>
    <w:p>
      <w:pPr>
        <w:spacing w:after="0" w:line="8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 disaster such as a natural catastrophe, epidemic, pandemic, industrial accident, blackout, ransomware, computer virus, or other type of malware, terrorist attack, cyberattack or war, unanticipated problems with our or our vendors’ disaster recovery systems (and the disaster recovery systems of such vendors’ suppliers, vendors or subcontractors), could cause our computer systems to be inaccessible to our employees, distributors, vendors or customers or destroy valuable data. In addition, in the event that a significant number of our or our vendors’ managers were unavailable following a disaster, our ability to effectively conduct business could be severely compromised. These interruptions also may interfere with our suppliers’ ability to provide goods and services and our employees’ ability to perform their job responsibilities. In addition, our flexible, hybrid work model, which allows our employees the option to work fully remote, could increase our operational risk, including, but not limited to, cybersecurity risks, and could impair our ability to manage our business. Unanticipated problems with, or failures of, our disaster recovery systems and business continuity plans could have a material impact on our ability to conduct business and on our results of operations and financial condition. The failure of our disaster recovery systems and business continuity plans could adversely impact our profitability and our business.</w:t>
      </w:r>
    </w:p>
    <w:p>
      <w:pPr>
        <w:spacing w:after="0" w:line="74"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Regulators’ or others’ scrutiny of cybersecurity, including new laws or regulations, could increase our compliance costs and operational burdens, especially as regulatory and legislative focus on cybersecurity matters intensifies. Regulators, customers, or others may act against us for any cybersecurity failures. Our continuous technological evaluations and enhancements, including changes designed to update our protective measures, may increase our risk of a breach or gap in our security. We may incur higher costs to comply with laws related to, or regulators’ scrutiny of, our use, collection, management, or transfer of data and other privacy practices. There can be no assurance that our continuous evaluation and enhancement of our cybersecurity and information security systems will be effective in preventing or limiting the impact of future cyberattacks.</w:t>
      </w:r>
    </w:p>
    <w:p>
      <w:pPr>
        <w:spacing w:after="0" w:line="176"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materially adversely affect our business and results of operations.</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recent years, there has been significant litigation involving intellectual property rights in many technology-based industries, including the wireless communications industry. We are currently facing, and may in the future face, claims that we or a supplier have violated patent, trademark or other intellectual property rights of third parties. Many companies, including our competitors, are devoting significant resources to obtaining patents that could potentially cover many aspects of our business. While we have reviewed the patent portfolios of certain competitors and other third parties, we have not exhaustively searched all patents relevant to our technologies and business and therefore it is possible that we may be unknowingly infringing the patents of others. Any infringement, misappropriation or related claims, whether or not meritorious and whether or not they result in litigation, are time-consuming, divert technical and management personnel and are costly to resolve. As a result of any such dispute, we may have to develop non-infringing technology, pay damages, enter into royalty or licensing agreements, cease providing certain products or services, adjust our merchandizing or marketing and advertising activities or take other actions to resolve the claims. These actions, if required, may be costly or unavailable on terms acceptable to us.</w:t>
      </w:r>
    </w:p>
    <w:p>
      <w:pPr>
        <w:spacing w:after="0" w:line="63"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In February 2022, a competitor filed a patent infringement suit against us and also filed a motion for a preliminary injunction, which, if granted, would have prevented us from proceeding with Gogo 5G until the infringement suit is resolved. The court denied the competitor’s motion for preliminary injunction but the competitor is appealing the denial. Adverse results in the appeal, the underlying infringement suit or other infringement suits could require us to develop non-infringing technology, pay damages, enter into royalty or licensing agreements, cease providing certain products or services, adjust our sales, marketing and advertising activities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right="80"/>
        <w:spacing w:after="0" w:line="263" w:lineRule="auto"/>
        <w:rPr>
          <w:sz w:val="20"/>
          <w:szCs w:val="20"/>
          <w:color w:val="auto"/>
        </w:rPr>
      </w:pPr>
      <w:r>
        <w:rPr>
          <w:rFonts w:ascii="Arial" w:cs="Arial" w:eastAsia="Arial" w:hAnsi="Arial"/>
          <w:sz w:val="18"/>
          <w:szCs w:val="18"/>
          <w:color w:val="auto"/>
        </w:rPr>
        <w:t>or take other actions to resolve the claims. These actions, if required, may be costly or unavailable on terms acceptable to us. Even if we are successful in defending these claims, such litigation may be time-consuming and costly, divert management resources and could adversely affect our business relating to such disputed technology during its pendency.</w:t>
      </w:r>
    </w:p>
    <w:p>
      <w:pPr>
        <w:spacing w:after="0" w:line="7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Pursuant to our contracts with certain customers, we have agreed to indemnify such customers against such claims, and our indemnification obligations generally include defending or paying for the defense of the action and paying any judgments or other costs assessed against the customer in the event of an adverse outcome. In most cases, our contracts do not cap our indemnification obligations. In addition, certain of our suppliers do not indemnify us for third-party infringement or misappropriation claims arising from our use of supplier technology, and we may be liable in the event of such claims. Our inability to meet our indemnification obligations and our customers terminating or failing to renew their contracts may have a material adverse effect on our business and financial condition.</w:t>
      </w:r>
    </w:p>
    <w:p>
      <w:pPr>
        <w:spacing w:after="0" w:line="191"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b w:val="1"/>
          <w:bCs w:val="1"/>
          <w:i w:val="1"/>
          <w:iCs w:val="1"/>
          <w:color w:val="auto"/>
        </w:rPr>
        <w:t>We or our technology suppliers may be unable to continue to innovate and provide products and services that are useful to customers and passengers.</w:t>
      </w:r>
    </w:p>
    <w:p>
      <w:pPr>
        <w:spacing w:after="0" w:line="62"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The market for our services is characterized by evolving technology, changes in customer and passenger needs and performance expectations, and frequent new service and product introductions. Our success will depend, in part, on our and our suppliers’ ability to continue to enhance existing technology and services or develop new technology and services on a timely and cost-effective basis. If we or our suppliers fail to adapt quickly enough to changing technology, customer requirements and/or regulatory requirements, our business and results of operations may be materially adversely affected. We expect to have to invest significant capital to keep pace with innovation and changing technology, and if the amount of such investment exceeds our plans or the amount of investment permitted under the 2021 Credit Agreement (as defined below), it may have a material adverse effect on our results of operations.</w:t>
      </w:r>
    </w:p>
    <w:p>
      <w:pPr>
        <w:spacing w:after="0" w:line="85" w:lineRule="exact"/>
        <w:rPr>
          <w:sz w:val="20"/>
          <w:szCs w:val="20"/>
          <w:color w:val="auto"/>
        </w:rPr>
      </w:pPr>
    </w:p>
    <w:p>
      <w:pPr>
        <w:jc w:val="both"/>
        <w:ind w:right="260" w:firstLine="509"/>
        <w:spacing w:after="0" w:line="287" w:lineRule="auto"/>
        <w:rPr>
          <w:sz w:val="20"/>
          <w:szCs w:val="20"/>
          <w:color w:val="auto"/>
        </w:rPr>
      </w:pPr>
      <w:r>
        <w:rPr>
          <w:rFonts w:ascii="Arial" w:cs="Arial" w:eastAsia="Arial" w:hAnsi="Arial"/>
          <w:sz w:val="16"/>
          <w:szCs w:val="16"/>
          <w:color w:val="auto"/>
        </w:rPr>
        <w:t>As is common in industries like ours, changing technology may result in obsolescence as we implement new technologies and products and retire old technologies and products. As we encounter such obsolescence, we need to ensure that we have a sufficient supply of parts, products and equipment compatible with our existing technology, as well as access to maintenance, repair and other critical support services, until the transition is completed.</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suppliers may determine to stop manufacturing and supplying end-of-life parts, products and equipment, or may stop providing related services, prior to completion of our transition. In the event that we are unable to obtain sufficient inventory from existing suppliers we would be required to engage new suppliers who have access to the intellectual property required to manufacture and support components that meet our specifications, and we may be unable to contract with such suppliers on commercially reasonable terms, or at all. We have implemented policies and procedures intended to ensure that we timely anticipate technology and product transitions and have access to sufficient inventory and services, but if such policies prove ineffective and we are unable to continue to engage suppliers with the capabilities or capacities required by our business to effect a transition, or if such suppliers fail to deliver quality products, parts, equipment and services in sufficient quantities or on a timely basis consistent with our schedule, our business, financial condition and results of operations may be materially adversely affected. In addition, following our retirement of end-of-life technologies and products, we may find that we have either obsolete or excess inventory on hand and might have to write off unusable inventory, which could have a material adverse effect on our results of operations.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unable to protect our intellectual property rights.</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We regard our trademarks, service marks, copyrights, patents, trade secrets, proprietary technologies, domain names and similar intellectual property as important to our success. We rely on trademark, copyright and patent law, trade secret protection, and confidentiality agreements with our employees, vendors, customers and others to protect our proprietary rights. We have sought and obtained patent protection for certain of our technologies in the United States and certain other countries. Many of the trademarks that we use (including marks we have applied to register) contain words or terms having a somewhat common usage, such as “Gogo” and “Gogo Vision” and, as a result, we may have difficulty registering them in certain jurisdictions. We do not own, for example, the domain www.gogo.com and we have not yet obtained registrations for our most important marks in all markets in which we do business or may do business in the future. If other companies have registered or have been using in commerce similar trademarks for services similar to ours in foreign jurisdictions, we may have difficulty in registering, or enforcing an exclusive right to use, our marks in those foreign jurisdictions.</w:t>
      </w:r>
    </w:p>
    <w:p>
      <w:pPr>
        <w:spacing w:after="0" w:line="5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There can be no assurance that the efforts we have taken to protect our proprietary rights will be effective, that any patent and trademark applications will lead to issued patents and registered trademarks in all instances, that others will not obtain intellectual property rights to similar or superior technologies, products or services, or that our intellectual property will not be challenged, invalidated, misappropriated or infringed by others. Furthermore, the intellectual property laws and enforcement practices of other countries in which our service is or may in the future be offered may not protect our intellectual property rights to the same extent as the laws of the United States. We may need to expend additional resources to defend our intellectual property in these countries and our inability to do so could impair our business or adversely affect our international expansion. If we are unable to protect our intellectual property from unauthorized use, our ability to exploit our proprietary technology or our brand image may be harmed, which may materially adversely affect our business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Our use of open-source software could limit our ability to commercialize our technology.</w:t>
      </w:r>
    </w:p>
    <w:p>
      <w:pPr>
        <w:spacing w:after="0" w:line="117"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Open-source software is software made widely and freely available to the public in human-readable source code form, usually with liberal rights to modify and improve such software. Some open-source licenses require as a condition of use that proprietary software that is combined with licensed open-source software and distributed must be released to the public in source code form and under the terms of the open-source license. Accordingly, depending on the manner in which such licenses were interpreted and applied, we could face restrictions on our ability to commercialize certain of our products and we could be required to: (i) release the source code of certain of our proprietary software to the public, including competitors, if the open-source software was linked in a manner that would require such release of our proprietary software source code; (ii) seek licenses from third parties for replacement software; and/or (iii) re-engineer our software in order to continue offering our products. Such consequences may materially adversely affect our business.</w:t>
      </w:r>
    </w:p>
    <w:p>
      <w:pPr>
        <w:spacing w:after="0" w:line="164" w:lineRule="exact"/>
        <w:rPr>
          <w:sz w:val="20"/>
          <w:szCs w:val="20"/>
          <w:color w:val="auto"/>
        </w:rPr>
      </w:pPr>
    </w:p>
    <w:p>
      <w:pPr>
        <w:ind w:right="260" w:firstLine="509"/>
        <w:spacing w:after="0" w:line="307" w:lineRule="auto"/>
        <w:rPr>
          <w:sz w:val="20"/>
          <w:szCs w:val="20"/>
          <w:color w:val="auto"/>
        </w:rPr>
      </w:pPr>
      <w:r>
        <w:rPr>
          <w:rFonts w:ascii="Arial" w:cs="Arial" w:eastAsia="Arial" w:hAnsi="Arial"/>
          <w:sz w:val="17"/>
          <w:szCs w:val="17"/>
          <w:b w:val="1"/>
          <w:bCs w:val="1"/>
          <w:i w:val="1"/>
          <w:iCs w:val="1"/>
          <w:color w:val="auto"/>
        </w:rPr>
        <w:t>The failure of our equipment or material defects or errors in our software may damage our reputation, result in claims against us that exceed our insurance coverage, thereby requiring us to pay significant damages, and impair our ability to sell our service.</w:t>
      </w:r>
    </w:p>
    <w:p>
      <w:pPr>
        <w:spacing w:after="0" w:line="39"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Our products contain complex systems, components and software that could contain errors or defects, particularly when we incorporate new technology or when new software is first introduced or new versions or enhancements are released. If any of our products are defective, we could be required to redesign or recall those products or pay substantial damages or warranty claims. In addition, such events could result in significant expenses and diversion of development and other resources, a reduction in sales or delay in market acceptance of our products and services, loss of existing customers, terminations of, failures to renew, penalties or damage claims under aviation partner contracts, harm to our reputation and brand image and increased insurance costs. If our in-flight system has a malfunction resulting from an error or defect or a problem with installation or maintenance and such malfunction causes physical damage to an aircraft or impairs its on-board electronics or avionics, significant property loss and serious personal injury or death could result. Any such failure could expose us to substantial personal injury claims, product liability claims or costly repair obligations. The aircraft operated by our customers may be very costly to repair and the damages in any product liability claims could be material. We carry aircraft and non-aircraft product liability insurance consistent with industry norms; however, such insurance coverage may not be sufficient to fully cover claims. A product recall or a product liability claim not covered by insurance could have a material adverse effect on our business, financial condition and results of operations. Further, we indemnify some of our customers for losses due to third-party claims and in certain cases the causes of such losses may include failure of our products. Should we be required by the FAA or otherwise to cease providing the Gogo service, even on a temporary basis, as a result of a product malfunction or defect, our business, financial condition and results of operations may also be materially adversely affected.</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b w:val="1"/>
          <w:bCs w:val="1"/>
          <w:i w:val="1"/>
          <w:iCs w:val="1"/>
          <w:color w:val="auto"/>
        </w:rPr>
        <w:t>If we fail to comply with the Communications Act and FCC regulations limiting ownership and voting of our capital stock by non-U.S. persons, we could lose our FCC license.</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Under the Communications Act and applicable FCC regulations, we are effectively restricted from having more than 25% of our capital stock owned or voted directly or indirectly by non-U.S. persons, including individuals and entities organized outside the United States or controlled by non-U.S. persons. We have established procedures to ascertain the nature and extent of our foreign ownership, and we believe that the indirect ownership of our equity by foreign persons or entities is below the 25% cap. However, as a publicly traded company we may not be able to determine with certainty the exact amount of our stock that is held by foreign persons or entities at any given time. A failure to comply with applicable restrictions on ownership by non-U.S. persons could result in an order requiring divestiture of the offending ownership interests, fines, denial of license renewal and/or spectrum license revocation proceedings, any of which may have a material adverse effect on our business, financial condition and results of operations.</w:t>
      </w:r>
    </w:p>
    <w:p>
      <w:pPr>
        <w:spacing w:after="0" w:line="164"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b w:val="1"/>
          <w:bCs w:val="1"/>
          <w:i w:val="1"/>
          <w:iCs w:val="1"/>
          <w:color w:val="auto"/>
        </w:rPr>
        <w:t>Regulation by United States and foreign government agencies, including the FCC, which issued our exclusive ATG spectrum license, and the FAA, which regulates the civil aviation manufacturing and repair industries in the United States, may increase our costs of providing service or require us to change our services.</w:t>
      </w:r>
    </w:p>
    <w:p>
      <w:pPr>
        <w:spacing w:after="0" w:line="75"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Any breach of the terms of our ATG spectrum licenses, authorizations and waivers obtained by us from time to time, or any violation of the Communications Act or the FCC’s rules, could result in the revocation, suspension, cancellation or reduction in the term of a license or the imposition of fines. From time to time, the FCC may monitor or audit compliance with the Communications Act and the FCC’s rules or with our licenses, including if a third party were to bring a claim of breach or noncompliance. In addition, the Communications Act, from which the FCC obtains its authority, may be amended in the future in a manner that could be adverse to us.</w:t>
      </w:r>
    </w:p>
    <w:p>
      <w:pPr>
        <w:spacing w:after="0" w:line="83"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As discussed in more detail in the section entitled “Business—Licenses and Regulation—Federal Aviation Administration,” FAA approvals required to operate our business include STCs and PMAs. While our distribution partners are responsible for obtaining STCs, obtaining PMAs is an expensive and time-consuming process that requires significant focus and resources. Prior to installation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20"/>
        <w:spacing w:after="0" w:line="269" w:lineRule="auto"/>
        <w:rPr>
          <w:sz w:val="20"/>
          <w:szCs w:val="20"/>
          <w:color w:val="auto"/>
        </w:rPr>
      </w:pPr>
      <w:r>
        <w:rPr>
          <w:rFonts w:ascii="Arial" w:cs="Arial" w:eastAsia="Arial" w:hAnsi="Arial"/>
          <w:sz w:val="17"/>
          <w:szCs w:val="17"/>
          <w:color w:val="auto"/>
        </w:rPr>
        <w:t>of our equipment, any inability to obtain, delay in obtaining (including as a result of a government shutdown or funding shortages), or change in, needed FAA certifications, authorizations, or approvals, could have an adverse effect on our ability to meet our installation commitments, manufacture and sell parts for installation on aircraft, or expand our business. Following installation of our equipment, if we were to discover that our equipment or components of our equipment were not in compliance with specifications on which the STC authorizing installation was based, or if the FAA’s requirements changed, our non-compliance could result in our incurring material costs to inspect and in some circumstances modify or replace such equipment, and could in rare circumstances result in our system being turned off or installed aircraft being grounded. If we fail to comply with the FAA’s many regulations and standards that apply to our activities, we could lose the FAA certifications, authorizations, or other approvals on which our manufacturing, installation, maintenance, preventive maintenance and alteration capabilities are based. In addition, from time to time, the FAA or comparable foreign agencies adopt new regulations or amend existing regulations. The FAA could also change its policies regarding the delegation of inspection and certification responsibilities to private companies, which could adversely affect our business. To the extent that any such new regulations or amendments to existing regulations or policies apply to our activities, our compliance costs would likely increase.</w:t>
      </w:r>
    </w:p>
    <w:p>
      <w:pPr>
        <w:spacing w:after="0" w:line="7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As a broadband Internet provider, we must comply with the CALEA, which requires communications carriers to ensure that their equipment, facilities and services can accommodate certain technical capabilities in executing authorized wiretapping and other electronic surveillance. Currently, our CALEA solution is fully deployed in our network. However, we could be subject to an enforcement action by the FCC or law enforcement agencies for any delays in complying or failure to comply with, CALEA or similar obligations. Such enforcement actions could subject us to fines, cease and desist orders or other penalties, all of which may materially adversely affect our business and financial condition. Further, to the extent the FCC adopts additional capability requirements applicable to broadband Internet providers, its decision may increase the costs we incur to comply with such regulations.</w:t>
      </w:r>
    </w:p>
    <w:p>
      <w:pPr>
        <w:spacing w:after="0" w:line="55"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We are also subject to regulation by certain foreign laws and regulatory bodies, including ISED, which issued our exclusive Canadian ATG subordinate spectrum license and regulates our use of the spectrum licensed to us.</w:t>
      </w:r>
    </w:p>
    <w:p>
      <w:pPr>
        <w:spacing w:after="0" w:line="62"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Adverse decisions or regulations of these U.S. and foreign regulatory bodies may have a material adverse effect on our business and results of operations. We are unable to predict the impact of regulations and other policy changes that could be adopted by the various governmental entities that oversee portions of our business.</w:t>
      </w:r>
    </w:p>
    <w:p>
      <w:pPr>
        <w:spacing w:after="0" w:line="183" w:lineRule="exact"/>
        <w:rPr>
          <w:sz w:val="20"/>
          <w:szCs w:val="20"/>
          <w:color w:val="auto"/>
        </w:rPr>
      </w:pPr>
    </w:p>
    <w:p>
      <w:pPr>
        <w:jc w:val="both"/>
        <w:ind w:right="800" w:firstLine="509"/>
        <w:spacing w:after="0" w:line="263" w:lineRule="auto"/>
        <w:rPr>
          <w:sz w:val="20"/>
          <w:szCs w:val="20"/>
          <w:color w:val="auto"/>
        </w:rPr>
      </w:pPr>
      <w:r>
        <w:rPr>
          <w:rFonts w:ascii="Arial" w:cs="Arial" w:eastAsia="Arial" w:hAnsi="Arial"/>
          <w:sz w:val="18"/>
          <w:szCs w:val="18"/>
          <w:b w:val="1"/>
          <w:bCs w:val="1"/>
          <w:i w:val="1"/>
          <w:iCs w:val="1"/>
          <w:color w:val="auto"/>
        </w:rPr>
        <w:t>Our possession and use of personal information present risks and expenses that could harm our business. Unauthorized disclosure or manipulation of such data, whether through breach of our network security or otherwise, could expose us to costly litigation and damage our reputation.</w:t>
      </w:r>
    </w:p>
    <w:p>
      <w:pPr>
        <w:spacing w:after="0" w:line="75"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In the ordinary course of our business, we or our third-party providers collect, process and store sensitive data, including personal information of our employees and customers. The secure processing, maintenance and transmission of this information (and other sensitive data such as our proprietary business information and that of our customers and suppliers) is critical to our operations and business strategy. Despite our security measures, our information technology and infrastructure may be vulnerable to attacks by hackers or may be compromised due to employee error, malfeasance, hardware or software defects or other disruptions. Further, our in-cabin network operates as an open, unsecured Wi-Fi hotspot, and non-encrypted transmissions users send over this network may be vulnerable to access by other users on the same plane. Unauthorized use of our, or our third-party service providers’, networks, computer systems and services could potentially jeopardize the security of confidential information, including personal information of passengers using our service. Data security threats are constantly evolving and may be difficult to anticipate or to detect for long periods of time, and may include ransomware attacks, network intrusion, data extortion, malware, phishing and other social engineering, business email compromise and insider threats, among others. There can be no assurance that any security measures we, or third parties, take will be effective in preventing these activities, given the constantly changing nature of the threats. Any such security incidents, unauthorized access or disclosure, or other loss of information could result in legal claims or proceedings and liability under our contracts with certain customers, which generally require us to indemnify the customer for passenger and other third-party claims arising from data security breaches. In addition, such incidents may disrupt our operations and the services we provide to customers, result in the loss of value of trade secrets, require expensive efforts to investigate, remediate or resolve, damage our reputation, and cause a loss of confidence in our products and services, all of which may have a material adverse effect on our business prospects, financial condition and results of operations.</w:t>
      </w:r>
    </w:p>
    <w:p>
      <w:pPr>
        <w:spacing w:after="0" w:line="80"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 security incident or data breach, a failure to comply with applicable data protection laws, failure to comply with our policies and procedures, or a failure or perceived failure to provide users with adequate notice of our privacy policies or other privacy-related obligations to consumers could also subject us to litigation, investigations and regulatory penalties imposed by United States federal and state regulatory agencies, non-U.S. regulatory agencies or courts, all of which could have a material adverse effect on our business, financial condition and results of operations. As discussed in more detail in the section entitled “Business—Licenses and Regulation—Privacy and Data Security-Related Regulations,” we could also be subject to certain state laws, federal and non-U.S. laws that impose data breach notification requirements, specific data security obligations, or other consumer privacy-related requirements. Our failure to comply with any of these rules or regulations, or an allegation or finding that we failed to comply, may have a material adverse effect on our business, financial condition and results of operations. These legal requirements are complex,</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line="284" w:lineRule="auto"/>
        <w:rPr>
          <w:sz w:val="20"/>
          <w:szCs w:val="20"/>
          <w:color w:val="auto"/>
        </w:rPr>
      </w:pPr>
      <w:r>
        <w:rPr>
          <w:rFonts w:ascii="Arial" w:cs="Arial" w:eastAsia="Arial" w:hAnsi="Arial"/>
          <w:sz w:val="16"/>
          <w:szCs w:val="16"/>
          <w:color w:val="auto"/>
        </w:rPr>
        <w:t>varied, rapidly evolving and often subject to interpretation, and there is a risk that, despite our efforts to comply, we may be found to be out of compliance with one or more of these requirements. Fines issued for non-compliance with such requirements may be substantial, including fines issued under the GDPR which can be as high as 4% of global revenue, and an adverse finding by a regulator or court may result in costly and onerous requirements being placed on the Company, a prohibition on engaging in certain aspects of our business or damage to our reputation. Certain data protection laws that apply to the Company establish a private right of action. In addition, non-compliance with certain of these requirements could lead to class action or other litigation based on theories that may include breach of contract or negligence, among others. Such litigation could result in material costs to the Company. We cannot be sure that a regulator would deem our security measures to be appropriate given the lack of prescriptive measures in certain data protection laws. Without more specific guidance, we cannot know whether our chosen security safeguards are adequate according to each applicable data protection law. Even in cases where the applicable requirements are explicit, we cannot be certain that safeguards designed to meet those requirements will be interpreted by a regulator or court as adequate or that those safeguards are operating in accordance with the requirements at all times. Given the evolving nature of security threats and evolving safeguards, we cannot be sure that our chosen security safeguards will protect against security threats to our business, nor can we be certain that we have not already experienced a cybersecurity incident or data breach of which we are unaware. Even security measures that are appropriate, reasonable, and/or in accordance with applicable legal requirements may not be able to fully protect our or our partners’ information technology systems and the data contained in those systems. Moreover, interpretations or changes to new or existing data protection laws may impose on us responsibility for our employees and third parties that assist with aspects of our data processing. As a result, our employees’ or third parties’ intentional, unintentional, or inadvertent actions may increase our vulnerability or expose us to security threats, such as phishing attacks, and we may remain responsible for a successful phishing or other social engineering attack despite the quality and otherwise legal sufficiency of our technical security measures. A cybersecurity incident, data breach or other failure of our security measures may result in litigation, fines, reputational harm, operational disruption, and lost revenue. In addition, compliance with complex variations in privacy and data security laws may require modifications to current business practices, including significant technology efforts that require long implementation timelines, increased costs and dedicated resources.</w:t>
      </w:r>
    </w:p>
    <w:p>
      <w:pPr>
        <w:spacing w:after="0" w:line="6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depend on the security of the network infrastructure and products of our third-party providers of telecommunications, cloud computing, customer support and other vendors. Despite our efforts, those third parties may maintain inadequate safeguards to protect data they maintain for us or services on which we depend, or they may experience a cybersecurity incident or data breach despite safeguards that appear adequate. We also rely on hardware and software developed by third parties. Such hardware and software could contain security vulnerabilities or backdoors introduced by the vendor or an unauthorized third party, which could jeopardize the security of our systems, data and networks. Such incidents or breaches could expose us to regulatory and litigation risk, operational disruption and reputational harm and adversely affect our business.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Should the Company participate in the FCC Reimbursement Program, it could adversely affect our results of operations and financial condition.</w:t>
      </w:r>
    </w:p>
    <w:p>
      <w:pPr>
        <w:spacing w:after="0" w:line="15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As discussed in more detail in the section entitled “Business — Licenses and Regulation — FCC Secure and Trusted Communications Networks Reimbursement Program,” we have been approved for participation in the FCC Reimbursement Program. We are currently evaluating our participation in the FCC Reimbursement Program. Due to a shortfall in the funds appropriated by Congress for the program, the FCC has allocated to the Company approximately only $131 million of the approximately $333 million approved for reimbursement. There can be no assurance that Congress will appropriate any additional funds. If Congress fails to appropriate funds sufficient to fund all of the approved expenditures of the Company and other participants and we nevertheless decide to participate, we will be required to fund the portion of program costs that exceeds the FCC allocation, which currently amounts to approximately $202 million. In order to participate in the program, we must comply with various conditions and requirements established by the FCC, including a requirement that we submit our first reimbursement request by July 15, 2023, and complete the removal, replacement and disposal of applicable equipment within one year following such request. The FCC may grant one or more six-month extensions to a participant where it finds that due to factors beyond its control, the participant cannot complete the project by the deadline. Due to a number of factors including supply chain disruptions, the current insufficiency of FCC funding and the operational and logistical complexity of replacing airborne equipment, we do not believe that we can complete the project by July 2024, and we intend to seek extensions if we decide to participate. If the FCC does not grant the necessary extensions and the project is not completed by the FCC’s deadline, we could face penalties or other sanctions.</w:t>
      </w:r>
    </w:p>
    <w:p>
      <w:pPr>
        <w:spacing w:after="0" w:line="62"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In addition, if any of the Company’s customers do not replace their airborne equipment with equipment that is compatible with the replacement terrestrial network equipment prior to the date on which the replacement terrestrial network equipment goes into effect, the Company will be unable to provide service to such customers until the airborne equipment is replaced. Such service disruptions could have a material adverse effect on our results of operations and financial condition.</w:t>
      </w:r>
    </w:p>
    <w:p>
      <w:pPr>
        <w:spacing w:after="0" w:line="185" w:lineRule="exact"/>
        <w:rPr>
          <w:sz w:val="20"/>
          <w:szCs w:val="20"/>
          <w:color w:val="auto"/>
        </w:rPr>
      </w:pPr>
    </w:p>
    <w:p>
      <w:pPr>
        <w:ind w:right="940" w:firstLine="509"/>
        <w:spacing w:after="0" w:line="277" w:lineRule="auto"/>
        <w:rPr>
          <w:sz w:val="20"/>
          <w:szCs w:val="20"/>
          <w:color w:val="auto"/>
        </w:rPr>
      </w:pPr>
      <w:r>
        <w:rPr>
          <w:rFonts w:ascii="Arial" w:cs="Arial" w:eastAsia="Arial" w:hAnsi="Arial"/>
          <w:sz w:val="18"/>
          <w:szCs w:val="18"/>
          <w:b w:val="1"/>
          <w:bCs w:val="1"/>
          <w:i w:val="1"/>
          <w:iCs w:val="1"/>
          <w:color w:val="auto"/>
        </w:rPr>
        <w:t>Failure to comply with anti-bribery, anti-corruption and anti-money laundering laws could subject us to penalties and other adverse consequences.</w:t>
      </w:r>
    </w:p>
    <w:p>
      <w:pPr>
        <w:spacing w:after="0" w:line="6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are subject to the FCPA, the Bribery Act and other anti-corruption, anti-bribery and anti-money laundering laws in various jurisdictions around the world. The FCPA, the Bribery Act and similar applicable laws generally prohibit companies, their officers,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right="20"/>
        <w:spacing w:after="0" w:line="268" w:lineRule="auto"/>
        <w:rPr>
          <w:sz w:val="20"/>
          <w:szCs w:val="20"/>
          <w:color w:val="auto"/>
        </w:rPr>
      </w:pPr>
      <w:r>
        <w:rPr>
          <w:rFonts w:ascii="Arial" w:cs="Arial" w:eastAsia="Arial" w:hAnsi="Arial"/>
          <w:sz w:val="17"/>
          <w:szCs w:val="17"/>
          <w:color w:val="auto"/>
        </w:rPr>
        <w:t>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the Bribery Act, or other applicable anti-bribery, anti-corruption laws and anti-money laundering laws could result in whistleblower complaints, adverse media coverage, investigations, loss of export privileges, severe criminal or civil sanctions, fines and penalties, all of which may have a material adverse effect on our business, financial condition and results of operations.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Expenses, liabilities or business disruptions resulting from litigation could adversely affect our results of operations and financial condition.</w:t>
      </w:r>
    </w:p>
    <w:p>
      <w:pPr>
        <w:spacing w:after="0" w:line="140"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Our operations are characterized by the use of new technologies and services across multiple jurisdictions that implicate various statutes and a range of rules and regulations that may be subject to broad or creative interpretation. This may result in litigation, including class action lawsuits, the outcome of which may be difficult to assess or quantify due to the potential ambiguity inherent in these regulatory schemes and/or the nascence of our technologies and services. Plaintiffs may seek recovery of very large or indeterminate amounts, and the magnitude of the potential loss relating to such lawsuits may remain unknown for substantial periods of time. Any such claims or litigation may be time-consuming and costly, divert management resources, require us to change our products and services, or require us to pay significant monetary damages, which may have a material adverse effect on our results of operations. For example, we recently settled a securities class action lawsuit in which Gogo Inc. and certain of our current and former executives were defendants, and in February 2023, we received preliminary court approval to settle related derivative lawsuits in which Gogo Inc. is a nominal defendant and members of our Board of Directors and certain current and former executives are defendants. We are required to indemnify the directors and current and former officers who are defendants in the derivative lawsuit for their defense costs and any judgments resulting from such suits. In the future, we may be subject to additional securities class action or derivative litigation. From time to time, we may also be subject to other claims or litigation in the ordinary course of our business, including for example, claims related to employment matters.</w:t>
      </w:r>
    </w:p>
    <w:p>
      <w:pPr>
        <w:spacing w:after="0" w:line="66"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addition, costly and time-consuming litigation could be necessary to enforce our existing contracts and, even if successful, may have a material adverse effect on our business. In addition, litigation by or against any customer or supplier could have the effect of negatively impacting our reputation and goodwill with existing and potential customers and suppliers.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affected by global climate change or by legal and regulatory responses to such change.</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Concern over climate change, including the impact of global warming, has led to significant U.S. and international legislative and regulatory efforts to limit GHG emissions. Increasingly, state and local governments are also considering GHG regulatory requirements. Increased regulation regarding GHG emissions, especially aircraft emissions, could impose substantial costs on us. We may also incur additional expenses as a result of U.S. and international regulators requiring additional disclosures regarding GHG emissions. The adoption and implementation of new or more stringent international, federal, regional, state or local legislation, regulations or other initiatives that impose more stringent standards for GHG emissions may have a material adverse effect on our results of operations and financial condition.</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Regulations related to conflict minerals force us to incur additional expenses and may make our supply chain more complex.</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are subject to the Dodd-Frank Wall Street Reform and Consumer Protection Act of 2010, which requires us to diligence, disclose and report whether or not our products contain certain minerals and metals, known as “conflict minerals.” These requirements could adversely affect the sourcing, availability and pricing of certain of the materials used in the manufacture of components in our products and equipment. In addition, we have incurred, and will continue to incur, costs to comply with the disclosure requirements, including costs related to conducting diligence procedures to determine the sources of conflict minerals that may be used or necessary to the production of our products and, if applicable, potential changes to products, processes or sources of supply as a consequence of such verification activities.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280" w:firstLine="509"/>
        <w:spacing w:after="0" w:line="277" w:lineRule="auto"/>
        <w:rPr>
          <w:sz w:val="20"/>
          <w:szCs w:val="20"/>
          <w:color w:val="auto"/>
        </w:rPr>
      </w:pPr>
      <w:r>
        <w:rPr>
          <w:rFonts w:ascii="Arial" w:cs="Arial" w:eastAsia="Arial" w:hAnsi="Arial"/>
          <w:sz w:val="18"/>
          <w:szCs w:val="18"/>
          <w:color w:val="auto"/>
        </w:rPr>
        <w:t>For definitions of capitalized terms used and not defined in the following Risk Factors, see “Management's Discussion and Analysis of Financial Condition and Results of Operations” in this Annual Report on Form 10-K.</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b w:val="1"/>
          <w:bCs w:val="1"/>
          <w:i w:val="1"/>
          <w:iCs w:val="1"/>
          <w:color w:val="auto"/>
        </w:rPr>
        <w:t>We and our subsidiaries have substantial debt and may incur substantial additional debt in the future, which could adversely affect our financial health, reduce our profitability, limit our ability to obtain financing in the future and pursue certain business opportunities and reduce the value of your investment.</w:t>
      </w:r>
    </w:p>
    <w:p>
      <w:pPr>
        <w:spacing w:after="0" w:line="7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As of December 31, 2022, we had total consolidated indebtedness of approximately $714.1 million, all of which was borrowed under the Term Loan Facility.</w:t>
      </w:r>
    </w:p>
    <w:p>
      <w:pPr>
        <w:spacing w:after="0" w:line="62"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We and our subsidiaries may incur additional debt in the future, including up to $100.0 million under the Revolving Facility, which could increase the risks described below and lead to other risks. The amount of our debt or such other obligations could have important consequences for holders of our common stock, including, but not limited to:</w:t>
      </w:r>
    </w:p>
    <w:p>
      <w:pPr>
        <w:spacing w:after="0" w:line="75" w:lineRule="exact"/>
        <w:rPr>
          <w:sz w:val="20"/>
          <w:szCs w:val="20"/>
          <w:color w:val="auto"/>
        </w:rPr>
      </w:pPr>
    </w:p>
    <w:p>
      <w:pPr>
        <w:ind w:left="1020" w:right="840" w:hanging="504"/>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meaningful portion of our cash flows from operations is expected to be dedicated to the payment of principal and interest on our indebtedness, thereby reducing the funds available to us for other purposes;</w:t>
      </w:r>
    </w:p>
    <w:p>
      <w:pPr>
        <w:spacing w:after="0" w:line="61" w:lineRule="exact"/>
        <w:rPr>
          <w:rFonts w:ascii="Arial" w:cs="Arial" w:eastAsia="Arial" w:hAnsi="Arial"/>
          <w:sz w:val="18"/>
          <w:szCs w:val="18"/>
          <w:color w:val="auto"/>
        </w:rPr>
      </w:pPr>
    </w:p>
    <w:p>
      <w:pPr>
        <w:ind w:left="1020" w:right="140" w:hanging="504"/>
        <w:spacing w:after="0" w:line="34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debt service requirements or general corporate purposes may be limited, and our ability to satisfy our obligations with respect to our indebtedness may be impaired in the future;</w:t>
      </w:r>
    </w:p>
    <w:p>
      <w:pPr>
        <w:spacing w:after="0" w:line="16" w:lineRule="exact"/>
        <w:rPr>
          <w:rFonts w:ascii="Arial" w:cs="Arial" w:eastAsia="Arial" w:hAnsi="Arial"/>
          <w:sz w:val="16"/>
          <w:szCs w:val="16"/>
          <w:color w:val="auto"/>
        </w:rPr>
      </w:pPr>
    </w:p>
    <w:p>
      <w:pPr>
        <w:ind w:left="1020" w:hanging="504"/>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at a competitive disadvantage compared to our competitors with less debt or with comparable debt at more favorable interest rates and which, as a result, may be better positioned to withstand economic downturns;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refinance indebtedness may be limited or the associated costs may increase;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engage in acquisitions without raising additional equity or obtaining additional debt financing may be impaired in the future;</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may be difficult for us to satisfy our obligations to our creditors, resulting in possible defaults on and acceleration of such indebtedness;</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 and</w:t>
      </w:r>
    </w:p>
    <w:p>
      <w:pPr>
        <w:spacing w:after="0" w:line="116" w:lineRule="exact"/>
        <w:rPr>
          <w:rFonts w:ascii="Arial" w:cs="Arial" w:eastAsia="Arial" w:hAnsi="Arial"/>
          <w:sz w:val="18"/>
          <w:szCs w:val="18"/>
          <w:color w:val="auto"/>
        </w:rPr>
      </w:pPr>
    </w:p>
    <w:p>
      <w:pPr>
        <w:ind w:left="1020" w:hanging="504"/>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flexibility to adjust to changing market conditions and our ability to withstand competitive pressures could be limited, or we may be prevented from making capital investments that are necessary or important to our operations in general, our growth strategy and our efforts to improve operating margins of our business units.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have future capital needs and may not be able to obtain additional financing to fund our capital needs on acceptable terms, or at all.</w:t>
      </w:r>
    </w:p>
    <w:p>
      <w:pPr>
        <w:spacing w:after="0" w:line="140"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have from time to time evaluated, and we continue to evaluate, our potential capital needs in light of increasing demand for our services, limitations on bandwidth capacity and performance and generally evolving technology in our industry. We may utilize one or more types of capital raising in order to fund any initiative in this regard, including the issuance of new equity securities and new debt securities, including debt securities convertible into our common stock. Our ability to generate positive cash flows from operating activities and the extent and timing of certain capital and other necessary expenditures are subject to numerous variables, such as costs related to execution of our current technology roadmap, including continuing development and deployment of Gogo 5G, Global Broadband and other future technologies. The market conditions and the macroeconomic conditions that affect the markets in which we operate could have a material adverse effect on our ability to secure financing on acceptable terms, if at all. We may be unable to secure additional financing on favorable terms or at all or our operating cash flows may be insufficient to satisfy our financial obligations under the 2021 Credit Agreement and other indebtedness outstanding from time to time.</w:t>
      </w:r>
    </w:p>
    <w:p>
      <w:pPr>
        <w:spacing w:after="0" w:line="70"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Our ability to obtain additional financing for working capital, capital expenditures, acquisitions, debt service requirements or general corporate purposes is limited by the 2021 Credit Agreement. In the future, if our subsidiaries are in compliance with certain incurrence ratios or other covenant exceptions set forth in the 2021 Credit Agreement, our subsidiaries may be able to incur additional indebtedness, which indebtedness may be secured or unsecured, the incurrence of which may increase the risks created by our current substantial indebtedness. Events beyond our control can affect our ability to comply with these requirements. The 2021 Credit Agreement also limits the ability of Gogo Inc. to incur additional indebtedness under certain circumstances and limits the amount of cash that our subsidiaries may dividend, transfer or otherwise distribute to us.</w:t>
      </w:r>
    </w:p>
    <w:p>
      <w:pPr>
        <w:spacing w:after="0" w:line="55"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The terms of any additional financing may further limit our financial and operating flexibility. Our ability to satisfy our financial obligations will depend upon our future operating performance, the availability of credit generally, economic conditions and financial, business and other factors, many of which are beyond our control. Furthermore, if financing is not available when needed, or is not available on acceptable terms, we may be unable to take advantage of business opportunities or respond to competitive pressures, any of which may have a material adverse effect on our business, financial condition and results of operations. Even if we are able to</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obtain additional financing, we may be required to use the proceeds from any such financing to repay a portion of our outstanding debt.</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If we raise additional funds or seek to reduce our current levels of indebtedness through further issuances of equity, convertible debt securities or other securities convertible into equity, our existing stockholders could suffer significant dilution in their percentage ownership of our company. In addition, any new securities we issue could have rights, preferences and privileges senior to those of holders of our common stock, and we may grant holders of such securities rights with respect to the governance and operations of our business. If we are unable to obtain adequate financing or financing on terms satisfactory to us, if and when we require it, our ability to grow or support our business and to respond to business challenges could be significantly limited.</w:t>
      </w:r>
    </w:p>
    <w:p>
      <w:pPr>
        <w:spacing w:after="0" w:line="160"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b w:val="1"/>
          <w:bCs w:val="1"/>
          <w:i w:val="1"/>
          <w:iCs w:val="1"/>
          <w:color w:val="auto"/>
        </w:rPr>
        <w:t>The agreements and instruments governing our debt contain restrictions and limitations that could adversely impact our ability to operate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2021 Credit Agreement contains covenants that, among other things, limit the ability of our subsidiaries and, in certain circumstances, us to:</w:t>
      </w:r>
    </w:p>
    <w:p>
      <w:pPr>
        <w:spacing w:after="0" w:line="140" w:lineRule="exact"/>
        <w:rPr>
          <w:sz w:val="20"/>
          <w:szCs w:val="20"/>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redeem stock or make other distributions;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or consolidate with other companies;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17"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Our ability to comply with the covenants and restrictions contained in the 2021 Credit Agreement may be affected by economic, financial and industry conditions beyond our control. Our failure to comply with obligations under the agreements and instruments governing our indebtedness may result in an event of default under such agreements and instruments. We cannot be certain that we will have funds available to remedy these defaults. A default, if not cured or waived, may permit acceleration of our indebtedness. If our indebtedness is accelerated, we cannot be certain that we will have sufficient funds available to pay the accelerated indebtedness or have the ability to refinance the accelerated indebtedness on terms favorable to us or at all. All of these covenants and restrictions could affect our ability to operate our business, may limit our ability in the future to satisfy currently outstanding obligations and may limit our ability to take advantage of potential business opportunities as they arise.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increase in interest rates would increase the cost of servicing our indebtedness and could reduce our profitability.</w:t>
      </w:r>
    </w:p>
    <w:p>
      <w:pPr>
        <w:spacing w:after="0" w:line="117"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Our debt outstanding under the Term Loan Facility bears interest, and any indebtedness under our Revolving Facility would bear interest, at variable rates. While we have entered into interest rate caps to hedge a portion of our exposure, we remain subject to interest rate risk under these facilities. Increases in interest rates would increase the cost of servicing our debt and could materially reduce our profitability and cash flows.</w:t>
      </w:r>
    </w:p>
    <w:p>
      <w:pPr>
        <w:spacing w:after="0" w:line="5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Any payments made under our interest rate caps are based on the three-month LIBOR interest rate. The upcoming cessation of the availability of LIBOR may adversely affect our business, financial position, results of operations and cash flows. On July 27, 2017, the United Kingdom's Financial Conduct Authority (the “FCA”), which regulates LIBOR, announced that it intends to stop encouraging or compelling banks to submit LIBOR quotations after 2021 (the “FCA Announcement”). On March 5, 2021, the ICE Benchmark Administration, which administers LIBOR, and FCA announced that all LIBOR settings will either cease to be provided by any administrator, or no longer be representative immediately after December 31, 2021, for all non-U.S. dollar LIBOR settings and one-week and two-month U.S. dollar LIBOR settings, and immediately after June 30, 2023 for the remaining U.S. dollar LIBOR settings (the “LIBOR Announcement”).</w:t>
      </w:r>
    </w:p>
    <w:p>
      <w:pPr>
        <w:spacing w:after="0" w:line="85"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It is not possible to predict the effect that the LIBOR Announcement, the discontinuation of LIBOR or the establishment of alternative reference rates may have on LIBOR, but financial products with interest rates tied to LIBOR may be adversely affected. Once LIBOR ceases to be published, it is uncertain whether it will continue to be viewed as an acceptable market benchmark, what rate or rates may become accepted alternatives to LIBOR or what the effect of any such changes in views or alternatives may be on the markets for LIBOR-indexed financial instruments.</w:t>
      </w:r>
    </w:p>
    <w:p>
      <w:pPr>
        <w:spacing w:after="0" w:line="48"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amended our 2021 Credit Agreement on February 2, 2023 to transition to the secured overnight financing rate as administered by the Federal Reserve Bank of New York (“SOFR”) in anticipation of LIBOR’s discontinuation. Any indebtedness under our 2021 Credit Agreement may bear interest at variable rates that use the forward-looking term rate based on SOFR. SOFR is calculated differently than LIBOR and has inherent differences, which could give rise to uncertainties, including the limited historical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280"/>
        <w:spacing w:after="0" w:line="277" w:lineRule="auto"/>
        <w:rPr>
          <w:sz w:val="20"/>
          <w:szCs w:val="20"/>
          <w:color w:val="auto"/>
        </w:rPr>
      </w:pPr>
      <w:r>
        <w:rPr>
          <w:rFonts w:ascii="Arial" w:cs="Arial" w:eastAsia="Arial" w:hAnsi="Arial"/>
          <w:sz w:val="18"/>
          <w:szCs w:val="18"/>
          <w:color w:val="auto"/>
        </w:rPr>
        <w:t>data and volatility in the benchmark rates. We intend to transition our interest rate caps from LIBOR to SOFR before LIBOR’s discontinuation. The full effects of the transition to SOFR remain uncertain.</w:t>
      </w:r>
    </w:p>
    <w:p>
      <w:pPr>
        <w:spacing w:after="0" w:line="16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b w:val="1"/>
          <w:bCs w:val="1"/>
          <w:i w:val="1"/>
          <w:iCs w:val="1"/>
          <w:color w:val="auto"/>
        </w:rPr>
        <w:t>Indebtedness under the Facilities is secured by substantially all of our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p>
      <w:pPr>
        <w:spacing w:after="0" w:line="77"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Indebtedness under the Facilities is secured by a lien on substantially all of our assets. Accordingly, if an event of default were to occur under the 2021 Credit Agreement, to the extent amounts were outstanding under the Facilities, the lenders party to the 2021 Credit Agreement would have a prior right to our assets, to the exclusion of our general creditors in the event of our bankruptcy, insolvency, liquidation, or reorganization. In that event, our assets would first be used to repay in full all indebtedness and other obligations under the 2021 Credit Agreement,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w:t>
      </w:r>
    </w:p>
    <w:p>
      <w:pPr>
        <w:spacing w:after="0" w:line="163"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us, our subsidiaries or our indebtedness, if any, could cause our cost of capital to increase.</w:t>
      </w:r>
    </w:p>
    <w:p>
      <w:pPr>
        <w:spacing w:after="0" w:line="62"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Our Term Loan has been rated by nationally recognized rating agencies and may in the future be rated by additional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future lowering of ratings may make it more difficult or more expensive for us to obtain additional debt financing.</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Our Common Stock</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17"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The trading price of our common stock has been volatile since our IPO, which occurred on June 21, 2013 and in which shares of common stock were sold at a price of $17.00 per share. From the IPO date through February 24, 2023, the price of our common stock has ranged from a closing low of $1.40 per share to a closing high of $34.34 per share. In addition to the factors discussed in this Annual Report on Form 10-K, the trading price of our common stock may fluctuate widely in response to various factors, many of which are beyond our control. They include:</w:t>
      </w:r>
    </w:p>
    <w:p>
      <w:pPr>
        <w:spacing w:after="0" w:line="62" w:lineRule="exact"/>
        <w:rPr>
          <w:sz w:val="20"/>
          <w:szCs w:val="20"/>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aviation industry or general market conditions, including those related to disruptions to supply chains and installations;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technology or customer usage of Wi-Fi and Internet broadband services;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inability to timely and efficiently roll out Gogo 5G, Global Broadband or other components of our technology roadmap;</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16"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operating results and any inability to generate positive cash flows on a consolidated basis in the future or to obtain additional financing;</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or failure to meet publicly disclosed expectations as to our future financial performance;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lack of research and reports by industry analysts;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 by institutional stockholders or other large stockholders, including future sales;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short-selling or other transactions involving derivatives of our securities;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 perception of us and our industry;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market valuations or earnings of similar companies;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2" w:name="page33"/>
    <w:bookmarkEnd w:id="32"/>
    <w:p>
      <w:pPr>
        <w:ind w:left="1020" w:hanging="504"/>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products, contracts, contract amendments, acquisitions or strategic partnerships;</w:t>
      </w:r>
    </w:p>
    <w:p>
      <w:pPr>
        <w:spacing w:after="0" w:line="128" w:lineRule="exact"/>
        <w:rPr>
          <w:rFonts w:ascii="Arial" w:cs="Arial" w:eastAsia="Arial" w:hAnsi="Arial"/>
          <w:sz w:val="17"/>
          <w:szCs w:val="17"/>
          <w:color w:val="auto"/>
        </w:rPr>
      </w:pPr>
    </w:p>
    <w:p>
      <w:pPr>
        <w:ind w:left="1020" w:right="380" w:hanging="504"/>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 including increases or decreases in litigation expenses associated with intellectual property lawsuits we may initiate, or in which we may be named as defendants;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renewal of our FCC licenses and our ability to obtain additional spectrum;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In addition, the stock markets have experienced extreme price and volume fluctuations in recent years that have affected and continue to affect the market prices of equity securities of many technology companies. Stock prices of many such companies have fluctuated in a manner unrelated or disproportionate to the operating performance of those companies. These broad market fluctuations may adversely affect the trading price of our common stock. In the past, following periods of volatility in the market price of a company’s securities, class action litigation has often been instituted against such company. Any litigation of this type brought against us could result in substantial costs and a diversion of our management’s attention and resources, which may have a material adverse effect on our business, financial condition and results of operations.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The utilization of our tax losses could be substantially limited if we experienced an “ownership change” as defined in the Internal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w:t>
      </w:r>
    </w:p>
    <w:p>
      <w:pPr>
        <w:spacing w:after="0" w:line="10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As of December 31, 2022, we had approximately $562 million in federal and $448 million in state net operating losses (“NOLs”). The federal NOLs will begin to expire in 2032. The state NOLs expire in various tax years beginning in 2023. Under Section 382 of the Code and corresponding provisions of state law, if a corporation undergoes an “ownership change,” which is generally defined as an increase of more than 50% of the value of the Company’s stock owned by certain “5-percent shareholders,” as such term is defined in Section 382 of the Code, in its equity ownership over a rolling three-year period, the corporation’s ability to use its pre-change NOLs and other pre-change tax attributes to offset its post-change income or taxes may be limited. To the extent there becomes a new 5-percent shareholder, we may experience an ownership change under Section 382 of the Code, which may result in the loss or impairment of some or all of our NOLs. The extent of any loss or impairment of our NOLs upon an ownership change would depend on several factors, including the nature of the NOLs, our stock price and extent of the ownership change.</w:t>
      </w:r>
    </w:p>
    <w:p>
      <w:pPr>
        <w:spacing w:after="0" w:line="75"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September 2020, our Board of Directors adopted a Section 382 Rights Agreement (as amended, the “Rights Agreement”), between the Company and Computershare Trust Company, N.A., as rights agent, and declared a dividend of one Right for each outstanding share of common stock of the Company outstanding on the record date of October 2, 2020, to the stockholders of record on that date. The Rights Agreement is designed to facilitate the Company’s ability to protect its NOLs and certain other tax attributes in order to be able to offset potential future income taxes for federal income tax purposes. The Rights Agreement may make it more difficult for the Company to undergo an ownership change by deterring a third party from acquiring beneficial ownership of 4.9% or more of the shares of our common stock then outstanding. Beneficial ownership for purposes of the Rights Agreement is determined based on meeting one of several criteria, including (i) actual or constructive ownership pursuant to Section 382 of the Code and related regulations thereunder and (ii) beneficial ownership, directly or indirectly, within the meaning of Rules 13d-3 or 13d-5 promulgated under the Exchange Act. The limitations set forth in the Rights Agreement may adversely affect the marketability of our common stock by discouraging any individual or entity, together with their affiliates and associates, from acquiring beneficial ownership of 4.9% or more of the shares of our common stock then outstanding.</w:t>
      </w:r>
    </w:p>
    <w:p>
      <w:pPr>
        <w:spacing w:after="0" w:line="5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addition, although the Rights Agreement is intended to reduce the likelihood of an ownership change that could adversely affect utilization of our NOLs, the Rights Agreement has been, and may be, ineffective at deterring shareholders from becoming 5-percent shareholders. For example, in September 2022 and December 2022, two institutional shareholders inadvertently crossed the 4.9% beneficial ownership threshold. In both such circumstances, our Board of Directors, rather than allowing a distribution of Rights to be triggered, determined that it was in the best interests of the Company to grant requests by such shareholders that they each be deemed an “Exempt Person” under the Rights Agreement. Each exemption required that the shareholder satisfy certain ownership conditions intended to prevent an ownership change and protect our ability to utilize our NOLs. Moreover, pursuant to the terms of the Rights Agreement, our Board of Directors may determine that it is in the best interests of the Company to exempt certain transactions, which could result in an ownership change, from triggering the Rights Agreement. Failure by an “Exempt Person” or other persons exempt from certain transaction under the Rights Agreement to comply with the conditions for such exemptions could result in an ownership change and result in the loss or impairment of some or all of our NOLs. If an ownership change occurs and our ability to use our NOLs is materially limited, it would harm our future operating results by effectively increasing our future tax obligations.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b w:val="1"/>
          <w:bCs w:val="1"/>
          <w:i w:val="1"/>
          <w:iCs w:val="1"/>
          <w:color w:val="auto"/>
        </w:rPr>
        <w:t>Future stock issuances could cause substantial dilution and a decline in our stock price.</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We may issue additional shares of common stock or other equity or debt securities convertible into common stock from time to time in connection with a financing, acquisition, litigation settlement, employee arrangement, as consideration to third-party service or equipment providers or otherwise. Additional shares of common stock are also issuable upon exercise of outstanding stock options. We may also reserve additional shares of our common stock for issuance upon the exercise of stock options or other similar forms of equity incentives. We cannot predict the size of future issuances or the effect, if any, that they may have on the market price for our common stock. Any of these issuances could result in substantial dilution to our existing stockholders and could cause the trading price of our common stock to decline.</w:t>
      </w:r>
    </w:p>
    <w:p>
      <w:pPr>
        <w:spacing w:after="0" w:line="176"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b w:val="1"/>
          <w:bCs w:val="1"/>
          <w:i w:val="1"/>
          <w:iCs w:val="1"/>
          <w:color w:val="auto"/>
        </w:rPr>
        <w:t>A few significant stockholders, including affiliates of Oakleigh Thorne, our Chairman of the Board and CEO, and GTCR LLC and its affiliates, could exert influence over our company, and if the ownership of our common stock continues to be concentrated, or becomes more concentrated in the future, it could prevent our other stockholders from influencing significant corporate decisions.</w:t>
      </w:r>
    </w:p>
    <w:p>
      <w:pPr>
        <w:spacing w:after="0" w:line="56"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As of December 31, 2022, Oakleigh Thorne, our CEO and the Chairman of our Board of Directors, and the entities affiliated with Mr. Thorne (the “Thorne Entities”) beneficially owned approximately 22% of the outstanding shares of our common stock, and funds managed by GTCR LLC and its affiliates (“GTCR”) beneficially owned approximately 25% of the outstanding shares of our common stock. As a result, either the Thorne Entities or GTCR alone is able to exercise influence over all matters requiring stockholder approval for the foreseeable future, including approval of significant corporate transactions and the election of directors. Such ability to influence may reduce the market price of our common stock. In addition, together, GTCR and the Thorne Entities would be able to exercise control over such matters, which similarly may reduce the market price of our common stock.</w:t>
      </w:r>
    </w:p>
    <w:p>
      <w:pPr>
        <w:spacing w:after="0" w:line="55"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As our CEO, Mr. Thorne has control over our day-to-day management and the implementation of major strategic initiatives and investments by our company, subject to authorization and oversight by our Board of Directors. As a member of our Board of Directors, Mr. Thorne owes a fiduciary duty to our stockholders and must act in good faith in a manner he reasonably believes to be in the best interests of our stockholders. As a stockholder, Mr. Thorne is entitled to vote his shares, and shares over which he has voting control, in his own interest, which may not always be in the interests of stockholders generally.</w:t>
      </w:r>
    </w:p>
    <w:p>
      <w:pPr>
        <w:spacing w:after="0" w:line="83"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Our corporate governance guidelines address potential conflicts between a director’s interests and our interests, and our code of business conduct, among other things, requires our employees and directors to avoid actions or relationships that might conflict or appear to conflict with their job responsibilities or our interests and to disclose their outside activities, financial interests or relationships that may present a possible conflict of interest or the appearance of a conflict to management or corporate counsel. These corporate governance guidelines and code of business ethics do not, by themselves, prohibit transactions with the Thorne Entities.</w:t>
      </w:r>
    </w:p>
    <w:p>
      <w:pPr>
        <w:spacing w:after="0" w:line="19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b w:val="1"/>
          <w:bCs w:val="1"/>
          <w:i w:val="1"/>
          <w:iCs w:val="1"/>
          <w:color w:val="auto"/>
        </w:rPr>
        <w:t>Fulfilling our obligations associated with being a public company is expensive and time-consuming, and any delays or difficulties in satisfying these obligations may have a material adverse effect on our results of operations and our stock price.</w:t>
      </w:r>
    </w:p>
    <w:p>
      <w:pPr>
        <w:spacing w:after="0" w:line="62"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As a public company, the Sarbanes-Oxley Act of 2002 (“Sarbanes-Oxley”), and the related rules and regulations of the SEC, as well as NASDAQ rules, require us to implement various corporate governance practices and adhere to a variety of reporting requirements and complex accounting rules. Compliance with these public company obligations requires us to devote significant time and resources and places significant additional demands on our finance and accounting staff and on our financial accounting and information systems. We are also required under Sarbanes-Oxley to document and test the effectiveness of our internal control over financial reporting, and our independent registered public accounting firm is required to provide an attestation report on the effectiveness of our internal control over financial reporting. In addition, we are required under the Exchange Act to maintain disclosure controls and procedures and internal control over financial reporting. Any failure to maintain effective controls or implement required new or improved controls may materially adversely affect our results of operations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This could result in a decrease in the value of our common stock. Failure to comply with Sarbanes-Oxley could potentially subject us to sanctions or investigations by the SEC, NASDAQ, or other regulatory authorities.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ind w:right="120" w:firstLine="509"/>
        <w:spacing w:after="0" w:line="307" w:lineRule="auto"/>
        <w:rPr>
          <w:sz w:val="20"/>
          <w:szCs w:val="20"/>
          <w:color w:val="auto"/>
        </w:rPr>
      </w:pPr>
      <w:r>
        <w:rPr>
          <w:rFonts w:ascii="Arial" w:cs="Arial" w:eastAsia="Arial" w:hAnsi="Arial"/>
          <w:sz w:val="17"/>
          <w:szCs w:val="17"/>
          <w:b w:val="1"/>
          <w:bCs w:val="1"/>
          <w:i w:val="1"/>
          <w:iCs w:val="1"/>
          <w:color w:val="auto"/>
        </w:rPr>
        <w:t>Anti-takeover provisions in our charter documents and Delaware law, and certain provisions in our existing and any future credit facility could discourage, delay or prevent a change in control of our company and may affect the trading price of our common stock.</w:t>
      </w:r>
    </w:p>
    <w:p>
      <w:pPr>
        <w:spacing w:after="0" w:line="39" w:lineRule="exact"/>
        <w:rPr>
          <w:sz w:val="20"/>
          <w:szCs w:val="20"/>
          <w:color w:val="auto"/>
        </w:rPr>
      </w:pPr>
    </w:p>
    <w:p>
      <w:pPr>
        <w:ind w:right="140" w:firstLine="509"/>
        <w:spacing w:after="0" w:line="307" w:lineRule="auto"/>
        <w:rPr>
          <w:sz w:val="20"/>
          <w:szCs w:val="20"/>
          <w:color w:val="auto"/>
        </w:rPr>
      </w:pPr>
      <w:r>
        <w:rPr>
          <w:rFonts w:ascii="Arial" w:cs="Arial" w:eastAsia="Arial" w:hAnsi="Arial"/>
          <w:sz w:val="17"/>
          <w:szCs w:val="17"/>
          <w:color w:val="auto"/>
        </w:rPr>
        <w:t>Our amended and restated certificate of incorporation and amended and restated bylaws include a number of provisions that may discourage, delay or prevent a change in our management or control over us that stockholders may consider favorable. These provisions include:</w:t>
      </w:r>
    </w:p>
    <w:p>
      <w:pPr>
        <w:spacing w:after="0" w:line="39" w:lineRule="exact"/>
        <w:rPr>
          <w:sz w:val="20"/>
          <w:szCs w:val="20"/>
          <w:color w:val="auto"/>
        </w:rPr>
      </w:pPr>
    </w:p>
    <w:p>
      <w:pPr>
        <w:ind w:left="1020" w:hanging="504"/>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Authorization of the issuance of “blank check” preferred stock that could be issued by our Board of Directors to thwart a takeover attempt;</w:t>
      </w:r>
    </w:p>
    <w:p>
      <w:pPr>
        <w:spacing w:after="0" w:line="139" w:lineRule="exact"/>
        <w:rPr>
          <w:rFonts w:ascii="Arial" w:cs="Arial" w:eastAsia="Arial" w:hAnsi="Arial"/>
          <w:sz w:val="16"/>
          <w:szCs w:val="16"/>
          <w:color w:val="auto"/>
        </w:rPr>
      </w:pPr>
    </w:p>
    <w:p>
      <w:pPr>
        <w:ind w:left="1020" w:right="480" w:hanging="504"/>
        <w:spacing w:after="0" w:line="341"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Establishment of a classified Board of Directors, as a result of which our board is divided into three classes, with each class serving for staggered three-year terms, which prevents stockholders from electing an entirely new Board of Directors at an annual meeting;</w:t>
      </w:r>
    </w:p>
    <w:p>
      <w:pPr>
        <w:spacing w:after="0" w:line="16" w:lineRule="exact"/>
        <w:rPr>
          <w:rFonts w:ascii="Arial" w:cs="Arial" w:eastAsia="Arial" w:hAnsi="Arial"/>
          <w:sz w:val="16"/>
          <w:szCs w:val="16"/>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requirement that directors only be removed from office for cause and only upon a supermajority stockholder vote;</w:t>
      </w:r>
    </w:p>
    <w:p>
      <w:pPr>
        <w:spacing w:after="0" w:line="116" w:lineRule="exact"/>
        <w:rPr>
          <w:rFonts w:ascii="Arial" w:cs="Arial" w:eastAsia="Arial" w:hAnsi="Arial"/>
          <w:sz w:val="18"/>
          <w:szCs w:val="18"/>
          <w:color w:val="auto"/>
        </w:rPr>
      </w:pPr>
    </w:p>
    <w:p>
      <w:pPr>
        <w:ind w:left="1020" w:right="640" w:hanging="504"/>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provision that vacancies on the Board of Directors, including newly-created directorships, may be filled only by a majority vote of directors then in office;</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limitation on who may call special meetings of stockholders;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thereby requiring all actions to be taken at a meeting of the stockholders; and</w:t>
      </w:r>
    </w:p>
    <w:p>
      <w:pPr>
        <w:spacing w:after="0" w:line="128" w:lineRule="exact"/>
        <w:rPr>
          <w:rFonts w:ascii="Arial" w:cs="Arial" w:eastAsia="Arial" w:hAnsi="Arial"/>
          <w:sz w:val="17"/>
          <w:szCs w:val="17"/>
          <w:color w:val="auto"/>
        </w:rPr>
      </w:pPr>
    </w:p>
    <w:p>
      <w:pPr>
        <w:ind w:left="1020" w:right="60" w:hanging="504"/>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requirement of supermajority stockholder voting to effect certain amendments to our amended and restated certificate of incorporation and amended and restated bylaws.</w:t>
      </w:r>
    </w:p>
    <w:p>
      <w:pPr>
        <w:spacing w:after="0" w:line="6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Additionally, our Board of Directors adopted the Rights Agreement, which is intended to reduce the likelihood of an ownership change under Section 382 of the Code by deterring a third party from acquiring beneficial ownership of 4.9% or more of the shares of our common stock then outstanding. The Rights Agreement, as well as the provisions described above, may prevent our stockholders from receiving the benefit from any premium to the market price of our common stock offered by a bidder in a takeover context. Even in the absence of a takeover attempt, the existence of the Rights Agreement or such provisions may adversely affect the prevailing market price of our common stock if viewed as discouraging takeover attempts in the future.</w:t>
      </w:r>
    </w:p>
    <w:p>
      <w:pPr>
        <w:spacing w:after="0" w:line="83"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The Rights Agreement as well as the provisions of our amended and restated certificate of incorporation and amended and restated bylaws may also make it difficult for stockholders to replace or remove our management or Board of Directors. These provisions may facilitate management entrenchment that may delay, deter, render more difficult or prevent a change in our control, which may not be in the best interests of our stockholders.</w:t>
      </w:r>
    </w:p>
    <w:p>
      <w:pPr>
        <w:spacing w:after="0" w:line="40"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Under the terms of the 2021 Credit Agreement, a takeover of our company would allow the administrative agent and/or the lenders to terminate their commitments under the 2021 Credit Agreement and declare any and all outstanding amounts to be due and payable. This provision may have the effect of delaying or preventing a takeover of our company that would otherwise be beneficial to our stockholders.</w:t>
      </w:r>
    </w:p>
    <w:p>
      <w:pPr>
        <w:spacing w:after="0" w:line="183"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b w:val="1"/>
          <w:bCs w:val="1"/>
          <w:i w:val="1"/>
          <w:iCs w:val="1"/>
          <w:color w:val="auto"/>
        </w:rPr>
        <w:t>Our corporate charter and bylaws include provisions limiting ownership by non-U.S. citizens, including the power of our Board of Directors to redeem shares of our common stock from non-U.S. citizens.</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 xml:space="preserve">The Communications Act and FCC regulations impose restrictions on foreign ownership of FCC licensees, as described in the above risk factor, “— </w:t>
      </w:r>
      <w:r>
        <w:rPr>
          <w:rFonts w:ascii="Arial" w:cs="Arial" w:eastAsia="Arial" w:hAnsi="Arial"/>
          <w:sz w:val="17"/>
          <w:szCs w:val="17"/>
          <w:i w:val="1"/>
          <w:iCs w:val="1"/>
          <w:color w:val="auto"/>
        </w:rPr>
        <w:t>Risks Related to Our Technology and Intellectual Property—If we fail to comply with the Communications Act and FCC regulations limiting ownership and voting of our capital stock by non-U.S. persons we could lose our FCC license</w:t>
      </w:r>
      <w:r>
        <w:rPr>
          <w:rFonts w:ascii="Arial" w:cs="Arial" w:eastAsia="Arial" w:hAnsi="Arial"/>
          <w:sz w:val="17"/>
          <w:szCs w:val="17"/>
          <w:color w:val="auto"/>
        </w:rPr>
        <w:t>.” Our corporate charter and bylaws include provisions that permit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to take certain actions in order to comply with FCC regulations regarding foreign ownership, including but not limited to, a right to redeem shares of common stock from non-U.S. citizens at prices at or below fair market value. Non-U.S. citizens should consider carefully the redemption provisions in our certificate of incorporation prior to investing in our common stock.</w:t>
      </w:r>
    </w:p>
    <w:p>
      <w:pPr>
        <w:spacing w:after="0" w:line="68"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These restrictions may also decrease the liquidity and value of our stock by reducing the pool of potential investors in our company and making the acquisition of control of us by third parties more difficult. In addition, these restrictions could adversely affect our ability to attract equity financing or consummate an acquisition of a foreign entity using shares of our capital stock.</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Currently, we lease approximately 120,000 square feet for our business in Broomfield, Colorado, under a lease agreement that expires in 2029. In addition, we lease approximately 11,700 square feet in Chicago, Illinois for those of our employees who live in the metropolitan Chicago area under a lease agreement that expires on May 31, 2032. We believe that our existing facilities will be adequate for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We are subject to several lawsuits arising out of the conduct of our business. See Note 17, “Commitments and Contingencies,” to our consolidated financial statements for a discussion of litigation matters.</w:t>
      </w:r>
    </w:p>
    <w:p>
      <w:pPr>
        <w:spacing w:after="0" w:line="62"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6" w:name="page37"/>
    <w:bookmarkEnd w:id="36"/>
    <w:p>
      <w:pPr>
        <w:ind w:left="53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common stock has been listed on the NASDAQ Global Select Market (“NASDAQ”) under the symbol “GOGO” since June 21,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February 24, 2023, there were 33 stockholders of record of our common stock, and the closing price of our common stock was $14.50 per share as reported on the NASDAQ. Because many of our shares of common stock are held by brokers and other institutions on behalf of stockholders, we are unable to estimate the total number of stockholders represented by these record holders.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Gogo Inc. under the Securities Act of 1933, as amended (the “Securities Act”), or the Exchange Act.</w:t>
      </w:r>
    </w:p>
    <w:p>
      <w:pPr>
        <w:spacing w:after="0" w:line="7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following graph shows a comparison of cumulative total return for our common stock, the Standard &amp; Poor’s 500 Stock Index (“S&amp;P 500”), the Nasdaq Composite Index (“NASDAQ Composite”) and Standard &amp; Poor’s SmallCap 600 Index (“S&amp;P SmallCap 600”) for the period from December 31, 2017 through December 30, 2022, the last trading day of 2022. The graph assumes that $100 was invested at the market close on December 31, 2017 in our common stock, the S&amp;P 500, the NASDAQ Composite and the S&amp;P SmallCap 600 and assumes reinvestments of dividends, if any. The S&amp;P SmallCap 600 was chosen because we do not believe we can reasonably identify an industry index or specific peer issuer that would offer a meaningful comparison. The S&amp;P SmallCap 600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represents a broad-based index of companies with similar market capitalization.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-19685</wp:posOffset>
            </wp:positionV>
            <wp:extent cx="6156325" cy="4469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6325" cy="446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consolidated financial statements and the related notes contained in this Annual Report on Form 10-K.</w:t>
      </w:r>
    </w:p>
    <w:p>
      <w:pPr>
        <w:spacing w:after="0" w:line="75"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i w:val="1"/>
          <w:iCs w:val="1"/>
          <w:color w:val="auto"/>
        </w:rPr>
        <w:t>On December 1, 2020, we completed the previously announced sale of our commercial aviation (“CA”) business to a subsidiary of Intelsat Jackson Holdings S.A. (“Intelsat”) for a purchase price of $400.0 million in cash, subject to certain adjustments (the “Transaction”). As a result, all periods presented in our consolidated financial statements and other portions of this Annual Report on Form 10-K have been conformed to present the CA business as discontinued operations. There was no discontinued operations activity for the CA business after December 31, 2021.</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this report. Our actual results may differ materially from those contained in or implied by any forward-looking statements.</w:t>
      </w:r>
    </w:p>
    <w:p>
      <w:pPr>
        <w:spacing w:after="0" w:line="7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Gogo is the world’s largest provider of broadband connectivity services for the 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expect to commercially launch our fourth ATG network – Gogo 5G – in the fourth quarter of 2023. 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business aviation (“Global Broadband”). The service will use an electronically steered antenna (“ESA”), specifically designed to address a broad range of business aviation aircraft, operating on a low earth orbit (“LEO”) satellite network. The antenna will be designed with Hughes Network Systems, LLC (“Hughes”) and utilized on a LEO satellite network operated by Network Access Associates Limited (“OneWeb”).</w:t>
      </w:r>
    </w:p>
    <w:p>
      <w:pPr>
        <w:spacing w:after="0" w:line="62" w:lineRule="exact"/>
        <w:rPr>
          <w:sz w:val="20"/>
          <w:szCs w:val="20"/>
          <w:color w:val="auto"/>
        </w:rPr>
      </w:pPr>
    </w:p>
    <w:p>
      <w:pPr>
        <w:ind w:right="40" w:firstLine="509"/>
        <w:spacing w:after="0" w:line="341" w:lineRule="auto"/>
        <w:rPr>
          <w:sz w:val="20"/>
          <w:szCs w:val="20"/>
          <w:color w:val="auto"/>
        </w:rPr>
      </w:pPr>
      <w:r>
        <w:rPr>
          <w:rFonts w:ascii="Arial" w:cs="Arial" w:eastAsia="Arial" w:hAnsi="Arial"/>
          <w:sz w:val="16"/>
          <w:szCs w:val="16"/>
          <w:color w:val="auto"/>
        </w:rPr>
        <w:t>Our chief operating decision maker evaluates performance and business results for our operations, and makes resource and operating decisions, on a consolidated basis. As we do not have multiple segments, we do not present segment information in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jc w:val="both"/>
        <w:ind w:right="420" w:firstLine="509"/>
        <w:spacing w:after="0" w:line="263" w:lineRule="auto"/>
        <w:rPr>
          <w:sz w:val="20"/>
          <w:szCs w:val="20"/>
          <w:color w:val="auto"/>
        </w:rPr>
      </w:pPr>
      <w:r>
        <w:rPr>
          <w:rFonts w:ascii="Arial" w:cs="Arial" w:eastAsia="Arial" w:hAnsi="Arial"/>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75" w:lineRule="exact"/>
        <w:rPr>
          <w:sz w:val="20"/>
          <w:szCs w:val="20"/>
          <w:color w:val="auto"/>
        </w:rPr>
      </w:pPr>
    </w:p>
    <w:p>
      <w:pPr>
        <w:ind w:left="1020" w:right="160" w:hanging="50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associated with the implementation of, and our ability to implement on a timely basis, our technology roadmap, including upgrades to and installation of the ATG technologies we currently offer, Gogo 5G, Global Broadband and any other next generation or other new technology;</w:t>
      </w:r>
    </w:p>
    <w:p>
      <w:pPr>
        <w:spacing w:after="0" w:line="74" w:lineRule="exact"/>
        <w:rPr>
          <w:rFonts w:ascii="Arial" w:cs="Arial" w:eastAsia="Arial" w:hAnsi="Arial"/>
          <w:sz w:val="18"/>
          <w:szCs w:val="18"/>
          <w:color w:val="auto"/>
        </w:rPr>
      </w:pPr>
    </w:p>
    <w:p>
      <w:pPr>
        <w:ind w:left="1020" w:right="300" w:hanging="50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and other equipment developers and providers or satellite network providers, some of which are single-source;</w:t>
      </w:r>
    </w:p>
    <w:p>
      <w:pPr>
        <w:spacing w:after="0" w:line="74"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license additional spectrum and make other improvements to our network and operations as technology and user expectations change;</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aircraft in service in our markets, including consolidations or changes in fleet size by one or more of our large-fleet customers;</w:t>
      </w:r>
    </w:p>
    <w:p>
      <w:pPr>
        <w:spacing w:after="0" w:line="139"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economic environment and other trends that affect both business and leisure aviation travel;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ind w:left="1020" w:right="4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to supply chains and installations, including shortages of electronic components that have resulted in longer lead times and delays in obtaining certain electronic components used in the airborne equipment that we manufacture;</w:t>
      </w:r>
    </w:p>
    <w:p>
      <w:pPr>
        <w:spacing w:after="0" w:line="61" w:lineRule="exact"/>
        <w:rPr>
          <w:rFonts w:ascii="Arial" w:cs="Arial" w:eastAsia="Arial" w:hAnsi="Arial"/>
          <w:sz w:val="18"/>
          <w:szCs w:val="18"/>
          <w:color w:val="auto"/>
        </w:rPr>
      </w:pPr>
    </w:p>
    <w:p>
      <w:pPr>
        <w:ind w:left="1020" w:right="54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engage suppliers of equipment components and network services on a timely basis and on commercially reasonable terms;</w:t>
      </w:r>
    </w:p>
    <w:p>
      <w:pPr>
        <w:spacing w:after="0" w:line="139" w:lineRule="exact"/>
        <w:rPr>
          <w:rFonts w:ascii="Arial" w:cs="Arial" w:eastAsia="Arial" w:hAnsi="Arial"/>
          <w:sz w:val="16"/>
          <w:szCs w:val="16"/>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fully utilize portions of our deferred tax assets;</w:t>
      </w:r>
    </w:p>
    <w:p>
      <w:pPr>
        <w:spacing w:after="0" w:line="116" w:lineRule="exact"/>
        <w:rPr>
          <w:rFonts w:ascii="Arial" w:cs="Arial" w:eastAsia="Arial" w:hAnsi="Arial"/>
          <w:sz w:val="18"/>
          <w:szCs w:val="18"/>
          <w:color w:val="auto"/>
        </w:rPr>
      </w:pPr>
    </w:p>
    <w:p>
      <w:pPr>
        <w:ind w:left="1020" w:right="140" w:hanging="503"/>
        <w:spacing w:after="0" w:line="311"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laws, regulations and interpretations affecting telecommunications services globally, including those affecting our ability to maintain our licenses for ATG spectrum in the United States, obtain sufficient rights to use additional ATG spectrum and/or other sources of broadband connectivity to deliver our services, including Global Broadband, expand our service offerings and manage our network; and</w:t>
      </w:r>
    </w:p>
    <w:p>
      <w:pPr>
        <w:spacing w:after="0" w:line="39" w:lineRule="exact"/>
        <w:rPr>
          <w:rFonts w:ascii="Arial" w:cs="Arial" w:eastAsia="Arial" w:hAnsi="Arial"/>
          <w:sz w:val="16"/>
          <w:szCs w:val="16"/>
          <w:color w:val="auto"/>
        </w:rPr>
      </w:pPr>
    </w:p>
    <w:p>
      <w:pPr>
        <w:ind w:left="1020" w:right="28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regulations and policies affecting our business or the business of our customers and suppliers globally, including changes that impact the design of our equipment and our ability to obtain required certifications for our equipment.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6"/>
              </w:rPr>
              <w:t>For the 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Aircraft online (at period end)</w:t>
            </w:r>
          </w:p>
        </w:tc>
        <w:tc>
          <w:tcPr>
            <w:tcW w:w="8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020" w:type="dxa"/>
            <w:vAlign w:val="bottom"/>
          </w:tcPr>
          <w:p>
            <w:pPr>
              <w:ind w:left="380"/>
              <w:spacing w:after="0"/>
              <w:rPr>
                <w:sz w:val="20"/>
                <w:szCs w:val="20"/>
                <w:color w:val="auto"/>
              </w:rPr>
            </w:pPr>
            <w:r>
              <w:rPr>
                <w:rFonts w:ascii="Arial" w:cs="Arial" w:eastAsia="Arial" w:hAnsi="Arial"/>
                <w:sz w:val="18"/>
                <w:szCs w:val="18"/>
                <w:color w:val="auto"/>
              </w:rPr>
              <w:t>ATG</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6,935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Satellite</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4,475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FF0FC"/>
          </w:tcPr>
          <w:p>
            <w:pPr>
              <w:spacing w:after="0"/>
              <w:rPr>
                <w:sz w:val="21"/>
                <w:szCs w:val="21"/>
                <w:color w:val="auto"/>
              </w:rPr>
            </w:pPr>
          </w:p>
        </w:tc>
      </w:tr>
      <w:tr>
        <w:trPr>
          <w:trHeight w:val="236"/>
        </w:trPr>
        <w:tc>
          <w:tcPr>
            <w:tcW w:w="7020" w:type="dxa"/>
            <w:vAlign w:val="bottom"/>
          </w:tcPr>
          <w:p>
            <w:pPr>
              <w:ind w:left="20"/>
              <w:spacing w:after="0"/>
              <w:rPr>
                <w:sz w:val="20"/>
                <w:szCs w:val="20"/>
                <w:color w:val="auto"/>
              </w:rPr>
            </w:pPr>
            <w:r>
              <w:rPr>
                <w:rFonts w:ascii="Arial" w:cs="Arial" w:eastAsia="Arial" w:hAnsi="Arial"/>
                <w:sz w:val="18"/>
                <w:szCs w:val="18"/>
                <w:color w:val="auto"/>
              </w:rPr>
              <w:t>Average monthly connectivity service revenue per aircraft online</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ATG</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3,349</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FF0FC"/>
          </w:tcPr>
          <w:p>
            <w:pPr>
              <w:spacing w:after="0"/>
              <w:rPr>
                <w:sz w:val="21"/>
                <w:szCs w:val="21"/>
                <w:color w:val="auto"/>
              </w:rPr>
            </w:pPr>
          </w:p>
        </w:tc>
      </w:tr>
      <w:tr>
        <w:trPr>
          <w:trHeight w:val="236"/>
        </w:trPr>
        <w:tc>
          <w:tcPr>
            <w:tcW w:w="7020" w:type="dxa"/>
            <w:vAlign w:val="bottom"/>
          </w:tcPr>
          <w:p>
            <w:pPr>
              <w:ind w:left="380"/>
              <w:spacing w:after="0"/>
              <w:rPr>
                <w:sz w:val="20"/>
                <w:szCs w:val="20"/>
                <w:color w:val="auto"/>
              </w:rPr>
            </w:pPr>
            <w:r>
              <w:rPr>
                <w:rFonts w:ascii="Arial" w:cs="Arial" w:eastAsia="Arial" w:hAnsi="Arial"/>
                <w:sz w:val="18"/>
                <w:szCs w:val="18"/>
                <w:color w:val="auto"/>
              </w:rPr>
              <w:t>Satellite</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Units sold</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020" w:type="dxa"/>
            <w:vAlign w:val="bottom"/>
          </w:tcPr>
          <w:p>
            <w:pPr>
              <w:ind w:left="380"/>
              <w:spacing w:after="0"/>
              <w:rPr>
                <w:sz w:val="20"/>
                <w:szCs w:val="20"/>
                <w:color w:val="auto"/>
              </w:rPr>
            </w:pPr>
            <w:r>
              <w:rPr>
                <w:rFonts w:ascii="Arial" w:cs="Arial" w:eastAsia="Arial" w:hAnsi="Arial"/>
                <w:sz w:val="18"/>
                <w:szCs w:val="18"/>
                <w:color w:val="auto"/>
              </w:rPr>
              <w:t>ATG</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1,334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Satellite</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21"/>
                <w:szCs w:val="21"/>
                <w:color w:val="auto"/>
              </w:rPr>
            </w:pPr>
          </w:p>
        </w:tc>
      </w:tr>
      <w:tr>
        <w:trPr>
          <w:trHeight w:val="236"/>
        </w:trPr>
        <w:tc>
          <w:tcPr>
            <w:tcW w:w="7020" w:type="dxa"/>
            <w:vAlign w:val="bottom"/>
          </w:tcPr>
          <w:p>
            <w:pPr>
              <w:ind w:left="20"/>
              <w:spacing w:after="0"/>
              <w:rPr>
                <w:sz w:val="20"/>
                <w:szCs w:val="20"/>
                <w:color w:val="auto"/>
              </w:rPr>
            </w:pPr>
            <w:r>
              <w:rPr>
                <w:rFonts w:ascii="Arial" w:cs="Arial" w:eastAsia="Arial" w:hAnsi="Arial"/>
                <w:sz w:val="18"/>
                <w:szCs w:val="18"/>
                <w:color w:val="auto"/>
              </w:rPr>
              <w:t>Average equipment revenue per unit sold (in thousands)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ATG</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21"/>
                <w:szCs w:val="21"/>
                <w:color w:val="auto"/>
              </w:rPr>
            </w:pPr>
          </w:p>
        </w:tc>
      </w:tr>
      <w:tr>
        <w:trPr>
          <w:trHeight w:val="230"/>
        </w:trPr>
        <w:tc>
          <w:tcPr>
            <w:tcW w:w="7020" w:type="dxa"/>
            <w:vAlign w:val="bottom"/>
          </w:tcPr>
          <w:p>
            <w:pPr>
              <w:ind w:left="380"/>
              <w:spacing w:after="0"/>
              <w:rPr>
                <w:sz w:val="20"/>
                <w:szCs w:val="20"/>
                <w:color w:val="auto"/>
              </w:rPr>
            </w:pPr>
            <w:r>
              <w:rPr>
                <w:rFonts w:ascii="Arial" w:cs="Arial" w:eastAsia="Arial" w:hAnsi="Arial"/>
                <w:sz w:val="18"/>
                <w:szCs w:val="18"/>
                <w:color w:val="auto"/>
              </w:rPr>
              <w:t>Satellite</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1151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167" w:lineRule="exact"/>
        <w:rPr>
          <w:sz w:val="20"/>
          <w:szCs w:val="20"/>
          <w:color w:val="auto"/>
        </w:rPr>
      </w:pPr>
    </w:p>
    <w:p>
      <w:pPr>
        <w:ind w:left="1020" w:right="140" w:hanging="503"/>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ATG aircraft online. </w:t>
      </w:r>
      <w:r>
        <w:rPr>
          <w:rFonts w:ascii="Arial" w:cs="Arial" w:eastAsia="Arial" w:hAnsi="Arial"/>
          <w:sz w:val="18"/>
          <w:szCs w:val="18"/>
          <w:color w:val="auto"/>
        </w:rPr>
        <w:t>We define ATG aircraft online as the total number of business aircraft for which we provide ATG services as of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day of each period presented. This number excludes aircraft receiving ATG service as part of the ATG Network Sharing Agreement with Intelsat.</w:t>
      </w:r>
    </w:p>
    <w:p>
      <w:pPr>
        <w:spacing w:after="0" w:line="74"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Satellite aircraft online</w:t>
      </w:r>
      <w:r>
        <w:rPr>
          <w:rFonts w:ascii="Arial" w:cs="Arial" w:eastAsia="Arial" w:hAnsi="Arial"/>
          <w:sz w:val="18"/>
          <w:szCs w:val="18"/>
          <w:color w:val="auto"/>
        </w:rPr>
        <w:t>. We define satellite aircraft online as the total number of business aircraft for which we provide narrowband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as of the last day of each period presented.</w:t>
      </w:r>
    </w:p>
    <w:p>
      <w:pPr>
        <w:spacing w:after="0" w:line="61" w:lineRule="exact"/>
        <w:rPr>
          <w:rFonts w:ascii="Arial" w:cs="Arial" w:eastAsia="Arial" w:hAnsi="Arial"/>
          <w:sz w:val="18"/>
          <w:szCs w:val="18"/>
          <w:color w:val="auto"/>
        </w:rPr>
      </w:pPr>
    </w:p>
    <w:p>
      <w:pPr>
        <w:ind w:left="1020" w:right="240" w:hanging="503"/>
        <w:spacing w:after="0" w:line="279"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Average monthly connectivity service revenue per ATG aircraft online. </w:t>
      </w:r>
      <w:r>
        <w:rPr>
          <w:rFonts w:ascii="Arial" w:cs="Arial" w:eastAsia="Arial" w:hAnsi="Arial"/>
          <w:sz w:val="17"/>
          <w:szCs w:val="17"/>
          <w:color w:val="auto"/>
        </w:rPr>
        <w:t>We define average monthly connectivity service revenue per ATG</w:t>
      </w:r>
      <w:r>
        <w:rPr>
          <w:rFonts w:ascii="Arial" w:cs="Arial" w:eastAsia="Arial" w:hAnsi="Arial"/>
          <w:sz w:val="17"/>
          <w:szCs w:val="17"/>
          <w:i w:val="1"/>
          <w:iCs w:val="1"/>
          <w:color w:val="auto"/>
        </w:rPr>
        <w:t xml:space="preserve"> </w:t>
      </w:r>
      <w:r>
        <w:rPr>
          <w:rFonts w:ascii="Arial" w:cs="Arial" w:eastAsia="Arial" w:hAnsi="Arial"/>
          <w:sz w:val="17"/>
          <w:szCs w:val="17"/>
          <w:color w:val="auto"/>
        </w:rPr>
        <w:t>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the ATG Network Sharing Agreement with Intelsat is excluded from this calculation.</w:t>
      </w:r>
    </w:p>
    <w:p>
      <w:pPr>
        <w:spacing w:after="0" w:line="61" w:lineRule="exact"/>
        <w:rPr>
          <w:rFonts w:ascii="Arial" w:cs="Arial" w:eastAsia="Arial" w:hAnsi="Arial"/>
          <w:sz w:val="17"/>
          <w:szCs w:val="17"/>
          <w:color w:val="auto"/>
        </w:rPr>
      </w:pPr>
    </w:p>
    <w:p>
      <w:pPr>
        <w:ind w:left="1020" w:right="100" w:hanging="503"/>
        <w:spacing w:after="0" w:line="25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Average monthly connectivity service revenue per satellite aircraft online</w:t>
      </w:r>
      <w:r>
        <w:rPr>
          <w:rFonts w:ascii="Arial" w:cs="Arial" w:eastAsia="Arial" w:hAnsi="Arial"/>
          <w:sz w:val="18"/>
          <w:szCs w:val="18"/>
          <w:color w:val="auto"/>
        </w:rPr>
        <w:t>. We define average monthly connectivity service revenue per</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aircraft online as the aggregate narrowband satellite connectivity service revenue for the period divided by the number of months in the period, divided by the number of narrowband satellite aircraft online during the period (expressed as an average of the month end figures for each month in such period).</w:t>
      </w:r>
    </w:p>
    <w:p>
      <w:pPr>
        <w:spacing w:after="0" w:line="7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Units sold</w:t>
      </w:r>
      <w:r>
        <w:rPr>
          <w:rFonts w:ascii="Arial" w:cs="Arial" w:eastAsia="Arial" w:hAnsi="Arial"/>
          <w:sz w:val="17"/>
          <w:szCs w:val="17"/>
          <w:color w:val="auto"/>
        </w:rPr>
        <w:t>. We define units sold as the number of ATG or narrowband satellite units for which we recognized revenue during the period.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left="1020" w:right="10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all ATG units sold during the period, divided by the number of ATG units sold.</w:t>
      </w:r>
    </w:p>
    <w:p>
      <w:pPr>
        <w:spacing w:after="0" w:line="61" w:lineRule="exact"/>
        <w:rPr>
          <w:rFonts w:ascii="Arial" w:cs="Arial" w:eastAsia="Arial" w:hAnsi="Arial"/>
          <w:sz w:val="18"/>
          <w:szCs w:val="18"/>
          <w:color w:val="auto"/>
        </w:rPr>
      </w:pPr>
    </w:p>
    <w:p>
      <w:pPr>
        <w:ind w:left="1020" w:right="260" w:hanging="503"/>
        <w:spacing w:after="0" w:line="341"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Average equipment revenue per satellite unit sold</w:t>
      </w:r>
      <w:r>
        <w:rPr>
          <w:rFonts w:ascii="Arial" w:cs="Arial" w:eastAsia="Arial" w:hAnsi="Arial"/>
          <w:sz w:val="16"/>
          <w:szCs w:val="16"/>
          <w:color w:val="auto"/>
        </w:rPr>
        <w:t>. We define average equipment revenue per satellite unit sold as the aggregate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earned from all narrowband satellite units sold during the period, divided by the number of narrowband satellite units sold.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21"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As a result of the Transaction, all periods presented in this Annual Report on Form 10-K have been conformed to present the CA business as a discontinued operation. We report the financial results of discontinued operations separately from continuing operations to distinguish the financial impact of disposal transactions from ongoing operations. The results of operations and cash flows of a discontinued operation are restated for all comparative periods presented. Refer to Note 20, “Discontinued Operations,” to our consolidated financial statements for further information.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briefly describes certain key components of revenue and expenses as presented in our consolidated statements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two types of revenue: service revenue and equipment revenue.</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Service revenue primarily consists of monthly subscription and usage fees paid by aircraft owners and operators for telecommunication, data, and in-flight entertainment services. Service revenue is recognized as the services are provided to the customer. Beginning December 2020, service revenue includes revenue earned from the ATG Network Sharing Agreement with Intelsat.</w:t>
      </w:r>
    </w:p>
    <w:p>
      <w:pPr>
        <w:spacing w:after="0" w:line="7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Equipment revenue primarily consists of proceeds from the sale of ATG and narrowband satellite connectivity equipment and is recognized when control of the equipment is transferred to OEMs and dealers, which generally occurs when the equipment is shipped.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Cost of service revenue consists of ATG network costs, satellite provider service costs, transaction costs and costs related to network operations.</w:t>
      </w:r>
    </w:p>
    <w:p>
      <w:pPr>
        <w:spacing w:after="0" w:line="140"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Cost of equipment revenue primarily consists of the costs of purchasing component parts used in the manufacture of our equipment and the production, installation, technical support and quality assurance costs associated with the equipment sales.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Design and Development Expenses:</w:t>
      </w:r>
    </w:p>
    <w:p>
      <w:pPr>
        <w:spacing w:after="0" w:line="117" w:lineRule="exact"/>
        <w:rPr>
          <w:sz w:val="20"/>
          <w:szCs w:val="20"/>
          <w:color w:val="auto"/>
        </w:rPr>
      </w:pPr>
    </w:p>
    <w:p>
      <w:pPr>
        <w:ind w:right="320" w:firstLine="509"/>
        <w:spacing w:after="0" w:line="279" w:lineRule="auto"/>
        <w:rPr>
          <w:sz w:val="20"/>
          <w:szCs w:val="20"/>
          <w:color w:val="auto"/>
        </w:rPr>
      </w:pPr>
      <w:r>
        <w:rPr>
          <w:rFonts w:ascii="Arial" w:cs="Arial" w:eastAsia="Arial" w:hAnsi="Arial"/>
          <w:sz w:val="17"/>
          <w:szCs w:val="17"/>
          <w:color w:val="auto"/>
        </w:rPr>
        <w:t>Engineering, design and development expenses include the costs incurred to design and develop our technologies and products and to obtain and maintain FAA and other regulatory certifications. This includes the design, development and integration of our ATG ground networks and airborne line replaceable units, the design and development of products and enhancements thereto, and program management activities. Engineering, design and development expenses also include costs associated with enhancements to existing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220" w:firstLine="509"/>
        <w:spacing w:after="0" w:line="307" w:lineRule="auto"/>
        <w:rPr>
          <w:sz w:val="20"/>
          <w:szCs w:val="20"/>
          <w:color w:val="auto"/>
        </w:rPr>
      </w:pPr>
      <w:r>
        <w:rPr>
          <w:rFonts w:ascii="Arial" w:cs="Arial" w:eastAsia="Arial" w:hAnsi="Arial"/>
          <w:sz w:val="17"/>
          <w:szCs w:val="17"/>
          <w:color w:val="auto"/>
        </w:rPr>
        <w:t>Sales and marketing expenses consist of costs associated with activities related to customer sales (including sales commissions), digital marketing and lead generation, advertising and promotions, product management, trade shows and customer service support for end users.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General and administrative expenses include personnel and related operating costs of the business support functions, including finance and accounting, legal, human resources, administrative, information technology, facilities and executive groups.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Depreciation expense includes expense associated with the depreciation of our network equipment, office equipment and furniture, fixtures and leasehold improvements, which is recorded over their estimated useful lives. Amortization expense includes the amortization of our finite-lived intangible assets on a straight-line basis over their estimated useful lives, which range from three to ten years depending on the assets being amortized.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(“GAAP”). The preparation of our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57"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We believe that the assumptions and estimates associated with the valuation allowance related to our deferred income tax assets have the greatest potential impact on and are the most critical to fully understanding and evaluating our reported financial results, and that they require our most difficult, subjective or complex judgments. For a discussion of our significant accounting policies to which many of these critical estimates relate, see Note 2, “Summary of Significant Accounting Policies,” to our consolidated financial statements.</w:t>
      </w:r>
    </w:p>
    <w:p>
      <w:pPr>
        <w:spacing w:after="0" w:line="77"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Note that these critical accounting estimates relate solely to our continuing operations. The accounting policies related to our discontinued operations are discussed in Note 20, “Discontinued Operations,” to our consolidated financial statements.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Deferred Income Taxes - Valuation Allowance:</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 xml:space="preserve">We account for the valuation allowance on our deferred income tax assets in accordance with Accounting Standards Codification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(“ASC 740”).</w:t>
      </w:r>
    </w:p>
    <w:p>
      <w:pPr>
        <w:spacing w:after="0" w:line="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On a recurring basis, we assess the need for a valuation allowance related to our deferred income tax assets, which includes consideration of both positive and negative evidence to determine, based on the weight of the available evidence, whether it is more likely than not that some or all of our deferred tax assets will not be realized. In our assessment, we consider recent financial operating results, the scheduled expiration of our net operating losses, potential sources of taxable income, the reversal of existing taxable differences, taxable income in prior carryback years (if permitted under tax law) and tax planning strategies. We have a recent history of financial reporting losses, primarily driven by our divested CA business, resulting in cumulative pre-tax losses in the three-year period ending with the current quarter which is objectively verifiable negative evidence regarding future profitability. Cumulative pre-tax losses from continuing operations adjusted for the reduction in interest expense resulting from the Refinancing and the settlement of the 2022 Convertible Notes (as defined below) result in positive normalized income over the same three-year period. This is objectively verifiable positive evidence of our ability to generate positive earnings in the future.</w:t>
      </w:r>
    </w:p>
    <w:p>
      <w:pPr>
        <w:spacing w:after="0" w:line="7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When there is a recent history of operating losses and a return to operating profitability has not yet been demonstrated, we cannot rely on projections of future earnings for purposes of assessing recoverability of our deferred tax assets and instead must use our historical earnings for this assessment. In such cases, we use systematic and logical methods to estimate when deferred tax assets will reverse and generate tax deductions. The selection of methodologies and assessment of when temporary differences will result in deductible amounts involves significant management judgment and is inherently complex and subjective. Our determination that we are more likely than not to realize a portion of our deferred tax assets represents our best estimate and considers both positive and negative factors. We considered positive factors including the sale of our CA business, the reduction in interest expense resulting from the Refinancing and the settlement of the 2022 Convertible Notes, strong demand for our products and services and pre-tax income from continuing operations in the fiscal year ended December 31, 2022 and the third and fourth fiscal quarters of 2021. The negative factors included cumulative pre-tax losses from continuing operations in the three-year period ending with the current quarter and our relatively short history of pre-tax income from continuing operations. It is possible that there will be changes in our business, our performance, our industry or otherwise that cause actual results to differ materially from this estimate. If those changes result in significant and sustained reductions in our pre-tax income or utilization of existing tax carryforwards in future periods, additional valuation allowances may have to be recorded with corresponding adverse impacts on earnings and/or other comprehensive income. Such adverse impacts may be material.</w:t>
      </w:r>
    </w:p>
    <w:p>
      <w:pPr>
        <w:spacing w:after="0" w:line="7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For the year ended December 31, 2022, our determination that we are more likely than not to realize a portion of our deferred tax assets resulted in a release of approximately $11.4 million of our valuation allowance. The remaining valuation allowance is still required for deferred tax assets related to certain state and foreign NOLs, capital losses, and the Section 163(j) interest limitation carryforward, as we determined that it was more likely than not that, as of December 31, 2022, these deferred tax assets will not be realized.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15, “Income Tax,” to our consolidated financial statements for additional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2, “Summary of Significant Accounting Policies,” to our consolidated financial statements for additional information.</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following table sets forth, for the periods presented, certain data from our consolidated statements of operations. The information contained in the table below should be read in conjunction with our consolidated financial statements and related notes.</w:t>
      </w:r>
    </w:p>
    <w:p>
      <w:pPr>
        <w:spacing w:after="0" w:line="27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296,329</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259,583</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211,987</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Equipment revenue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107,738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76,133</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620" w:type="dxa"/>
            <w:vAlign w:val="bottom"/>
          </w:tcPr>
          <w:p>
            <w:pPr>
              <w:ind w:left="38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404,067</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335,716</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269,718</w:t>
            </w:r>
          </w:p>
        </w:tc>
        <w:tc>
          <w:tcPr>
            <w:tcW w:w="100" w:type="dxa"/>
            <w:vAlign w:val="bottom"/>
          </w:tcPr>
          <w:p>
            <w:pPr>
              <w:spacing w:after="0"/>
              <w:rPr>
                <w:sz w:val="20"/>
                <w:szCs w:val="20"/>
                <w:color w:val="auto"/>
              </w:rPr>
            </w:pPr>
          </w:p>
        </w:tc>
      </w:tr>
      <w:tr>
        <w:trPr>
          <w:trHeight w:val="24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Cost of service revenue (exclusive of items shown below)</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64,427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56,103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45,073</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equipment revenue (exclusive of items shown below)</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71,473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46,092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39,299</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Engineering, design and development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29,587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25,227</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15,135</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58,203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51,554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54,467</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12,580</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62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261,741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215,090</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193,367</w:t>
            </w:r>
          </w:p>
        </w:tc>
        <w:tc>
          <w:tcPr>
            <w:tcW w:w="100" w:type="dxa"/>
            <w:vAlign w:val="bottom"/>
          </w:tcPr>
          <w:p>
            <w:pPr>
              <w:spacing w:after="0"/>
              <w:rPr>
                <w:sz w:val="20"/>
                <w:szCs w:val="20"/>
                <w:color w:val="auto"/>
              </w:rPr>
            </w:pP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142,326</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120,626</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(2,386 )</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(191 )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(722 )</w:t>
            </w: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38,872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67,472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125,787</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 and settlement of convertible notes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83,961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r>
      <w:tr>
        <w:trPr>
          <w:trHeight w:val="238"/>
        </w:trPr>
        <w:tc>
          <w:tcPr>
            <w:tcW w:w="6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other expense</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36,609</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151,267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105,717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(30,641 )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(48,705 )</w:t>
            </w:r>
          </w:p>
        </w:tc>
      </w:tr>
      <w:tr>
        <w:trPr>
          <w:trHeight w:val="241"/>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(187,230 )</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92,059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156,589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(48,559 )</w:t>
            </w: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 from discontinued operations, net of tax</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(3,854 )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(201,477 )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92,059</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152,735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(250,036 )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-3338830</wp:posOffset>
            </wp:positionV>
            <wp:extent cx="7683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-3338830</wp:posOffset>
            </wp:positionV>
            <wp:extent cx="685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-3338830</wp:posOffset>
            </wp:positionV>
            <wp:extent cx="685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-2088515</wp:posOffset>
            </wp:positionV>
            <wp:extent cx="7683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-2088515</wp:posOffset>
            </wp:positionV>
            <wp:extent cx="685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-1763395</wp:posOffset>
            </wp:positionV>
            <wp:extent cx="76835"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-1763395</wp:posOffset>
            </wp:positionV>
            <wp:extent cx="6858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-821055</wp:posOffset>
            </wp:positionV>
            <wp:extent cx="7683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-821055</wp:posOffset>
            </wp:positionV>
            <wp:extent cx="685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-504825</wp:posOffset>
            </wp:positionV>
            <wp:extent cx="76835"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-504825</wp:posOffset>
            </wp:positionV>
            <wp:extent cx="685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Revenue and percent change for the years ended December 31, 2022 and 2021 were as follows </w:t>
      </w:r>
      <w:r>
        <w:rPr>
          <w:rFonts w:ascii="Arial" w:cs="Arial" w:eastAsia="Arial" w:hAnsi="Arial"/>
          <w:sz w:val="17"/>
          <w:szCs w:val="17"/>
          <w:i w:val="1"/>
          <w:iCs w:val="1"/>
          <w:color w:val="auto"/>
        </w:rPr>
        <w:t>(in thousands, except for percent change)</w:t>
      </w:r>
      <w:r>
        <w:rPr>
          <w:rFonts w:ascii="Arial" w:cs="Arial" w:eastAsia="Arial" w:hAnsi="Arial"/>
          <w:sz w:val="17"/>
          <w:szCs w:val="17"/>
          <w:color w:val="auto"/>
        </w:rPr>
        <w:t>:</w:t>
      </w:r>
    </w:p>
    <w:p>
      <w:pPr>
        <w:spacing w:after="0" w:line="3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3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33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3"/>
              </w:rPr>
              <w:t>2021</w:t>
            </w:r>
          </w:p>
        </w:tc>
        <w:tc>
          <w:tcPr>
            <w:tcW w:w="1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 over 2021</w:t>
            </w:r>
          </w:p>
        </w:tc>
        <w:tc>
          <w:tcPr>
            <w:tcW w:w="180" w:type="dxa"/>
            <w:vAlign w:val="bottom"/>
          </w:tcPr>
          <w:p>
            <w:pPr>
              <w:spacing w:after="0"/>
              <w:rPr>
                <w:sz w:val="14"/>
                <w:szCs w:val="14"/>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Service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296,329</w:t>
            </w:r>
          </w:p>
        </w:tc>
        <w:tc>
          <w:tcPr>
            <w:tcW w:w="16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259,583</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9"/>
        </w:trPr>
        <w:tc>
          <w:tcPr>
            <w:tcW w:w="3380" w:type="dxa"/>
            <w:vAlign w:val="bottom"/>
          </w:tcPr>
          <w:p>
            <w:pPr>
              <w:spacing w:after="0"/>
              <w:rPr>
                <w:sz w:val="20"/>
                <w:szCs w:val="20"/>
                <w:color w:val="auto"/>
              </w:rPr>
            </w:pPr>
            <w:r>
              <w:rPr>
                <w:rFonts w:ascii="Arial" w:cs="Arial" w:eastAsia="Arial" w:hAnsi="Arial"/>
                <w:sz w:val="18"/>
                <w:szCs w:val="18"/>
                <w:color w:val="auto"/>
              </w:rPr>
              <w:t>Equipment revenue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107,738</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76,133</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41.5 %</w:t>
            </w:r>
          </w:p>
        </w:tc>
      </w:tr>
      <w:tr>
        <w:trPr>
          <w:trHeight w:val="236"/>
        </w:trPr>
        <w:tc>
          <w:tcPr>
            <w:tcW w:w="3380" w:type="dxa"/>
            <w:vAlign w:val="bottom"/>
          </w:tcPr>
          <w:p>
            <w:pPr>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404,067</w:t>
            </w:r>
          </w:p>
        </w:tc>
        <w:tc>
          <w:tcPr>
            <w:tcW w:w="1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335,716</w:t>
            </w:r>
          </w:p>
        </w:tc>
        <w:tc>
          <w:tcPr>
            <w:tcW w:w="16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-495935</wp:posOffset>
            </wp:positionV>
            <wp:extent cx="499173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1735" cy="15430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-179070</wp:posOffset>
            </wp:positionV>
            <wp:extent cx="499173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1735" cy="179705"/>
                    </a:xfrm>
                    <a:prstGeom prst="rect">
                      <a:avLst/>
                    </a:prstGeom>
                    <a:noFill/>
                  </pic:spPr>
                </pic:pic>
              </a:graphicData>
            </a:graphic>
          </wp:anchor>
        </w:drawing>
      </w:r>
    </w:p>
    <w:p>
      <w:pPr>
        <w:spacing w:after="0" w:line="74"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Revenue increased to $404.1 million for the year ended December 31, 2022, as compared with $335.7 million for the prior year, due to increases in service and equipment revenue.</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Service revenue increased to $296.3 million for the year ended December 31, 2022, as compared with $259.6 million for the prior year, primarily due to increases in ATG aircraft online and average monthly service revenue per ATG aircraft online. Average monthly service revenue per ATG unit online increased to $3,349 for the year ended December 31, 2022, as compared with $3,238 for the prior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jc w:val="both"/>
        <w:ind w:right="40" w:firstLine="509"/>
        <w:spacing w:after="0" w:line="263" w:lineRule="auto"/>
        <w:rPr>
          <w:sz w:val="20"/>
          <w:szCs w:val="20"/>
          <w:color w:val="auto"/>
        </w:rPr>
      </w:pPr>
      <w:r>
        <w:rPr>
          <w:rFonts w:ascii="Arial" w:cs="Arial" w:eastAsia="Arial" w:hAnsi="Arial"/>
          <w:sz w:val="18"/>
          <w:szCs w:val="18"/>
          <w:color w:val="auto"/>
        </w:rPr>
        <w:t>Equipment revenue increased to $107.7 million for the year ended December 31, 2022, as compared with $76.1 million for the prior year, primarily due to increases in the number of ATG units sold, with 1,334 ATG units sold during the year ended December 31, 2022 as compared with 869 units for the prior year.</w:t>
      </w:r>
    </w:p>
    <w:p>
      <w:pPr>
        <w:spacing w:after="0" w:line="75"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We expect service revenue to increase in the future as additional ATG aircraft come online and average monthly connectivity service revenue per ATG aircraft online increases, due in part to the expected impact of the launch of Gogo 5G. We expect equipment revenue to increase in the future as a larger number of ATG units, including Gogo 5G units, are sold. In addition, we expect further revenue growth as we launch Global Broadband.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 xml:space="preserve">Cost of service revenue and percent change for the years ended December 31, 2022 and 2021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For the Years Ended</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3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33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3"/>
              </w:rPr>
              <w:t>2021</w:t>
            </w:r>
          </w:p>
        </w:tc>
        <w:tc>
          <w:tcPr>
            <w:tcW w:w="1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2022 over 2021</w:t>
            </w:r>
          </w:p>
        </w:tc>
        <w:tc>
          <w:tcPr>
            <w:tcW w:w="180" w:type="dxa"/>
            <w:vAlign w:val="bottom"/>
          </w:tcPr>
          <w:p>
            <w:pPr>
              <w:spacing w:after="0"/>
              <w:rPr>
                <w:sz w:val="14"/>
                <w:szCs w:val="14"/>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64,427</w:t>
            </w:r>
          </w:p>
        </w:tc>
        <w:tc>
          <w:tcPr>
            <w:tcW w:w="16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56,103</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2"/>
        </w:trPr>
        <w:tc>
          <w:tcPr>
            <w:tcW w:w="338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71,473</w:t>
            </w:r>
          </w:p>
        </w:tc>
        <w:tc>
          <w:tcPr>
            <w:tcW w:w="7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46,092</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55.1 %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-299085</wp:posOffset>
            </wp:positionV>
            <wp:extent cx="499173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87" w:lineRule="exact"/>
        <w:rPr>
          <w:sz w:val="20"/>
          <w:szCs w:val="20"/>
          <w:color w:val="auto"/>
        </w:rPr>
      </w:pPr>
    </w:p>
    <w:p>
      <w:pPr>
        <w:jc w:val="both"/>
        <w:ind w:right="540" w:firstLine="509"/>
        <w:spacing w:after="0" w:line="263" w:lineRule="auto"/>
        <w:rPr>
          <w:sz w:val="20"/>
          <w:szCs w:val="20"/>
          <w:color w:val="auto"/>
        </w:rPr>
      </w:pPr>
      <w:r>
        <w:rPr>
          <w:rFonts w:ascii="Arial" w:cs="Arial" w:eastAsia="Arial" w:hAnsi="Arial"/>
          <w:sz w:val="18"/>
          <w:szCs w:val="18"/>
          <w:color w:val="auto"/>
        </w:rPr>
        <w:t>Cost of service revenue increased to $64.4 million for the year ended December 31, 2022, as compared with $56.1 million for the prior year, primarily due to increases in personnel costs and ATG network costs as well as a credit for regulatory surcharges included in the prior year, with no corresponding credit in the current year.</w:t>
      </w:r>
    </w:p>
    <w:p>
      <w:pPr>
        <w:spacing w:after="0" w:line="75"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We expect cost of service revenue to increase over time, primarily due to service revenue growth and increasing ATG network costs associated with Gogo 5G. In addition, we expect cost of service revenue to increase as we launch Global Broadband.</w:t>
      </w:r>
    </w:p>
    <w:p>
      <w:pPr>
        <w:spacing w:after="0" w:line="62"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Cost of equipment revenue increased to $71.5 million for the year ended December 31, 2022, as compared with $46.1 million for the prior year, primarily due to an increase in ATG units sold.</w:t>
      </w:r>
    </w:p>
    <w:p>
      <w:pPr>
        <w:spacing w:after="0" w:line="62"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We expect that our cost of equipment revenue will increase with growth in ATG units sold, including Gogo 5G units following the launch of that service, and Global Broadband units sold following the launch of that service.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Engineering, design and development expenses increased to $29.6 million for the year ended December 31, 2022, as compared with $24.9 million for the prior year, primarily due to commencement of the Global Broadband development program.</w:t>
      </w:r>
    </w:p>
    <w:p>
      <w:pPr>
        <w:spacing w:after="0" w:line="62" w:lineRule="exact"/>
        <w:rPr>
          <w:sz w:val="20"/>
          <w:szCs w:val="20"/>
          <w:color w:val="auto"/>
        </w:rPr>
      </w:pPr>
    </w:p>
    <w:p>
      <w:pPr>
        <w:ind w:right="120" w:firstLine="509"/>
        <w:spacing w:after="0" w:line="341" w:lineRule="auto"/>
        <w:rPr>
          <w:sz w:val="20"/>
          <w:szCs w:val="20"/>
          <w:color w:val="auto"/>
        </w:rPr>
      </w:pPr>
      <w:r>
        <w:rPr>
          <w:rFonts w:ascii="Arial" w:cs="Arial" w:eastAsia="Arial" w:hAnsi="Arial"/>
          <w:sz w:val="16"/>
          <w:szCs w:val="16"/>
          <w:color w:val="auto"/>
        </w:rPr>
        <w:t>We expect engineering, design and development expenses as a percentage of service revenue to increase over the next two years, driven by Global Broadband development costs and Gogo 5G program spend, and decrease over the long term as the level of investment decreases and revenue increases.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Sales and marketing expenses increased to $25.5 million for the year ended December 31, 2022, as compared with $21.0 million for the prior year, primarily due to increased personnel, travel, promotional and advertising expenses.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sales and marketing expenses as a percentage of service revenue to remain relatively flat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General and administrative expenses increased to $58.2 million for the year ended December 31, 2022, as compared with $51.6 million for the prior year, primarily due to increases in legal expenses and stock-based compensation expense.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general and administrative expenses as a percentage of service revenue to decrease over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Depreciation and amortization expense decreased to $12.6 million for the year ended December 31, 2022, as compared with $15.5 million for the prior year, primarily due to decreased amortization expense for capitalized software.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depreciation and amortization expense will increase in the future as we launch our Gogo 5G network.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500" w:firstLine="509"/>
        <w:spacing w:after="0" w:line="258" w:lineRule="auto"/>
        <w:rPr>
          <w:sz w:val="20"/>
          <w:szCs w:val="20"/>
          <w:color w:val="auto"/>
        </w:rPr>
      </w:pPr>
      <w:r>
        <w:rPr>
          <w:rFonts w:ascii="Arial" w:cs="Arial" w:eastAsia="Arial" w:hAnsi="Arial"/>
          <w:sz w:val="18"/>
          <w:szCs w:val="18"/>
          <w:color w:val="auto"/>
        </w:rPr>
        <w:t xml:space="preserve">Other (income) expense and percent change for the years ended December 31, 2022 and 2021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For the Years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gridSpan w:val="2"/>
          </w:tcPr>
          <w:p>
            <w:pPr>
              <w:spacing w:after="0"/>
              <w:rPr>
                <w:sz w:val="15"/>
                <w:szCs w:val="15"/>
                <w:color w:val="auto"/>
              </w:rPr>
            </w:pPr>
          </w:p>
        </w:tc>
      </w:tr>
      <w:tr>
        <w:trPr>
          <w:trHeight w:val="169"/>
        </w:trPr>
        <w:tc>
          <w:tcPr>
            <w:tcW w:w="6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Ended December 31,</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2022 over</w:t>
            </w:r>
          </w:p>
        </w:tc>
      </w:tr>
      <w:tr>
        <w:trPr>
          <w:trHeight w:val="169"/>
        </w:trPr>
        <w:tc>
          <w:tcPr>
            <w:tcW w:w="6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(2,386</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1149.2</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42"/>
        </w:trPr>
        <w:tc>
          <w:tcPr>
            <w:tcW w:w="6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38,872</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67,472</w:t>
            </w:r>
          </w:p>
        </w:tc>
        <w:tc>
          <w:tcPr>
            <w:tcW w:w="2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(42.4 )%</w:t>
            </w:r>
          </w:p>
        </w:tc>
      </w:tr>
      <w:tr>
        <w:trPr>
          <w:trHeight w:val="25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 and settlement of convertible notes</w:t>
            </w:r>
          </w:p>
        </w:tc>
        <w:tc>
          <w:tcPr>
            <w:tcW w:w="82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83,961</w:t>
            </w:r>
          </w:p>
        </w:tc>
        <w:tc>
          <w:tcPr>
            <w:tcW w:w="22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ind w:left="110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2"/>
                <w:szCs w:val="22"/>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392.0 %</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36,609</w:t>
            </w:r>
          </w:p>
        </w:tc>
        <w:tc>
          <w:tcPr>
            <w:tcW w:w="28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151,267</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340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80"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auto"/>
        </w:rPr>
        <w:t>Total other expense decreased to $36.6 million for the year ended December 31, 2022, as compared with $151.3 million for the prior year, primarily due to the prior year including the loss on extinguishment of debt and settlement of convertible notes as well as lower interest expense in the current year as a result of the Refinancing, the benefit from our interest rate caps and the conversion of all outstanding 2022 Convertible Notes that occurred in May 2022.</w:t>
      </w:r>
    </w:p>
    <w:p>
      <w:pPr>
        <w:spacing w:after="0" w:line="40" w:lineRule="exact"/>
        <w:rPr>
          <w:sz w:val="20"/>
          <w:szCs w:val="20"/>
          <w:color w:val="auto"/>
        </w:rPr>
      </w:pPr>
    </w:p>
    <w:p>
      <w:pPr>
        <w:ind w:right="340" w:firstLine="509"/>
        <w:spacing w:after="0" w:line="341" w:lineRule="auto"/>
        <w:rPr>
          <w:sz w:val="20"/>
          <w:szCs w:val="20"/>
          <w:color w:val="auto"/>
        </w:rPr>
      </w:pPr>
      <w:r>
        <w:rPr>
          <w:rFonts w:ascii="Arial" w:cs="Arial" w:eastAsia="Arial" w:hAnsi="Arial"/>
          <w:sz w:val="16"/>
          <w:szCs w:val="16"/>
          <w:color w:val="auto"/>
        </w:rPr>
        <w:t>We expect our interest expense to fluctuate with changes in the variable rates associated with the Facilities, with increases partially offset by the impact of our interest rate caps. See Note 9, “Long-Term Debt and Other Liabilities,” to our consolidated financial statements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509"/>
        <w:spacing w:after="0" w:line="275" w:lineRule="auto"/>
        <w:rPr>
          <w:sz w:val="20"/>
          <w:szCs w:val="20"/>
          <w:color w:val="auto"/>
        </w:rPr>
      </w:pPr>
      <w:r>
        <w:rPr>
          <w:rFonts w:ascii="Arial" w:cs="Arial" w:eastAsia="Arial" w:hAnsi="Arial"/>
          <w:sz w:val="17"/>
          <w:szCs w:val="17"/>
          <w:color w:val="auto"/>
        </w:rPr>
        <w:t>The effective income tax rate for the year ended December 31, 2022 was 12.9%, as compared with 611.0% for the prior year. The income tax expense of $13.7 million for the year ended December 31, 2022 was primarily due to pre-tax income, partially offset by the partial release of the valuation allowance against our deferred income tax assets and the tax benefits associated with stock-based compensation. The income tax benefit of $187.2 million for the year ended December 31, 2021 was a result of a partial release of the valuation allowance related to our deferred income tax assets during the year. See Note 15, “Income Tax,” to our consolidated financial statements for additional information.</w:t>
      </w:r>
    </w:p>
    <w:p>
      <w:pPr>
        <w:spacing w:after="0" w:line="6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We expect our income tax provision to increase in the long term as we continue to generate positive pre-tax income, which we expect to be at least partially offset by reversals of our valuation allowance within the next twelve months.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420" w:firstLine="509"/>
        <w:spacing w:after="0" w:line="341" w:lineRule="auto"/>
        <w:rPr>
          <w:sz w:val="20"/>
          <w:szCs w:val="20"/>
          <w:color w:val="auto"/>
        </w:rPr>
      </w:pPr>
      <w:r>
        <w:rPr>
          <w:rFonts w:ascii="Arial" w:cs="Arial" w:eastAsia="Arial" w:hAnsi="Arial"/>
          <w:sz w:val="16"/>
          <w:szCs w:val="16"/>
          <w:color w:val="auto"/>
        </w:rPr>
        <w:t>For the year ended December 31, 2021, the loss from discontinued operations of $3.9 million was primarily related to stock-based compensation expense, partially offset by the recognition of a gain on sale of discontinued operations recorded as a deferred gain on sale at December 31, 2020.</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20, “Discontinued Operations,” to our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12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“Item 7. Management’s Discussion and Analysis of Financial Condition and Results of Operations” of our Annual Report on Form 10-K for the year ended December 31, 2021, filed with the SEC on March 3, 2022, includes a discussion of changes in our results of operations from fiscal year 2020 to fiscal year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our discussion below, we discuss Adjusted EBITDA and Free Cash Flow, as defined below, which are non-GAAP financial measurements.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Adjusted EBITDA and Free Cash Flow are not recognized measurements under GAAP; when analyzing our performance with Adjusted EBITDA or liquidity with Free Cash Flow, as applicable, investors should (i) evaluate each adjustment in our reconciliation to the corresponding GAAP measure, and the explanatory footnotes regarding those adjustments,</w:t>
      </w:r>
    </w:p>
    <w:p>
      <w:pPr>
        <w:spacing w:after="0" w:line="1"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use Adjusted EBITDA in addition to, and not as an alternative to, net income (loss) attributable to common stock as a measure of operating results and</w:t>
      </w:r>
    </w:p>
    <w:p>
      <w:pPr>
        <w:spacing w:after="0" w:line="31" w:lineRule="exact"/>
        <w:rPr>
          <w:rFonts w:ascii="Arial" w:cs="Arial" w:eastAsia="Arial" w:hAnsi="Arial"/>
          <w:sz w:val="16"/>
          <w:szCs w:val="16"/>
          <w:color w:val="auto"/>
        </w:rPr>
      </w:pP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use Free Cash Flow in addition to, and not as an alternative to, consolidated net cash provided by operating activities when evaluating our liquidity.</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Definition and Reconciliation of Non-GAAP Measures</w:t>
      </w:r>
    </w:p>
    <w:p>
      <w:pPr>
        <w:spacing w:after="0" w:line="11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income (loss) attributable to common stock before interest expense, interest income, income taxes and depreciation and amortization expense.</w:t>
      </w:r>
    </w:p>
    <w:p>
      <w:pPr>
        <w:spacing w:after="0" w:line="62"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represents EBITDA adjusted for (i) stock-based compensation expense included in the results of continuing operations, (ii) the results of discontinued operations, including stock-based compensation expense and the gain on the sale of CA, (iii) loss on extinguishment of debt and settlement of convertible notes and (iv) separation costs related to the sale of CA.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68"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term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55"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the results of our discontinued operations from Adjusted EBITDA because they are not part of our ongoing operations.</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the loss on extinguishment of debt and settlement of convertible notes from Adjusted EBITDA because this activity is not related to our operating performance.</w:t>
      </w:r>
    </w:p>
    <w:p>
      <w:pPr>
        <w:spacing w:after="0" w:line="62"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separation costs related to the sale of CA from Adjusted EBITDA for the year ended December 31, 2021 because of the non-recurring nature of this activity.</w:t>
      </w:r>
    </w:p>
    <w:p>
      <w:pPr>
        <w:spacing w:after="0" w:line="62"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75"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represents net cash provided by operating activities, plus the proceeds from our interest rate caps, less purchases of property and equipment and the acquisition of intangible assets and cash paid to purchase our interest rate caps. We believe that Free Cash Flow provides meaningful information regarding our liquidity.</w:t>
      </w:r>
    </w:p>
    <w:p>
      <w:pPr>
        <w:spacing w:after="0" w:line="7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To conform to current year presentation, we included the cash paid for our interest rate caps in Free Cash Flow for the year ended December 31, 2021. We believe it is useful for an understanding of our liquidity to include the cash flows associated with interest rate caps to facilitate a more consistent comparison of net cash paid for interest and the interest rate changes for which we are hedged.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Net income (loss) attributable to common stock (GAAP)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92,059</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152,735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(250,036 )</w:t>
            </w:r>
          </w:p>
        </w:tc>
      </w:tr>
      <w:tr>
        <w:trPr>
          <w:trHeight w:val="249"/>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67,472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125,787</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(2,386 )</w:t>
            </w: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(191 )</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(722 )</w:t>
            </w:r>
          </w:p>
        </w:tc>
      </w:tr>
      <w:tr>
        <w:trPr>
          <w:trHeight w:val="249"/>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(187,230 )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(146 )</w:t>
            </w:r>
          </w:p>
        </w:tc>
      </w:tr>
      <w:tr>
        <w:trPr>
          <w:trHeight w:val="236"/>
        </w:trPr>
        <w:tc>
          <w:tcPr>
            <w:tcW w:w="6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14,166</w:t>
            </w:r>
          </w:p>
        </w:tc>
        <w:tc>
          <w:tcPr>
            <w:tcW w:w="100" w:type="dxa"/>
            <w:vAlign w:val="bottom"/>
          </w:tcPr>
          <w:p>
            <w:pPr>
              <w:spacing w:after="0"/>
              <w:rPr>
                <w:sz w:val="20"/>
                <w:szCs w:val="20"/>
                <w:color w:val="auto"/>
              </w:rPr>
            </w:pPr>
          </w:p>
        </w:tc>
      </w:tr>
      <w:tr>
        <w:trPr>
          <w:trHeight w:val="242"/>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(110,951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662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13,345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201,477</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380"/>
              <w:spacing w:after="0"/>
              <w:rPr>
                <w:sz w:val="20"/>
                <w:szCs w:val="20"/>
                <w:color w:val="auto"/>
              </w:rPr>
            </w:pPr>
            <w:r>
              <w:rPr>
                <w:rFonts w:ascii="Arial" w:cs="Arial" w:eastAsia="Arial" w:hAnsi="Arial"/>
                <w:sz w:val="18"/>
                <w:szCs w:val="18"/>
                <w:color w:val="auto"/>
              </w:rPr>
              <w:t>Loss on extinguishment of debt and settlement of convertible notes</w:t>
            </w: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83,961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Separation costs related to CA sale</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6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173,848</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150,978</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98,334</w:t>
            </w:r>
          </w:p>
        </w:tc>
        <w:tc>
          <w:tcPr>
            <w:tcW w:w="100" w:type="dxa"/>
            <w:vAlign w:val="bottom"/>
            <w:tcBorders>
              <w:top w:val="single" w:sz="8" w:color="CFF0FC"/>
            </w:tcBorders>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Free Cash Flow:</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cash provided by operating activities (GAAP)</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103,405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Consolidated capital expenditures</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(49,914 )</w:t>
            </w: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(8,660 )</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(8,990 )</w:t>
            </w:r>
          </w:p>
        </w:tc>
      </w:tr>
      <w:tr>
        <w:trPr>
          <w:trHeight w:val="243"/>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(purchase of) interest rate caps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(8,629 )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Free cash flow</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57,783</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49,408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(4,477 )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-1146810</wp:posOffset>
            </wp:positionV>
            <wp:extent cx="7683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-1146810</wp:posOffset>
            </wp:positionV>
            <wp:extent cx="6858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limitations of Non-GAAP measures</w:t>
      </w:r>
    </w:p>
    <w:p>
      <w:pPr>
        <w:spacing w:after="0" w:line="11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include:</w:t>
      </w:r>
    </w:p>
    <w:p>
      <w:pPr>
        <w:spacing w:after="0" w:line="117"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income or expense;</w:t>
      </w:r>
    </w:p>
    <w:p>
      <w:pPr>
        <w:spacing w:after="0" w:line="117"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w:t>
      </w:r>
    </w:p>
    <w:p>
      <w:pPr>
        <w:spacing w:after="0" w:line="116"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of employee compensation;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the results of discontinued operations;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for the year ended December 31, 2021 does not reflect the separation costs related to the sale of CA;</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the loss on extinguishment of debt and settlement of convertible notes;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our cash balance for the period; and</w:t>
      </w:r>
    </w:p>
    <w:p>
      <w:pPr>
        <w:spacing w:after="0" w:line="116"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since other companies in our industry or related industries may calculate these measures differently from the way we do, their usefulness as comparative measures may be limited.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We have historically financed our growth and cash needs primarily through the issuance of common stock, non-convertible debt, senior convertible preferred stock, convertible debt, credit facilities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If needed, we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jc w:val="both"/>
        <w:ind w:right="80" w:firstLine="509"/>
        <w:spacing w:after="0" w:line="277" w:lineRule="auto"/>
        <w:rPr>
          <w:sz w:val="20"/>
          <w:szCs w:val="20"/>
          <w:color w:val="auto"/>
        </w:rPr>
      </w:pPr>
      <w:r>
        <w:rPr>
          <w:rFonts w:ascii="Arial" w:cs="Arial" w:eastAsia="Arial" w:hAnsi="Arial"/>
          <w:sz w:val="18"/>
          <w:szCs w:val="18"/>
          <w:color w:val="auto"/>
        </w:rPr>
        <w:t>See the disclosure below under the heading “Debt Instruments” for the definitions of the debt and convertible debt instruments to which we refer in this section, as well as the indentures and other agreements that govern them.</w:t>
      </w:r>
    </w:p>
    <w:p>
      <w:pPr>
        <w:spacing w:after="0" w:line="62"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Based on our current plans, we expect that our cash and cash equivalents, cash flows provided by operating activities and access to capital markets will be sufficient to meet the cash requirements of our business, including capital expenditure requirements and debt maturities, for at least the next twelve months and thereafter for the foreseeable future.</w:t>
      </w:r>
    </w:p>
    <w:p>
      <w:pPr>
        <w:spacing w:after="0" w:line="75"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As detailed in Note 9, “Long-Term Debt and Other Liabilities,” on April 30, 2021, GIH entered into the 2021 Credit Agreement with Gogo, the lenders and issuing banks party thereto and Morgan Stanley Senior Funding, Inc., as administrative agent, which provides for the Term Loan Facility in an aggregate principal amount of $725.0 million, issued with a discount of 0.5%, and the Revolving Facility, which includes a letter of credit sub-facility.</w:t>
      </w:r>
    </w:p>
    <w:p>
      <w:pPr>
        <w:spacing w:after="0" w:line="40"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SOFR rate, plus a credit spread adjustment based on the Alternative Reference Rates Committee recommended spread adjustment.</w:t>
      </w:r>
    </w:p>
    <w:p>
      <w:pPr>
        <w:spacing w:after="0" w:line="7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75"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6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fees and expenses incurred in connection with the Refinancing and the Facilities (the “Transaction Costs”). The Revolving Facility is available for working capital and general corporate purposes of Gogo and its subsidiaries and was undrawn as of December 31, 2022.</w:t>
      </w:r>
    </w:p>
    <w:p>
      <w:pPr>
        <w:spacing w:after="0" w:line="83"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In May 2022, the remaining $102.8 million aggregate principal amount of the 2022 Convertible Notes was converted by holders into 17,131,332 shares of common stock.</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May 2021, we purchased interest rate caps with an aggregate notional amount of $650.0 million for $8.6 million. We receive payments in the amounts calculated pursuant to the caps for any period in which the three-month USD LIBOR rate increases beyond the applicable strike rate. The termination date of the cap agreements is July 31, 2027. The notional amounts of the interest rate caps periodically decrease over the life of the caps with the first reduction of $125 million occurring on July 31, 2023.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7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For additional information on the interest rate caps, see Note 10, “Derivative Instruments and Hedging Activities,” to our consolidated financial statements.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0" w:firstLine="509"/>
        <w:spacing w:after="0" w:line="258" w:lineRule="auto"/>
        <w:rPr>
          <w:sz w:val="20"/>
          <w:szCs w:val="20"/>
          <w:color w:val="auto"/>
        </w:rPr>
      </w:pPr>
      <w:r>
        <w:rPr>
          <w:rFonts w:ascii="Arial" w:cs="Arial" w:eastAsia="Arial" w:hAnsi="Arial"/>
          <w:sz w:val="18"/>
          <w:szCs w:val="18"/>
          <w:color w:val="auto"/>
        </w:rPr>
        <w:t xml:space="preserve">The following table summarizes our contractual obligations, comprised of our material future cash requirements and deferred revenue arrangements, as of December 31, 2022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Less than</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34"/>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4"/>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4"/>
                <w:szCs w:val="14"/>
                <w:color w:val="auto"/>
              </w:rPr>
            </w:pPr>
          </w:p>
        </w:tc>
      </w:tr>
      <w:tr>
        <w:trPr>
          <w:trHeight w:val="185"/>
        </w:trPr>
        <w:tc>
          <w:tcPr>
            <w:tcW w:w="5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Contractual Obligations: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113,682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27,239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42,630</w:t>
            </w:r>
          </w:p>
        </w:tc>
        <w:tc>
          <w:tcPr>
            <w:tcW w:w="100" w:type="dxa"/>
            <w:vAlign w:val="bottom"/>
            <w:shd w:val="clear" w:color="auto" w:fill="CFF0FC"/>
          </w:tcPr>
          <w:p>
            <w:pPr>
              <w:spacing w:after="0"/>
              <w:rPr>
                <w:sz w:val="21"/>
                <w:szCs w:val="21"/>
                <w:color w:val="auto"/>
              </w:rPr>
            </w:pPr>
          </w:p>
        </w:tc>
      </w:tr>
      <w:tr>
        <w:trPr>
          <w:trHeight w:val="243"/>
        </w:trPr>
        <w:tc>
          <w:tcPr>
            <w:tcW w:w="51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4"/>
                <w:szCs w:val="24"/>
                <w:color w:val="auto"/>
                <w:vertAlign w:val="superscript"/>
              </w:rPr>
              <w:t>(1)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369,180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123,731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64,909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170,040</w:t>
            </w:r>
          </w:p>
        </w:tc>
        <w:tc>
          <w:tcPr>
            <w:tcW w:w="100" w:type="dxa"/>
            <w:vAlign w:val="bottom"/>
          </w:tcPr>
          <w:p>
            <w:pPr>
              <w:spacing w:after="0"/>
              <w:rPr>
                <w:sz w:val="21"/>
                <w:szCs w:val="21"/>
                <w:color w:val="auto"/>
              </w:rPr>
            </w:pPr>
          </w:p>
        </w:tc>
      </w:tr>
      <w:tr>
        <w:trPr>
          <w:trHeight w:val="243"/>
        </w:trPr>
        <w:tc>
          <w:tcPr>
            <w:tcW w:w="514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Term Loan Facility </w:t>
            </w:r>
            <w:r>
              <w:rPr>
                <w:rFonts w:ascii="Arial" w:cs="Arial" w:eastAsia="Arial" w:hAnsi="Arial"/>
                <w:sz w:val="24"/>
                <w:szCs w:val="24"/>
                <w:color w:val="auto"/>
                <w:vertAlign w:val="superscript"/>
              </w:rPr>
              <w:t>(2)</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714,125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677,875</w:t>
            </w:r>
          </w:p>
        </w:tc>
        <w:tc>
          <w:tcPr>
            <w:tcW w:w="100" w:type="dxa"/>
            <w:vAlign w:val="bottom"/>
            <w:shd w:val="clear" w:color="auto" w:fill="CFF0FC"/>
          </w:tcPr>
          <w:p>
            <w:pPr>
              <w:spacing w:after="0"/>
              <w:rPr>
                <w:sz w:val="21"/>
                <w:szCs w:val="21"/>
                <w:color w:val="auto"/>
              </w:rPr>
            </w:pPr>
          </w:p>
        </w:tc>
      </w:tr>
      <w:tr>
        <w:trPr>
          <w:trHeight w:val="243"/>
        </w:trPr>
        <w:tc>
          <w:tcPr>
            <w:tcW w:w="51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Interest and fees on the Facilities </w:t>
            </w:r>
            <w:r>
              <w:rPr>
                <w:rFonts w:ascii="Arial" w:cs="Arial" w:eastAsia="Arial" w:hAnsi="Arial"/>
                <w:sz w:val="24"/>
                <w:szCs w:val="24"/>
                <w:color w:val="auto"/>
                <w:vertAlign w:val="superscript"/>
              </w:rPr>
              <w:t>(2)(3)</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309,035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59,240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116,839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114,278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18,678</w:t>
            </w:r>
          </w:p>
        </w:tc>
        <w:tc>
          <w:tcPr>
            <w:tcW w:w="100" w:type="dxa"/>
            <w:vAlign w:val="bottom"/>
          </w:tcPr>
          <w:p>
            <w:pPr>
              <w:spacing w:after="0"/>
              <w:rPr>
                <w:sz w:val="21"/>
                <w:szCs w:val="21"/>
                <w:color w:val="auto"/>
              </w:rPr>
            </w:pPr>
          </w:p>
        </w:tc>
      </w:tr>
      <w:tr>
        <w:trPr>
          <w:trHeight w:val="243"/>
        </w:trPr>
        <w:tc>
          <w:tcPr>
            <w:tcW w:w="514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Deferred revenue arrangements </w:t>
            </w:r>
            <w:r>
              <w:rPr>
                <w:rFonts w:ascii="Arial" w:cs="Arial" w:eastAsia="Arial" w:hAnsi="Arial"/>
                <w:sz w:val="24"/>
                <w:szCs w:val="24"/>
                <w:color w:val="auto"/>
                <w:vertAlign w:val="superscript"/>
              </w:rPr>
              <w:t>(4)</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51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Other long-term obligations </w:t>
            </w:r>
            <w:r>
              <w:rPr>
                <w:rFonts w:ascii="Arial" w:cs="Arial" w:eastAsia="Arial" w:hAnsi="Arial"/>
                <w:sz w:val="24"/>
                <w:szCs w:val="24"/>
                <w:color w:val="auto"/>
                <w:vertAlign w:val="superscript"/>
              </w:rPr>
              <w:t>(5)</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41,405</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25,671</w:t>
            </w:r>
          </w:p>
        </w:tc>
        <w:tc>
          <w:tcPr>
            <w:tcW w:w="100" w:type="dxa"/>
            <w:vAlign w:val="bottom"/>
          </w:tcPr>
          <w:p>
            <w:pPr>
              <w:spacing w:after="0"/>
              <w:rPr>
                <w:sz w:val="21"/>
                <w:szCs w:val="21"/>
                <w:color w:val="auto"/>
              </w:rPr>
            </w:pPr>
          </w:p>
        </w:tc>
      </w:tr>
      <w:tr>
        <w:trPr>
          <w:trHeight w:val="270"/>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1,551,004</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217,425</w:t>
            </w:r>
          </w:p>
        </w:tc>
        <w:tc>
          <w:tcPr>
            <w:tcW w:w="2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230,301</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168,384</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934,894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left="760" w:right="380" w:hanging="378"/>
        <w:spacing w:after="0" w:line="255"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2022, our outstanding purchase obligations represented obligations to vendors incurred in order to meet operational requirements in the normal course of business, including the build out of Gogo 5G, Global Broadband, information technology, research and development, sales and marketing, general and administrative and production related activities.</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Note 9, “Long-Term Debt and Other Liabilities,” to our consolidated financial statements for more information.</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on the Term Loan Facility is calculated for future periods using the interest rate in effect as of December 31, 2022.</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represent obligations to provide services for which we have already received cash from our customers.</w:t>
      </w:r>
    </w:p>
    <w:p>
      <w:pPr>
        <w:spacing w:after="0" w:line="8" w:lineRule="exact"/>
        <w:rPr>
          <w:rFonts w:ascii="Arial" w:cs="Arial" w:eastAsia="Arial" w:hAnsi="Arial"/>
          <w:sz w:val="18"/>
          <w:szCs w:val="18"/>
          <w:color w:val="auto"/>
        </w:rPr>
      </w:pPr>
    </w:p>
    <w:p>
      <w:pPr>
        <w:jc w:val="both"/>
        <w:ind w:left="760" w:right="20" w:hanging="378"/>
        <w:spacing w:after="0" w:line="302"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long-term obligations consist of estimated payments (undiscounted) for our asset retirement obligations, network transmission services and monthly payments of C$0.1 million (using the December 31, 2022 exchange rate) to the licensor of our Canadian ATG spectrum license over the estimated 25-year term of the agreement. Other long-term obligations exclude tax liability payments due to the uncertainty of their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-1271270</wp:posOffset>
            </wp:positionV>
            <wp:extent cx="21151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26" w:lineRule="exact"/>
        <w:rPr>
          <w:sz w:val="20"/>
          <w:szCs w:val="20"/>
          <w:color w:val="auto"/>
        </w:rPr>
      </w:pPr>
    </w:p>
    <w:p>
      <w:pPr>
        <w:ind w:right="300" w:firstLine="509"/>
        <w:spacing w:after="0" w:line="311" w:lineRule="auto"/>
        <w:rPr>
          <w:sz w:val="20"/>
          <w:szCs w:val="20"/>
          <w:color w:val="auto"/>
        </w:rPr>
      </w:pPr>
      <w:r>
        <w:rPr>
          <w:rFonts w:ascii="Arial" w:cs="Arial" w:eastAsia="Arial" w:hAnsi="Arial"/>
          <w:sz w:val="16"/>
          <w:szCs w:val="16"/>
          <w:i w:val="1"/>
          <w:iCs w:val="1"/>
          <w:color w:val="auto"/>
        </w:rPr>
        <w:t xml:space="preserve">Contractual Commitments: </w:t>
      </w:r>
      <w:r>
        <w:rPr>
          <w:rFonts w:ascii="Arial" w:cs="Arial" w:eastAsia="Arial" w:hAnsi="Arial"/>
          <w:sz w:val="16"/>
          <w:szCs w:val="16"/>
          <w:color w:val="auto"/>
        </w:rPr>
        <w:t>We have agreements with various vendors under which we have remaining commitments to purchase hardware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and development services. Such commitments will become payable as we receive the hardware components or as development services are provided. See Note 17, “Commitments and Contingencies,” to our consolidated financial statements for additional information.</w:t>
      </w:r>
    </w:p>
    <w:p>
      <w:pPr>
        <w:spacing w:after="0" w:line="40"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16, “Leases,” to our consolidated financial statements for additional information.</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7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75" w:lineRule="exact"/>
        <w:rPr>
          <w:sz w:val="20"/>
          <w:szCs w:val="20"/>
          <w:color w:val="auto"/>
        </w:rPr>
      </w:pPr>
    </w:p>
    <w:p>
      <w:pPr>
        <w:ind w:right="420" w:firstLine="509"/>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 activity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continuing operations: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103,405</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66,697</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(70,418 )</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(16,289 )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(8,990 )</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(28,388 )</w:t>
            </w:r>
          </w:p>
        </w:tc>
        <w:tc>
          <w:tcPr>
            <w:tcW w:w="320" w:type="dxa"/>
            <w:vAlign w:val="bottom"/>
          </w:tcPr>
          <w:p>
            <w:pPr>
              <w:spacing w:after="0"/>
              <w:rPr>
                <w:sz w:val="20"/>
                <w:szCs w:val="20"/>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(331,037 )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44,479</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discontinued operations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(9,013 )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220,139</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(1,946 )</w:t>
            </w:r>
          </w:p>
        </w:tc>
      </w:tr>
      <w:tr>
        <w:trPr>
          <w:trHeight w:val="242"/>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28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(289,602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258,195</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146,268</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435,870</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177,675</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150,880</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146,268</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435,870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150,880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146,268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435,870</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Less: current restricted cash</w:t>
            </w: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non-current restricted cash</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150,550</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145,913</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435,345</w:t>
            </w:r>
          </w:p>
        </w:tc>
        <w:tc>
          <w:tcPr>
            <w:tcW w:w="100" w:type="dxa"/>
            <w:vAlign w:val="bottom"/>
            <w:tcBorders>
              <w:top w:val="single" w:sz="8" w:color="CFF0FC"/>
            </w:tcBorders>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-829945</wp:posOffset>
            </wp:positionV>
            <wp:extent cx="2080895"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80895" cy="1797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Following is a discussion of the year-over-year changes in cash flow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 from continuing operations:</w:t>
      </w:r>
    </w:p>
    <w:p>
      <w:pPr>
        <w:spacing w:after="0" w:line="117" w:lineRule="exact"/>
        <w:rPr>
          <w:sz w:val="20"/>
          <w:szCs w:val="20"/>
          <w:color w:val="auto"/>
        </w:rPr>
      </w:pPr>
    </w:p>
    <w:p>
      <w:pPr>
        <w:ind w:right="280" w:firstLine="509"/>
        <w:spacing w:after="0" w:line="258" w:lineRule="auto"/>
        <w:rPr>
          <w:sz w:val="20"/>
          <w:szCs w:val="20"/>
          <w:color w:val="auto"/>
        </w:rPr>
      </w:pPr>
      <w:r>
        <w:rPr>
          <w:rFonts w:ascii="Arial" w:cs="Arial" w:eastAsia="Arial" w:hAnsi="Arial"/>
          <w:sz w:val="18"/>
          <w:szCs w:val="18"/>
          <w:color w:val="auto"/>
        </w:rPr>
        <w:t xml:space="preserve">The following table presents a summary of our cash flows from operating activities from continuing operations for the periods set forth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92,059</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156,589</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Non-cash charges and credits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51,110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(69,027 )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42,677</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(39,764 )</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(20,865 )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10,395</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103,405</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66,697</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Borders>
              <w:top w:val="single" w:sz="8" w:color="CFF0FC"/>
            </w:tcBorders>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For the year ended December 31, 2022, cash provided by operating activities from continuing operations was $103.4 million, as compared with cash provided by operating activities from continuing operations of $66.7 million for the prior year. The principal contributors to the increase in operating cash flows were:</w:t>
      </w:r>
    </w:p>
    <w:p>
      <w:pPr>
        <w:spacing w:after="0" w:line="75"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$55.6 million improvement in net income and non-cash charges and credits, as noted above under “—Results of Operations.”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$18.9 million decrease in cash flows related to operating assets and liabilities resulting from:</w:t>
      </w:r>
    </w:p>
    <w:p>
      <w:pPr>
        <w:spacing w:after="0" w:line="116"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decrease in cash flows primarily due to the following:</w:t>
      </w:r>
    </w:p>
    <w:p>
      <w:pPr>
        <w:spacing w:after="0" w:line="116" w:lineRule="exact"/>
        <w:rPr>
          <w:rFonts w:ascii="Arial" w:cs="Arial" w:eastAsia="Arial" w:hAnsi="Arial"/>
          <w:sz w:val="18"/>
          <w:szCs w:val="18"/>
          <w:color w:val="auto"/>
        </w:rPr>
      </w:pPr>
    </w:p>
    <w:p>
      <w:pPr>
        <w:ind w:left="2040" w:hanging="503"/>
        <w:spacing w:after="0"/>
        <w:tabs>
          <w:tab w:leader="none" w:pos="2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Changes in accounts receivable due to higher revenue;</w:t>
      </w:r>
    </w:p>
    <w:p>
      <w:pPr>
        <w:spacing w:after="0" w:line="116" w:lineRule="exact"/>
        <w:rPr>
          <w:rFonts w:ascii="Arial" w:cs="Arial" w:eastAsia="Arial" w:hAnsi="Arial"/>
          <w:sz w:val="18"/>
          <w:szCs w:val="18"/>
          <w:color w:val="auto"/>
        </w:rPr>
      </w:pPr>
    </w:p>
    <w:p>
      <w:pPr>
        <w:ind w:left="2040" w:hanging="503"/>
        <w:spacing w:after="0"/>
        <w:tabs>
          <w:tab w:leader="none" w:pos="20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Changes in inventories due to additional purchases to meet increased demand and manage supply chain disruptions; and</w:t>
      </w:r>
    </w:p>
    <w:p>
      <w:pPr>
        <w:spacing w:after="0" w:line="128" w:lineRule="exact"/>
        <w:rPr>
          <w:rFonts w:ascii="Arial" w:cs="Arial" w:eastAsia="Arial" w:hAnsi="Arial"/>
          <w:sz w:val="17"/>
          <w:szCs w:val="17"/>
          <w:color w:val="auto"/>
        </w:rPr>
      </w:pPr>
    </w:p>
    <w:p>
      <w:pPr>
        <w:ind w:left="2040" w:hanging="503"/>
        <w:spacing w:after="0"/>
        <w:tabs>
          <w:tab w:leader="none" w:pos="2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Changes in accounts payable and non-current assets and liabilities primarily due to the timing of payments.</w:t>
      </w:r>
    </w:p>
    <w:p>
      <w:pPr>
        <w:spacing w:after="0" w:line="117" w:lineRule="exact"/>
        <w:rPr>
          <w:sz w:val="20"/>
          <w:szCs w:val="20"/>
          <w:color w:val="auto"/>
        </w:rPr>
      </w:pPr>
    </w:p>
    <w:p>
      <w:pPr>
        <w:ind w:left="1540" w:hanging="513"/>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Partially offset by an increase in cash flows due to the following:</w:t>
      </w:r>
    </w:p>
    <w:p>
      <w:pPr>
        <w:spacing w:after="0" w:line="116" w:lineRule="exact"/>
        <w:rPr>
          <w:rFonts w:ascii="Arial" w:cs="Arial" w:eastAsia="Arial" w:hAnsi="Arial"/>
          <w:sz w:val="18"/>
          <w:szCs w:val="18"/>
          <w:color w:val="auto"/>
        </w:rPr>
      </w:pPr>
    </w:p>
    <w:p>
      <w:pPr>
        <w:ind w:left="2040" w:right="80" w:hanging="505"/>
        <w:spacing w:after="0" w:line="277" w:lineRule="auto"/>
        <w:tabs>
          <w:tab w:leader="none" w:pos="2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Changes in accrued interest primarily due to the timing of interest payments as compared with the prior year and lower interest expense resulting from the Refinancing; and</w:t>
      </w:r>
    </w:p>
    <w:p>
      <w:pPr>
        <w:spacing w:after="0" w:line="61" w:lineRule="exact"/>
        <w:rPr>
          <w:rFonts w:ascii="Arial" w:cs="Arial" w:eastAsia="Arial" w:hAnsi="Arial"/>
          <w:sz w:val="18"/>
          <w:szCs w:val="18"/>
          <w:color w:val="auto"/>
        </w:rPr>
      </w:pPr>
    </w:p>
    <w:p>
      <w:pPr>
        <w:ind w:left="2040" w:hanging="505"/>
        <w:spacing w:after="0"/>
        <w:tabs>
          <w:tab w:leader="none" w:pos="2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Changes in contract assets and deferred revenue due to the timing of revenue recognition and payment or collection of cash.</w:t>
      </w:r>
    </w:p>
    <w:p>
      <w:pPr>
        <w:spacing w:after="0" w:line="140"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For the year ended December 31, 2021, cash provided by operating activities from continuing operations was $66.7 million, as compared with cash provided by operating activities from continuing operations of $4.5 million for the prior year. The principal contributors to the increase in operating cash flows were:</w:t>
      </w:r>
    </w:p>
    <w:p>
      <w:pPr>
        <w:spacing w:after="0" w:line="75" w:lineRule="exact"/>
        <w:rPr>
          <w:sz w:val="20"/>
          <w:szCs w:val="20"/>
          <w:color w:val="auto"/>
        </w:rPr>
      </w:pPr>
    </w:p>
    <w:p>
      <w:pPr>
        <w:jc w:val="center"/>
        <w:ind w:left="5540" w:right="580" w:hanging="5023"/>
        <w:spacing w:after="0" w:line="527" w:lineRule="auto"/>
        <w:tabs>
          <w:tab w:leader="none" w:pos="10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$93.4 million improvement in net income (loss) and non-cash charges and credits, as noted above under “—Results of Operations.”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$31.3 million decrease in cash flows related to operating assets and liabilities resulting from:</w:t>
      </w:r>
    </w:p>
    <w:p>
      <w:pPr>
        <w:spacing w:after="0" w:line="116"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decrease in cash flows primarily due to the following:</w:t>
      </w:r>
    </w:p>
    <w:p>
      <w:pPr>
        <w:spacing w:after="0" w:line="116" w:lineRule="exact"/>
        <w:rPr>
          <w:rFonts w:ascii="Arial" w:cs="Arial" w:eastAsia="Arial" w:hAnsi="Arial"/>
          <w:sz w:val="18"/>
          <w:szCs w:val="18"/>
          <w:color w:val="auto"/>
        </w:rPr>
      </w:pPr>
    </w:p>
    <w:p>
      <w:pPr>
        <w:ind w:left="2040" w:hanging="503"/>
        <w:spacing w:after="0"/>
        <w:tabs>
          <w:tab w:leader="none" w:pos="2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inventories due to increased equipment purchases;</w:t>
      </w:r>
    </w:p>
    <w:p>
      <w:pPr>
        <w:spacing w:after="0" w:line="116" w:lineRule="exact"/>
        <w:rPr>
          <w:rFonts w:ascii="Arial" w:cs="Arial" w:eastAsia="Arial" w:hAnsi="Arial"/>
          <w:sz w:val="18"/>
          <w:szCs w:val="18"/>
          <w:color w:val="auto"/>
        </w:rPr>
      </w:pPr>
    </w:p>
    <w:p>
      <w:pPr>
        <w:ind w:left="2040" w:right="320" w:hanging="503"/>
        <w:spacing w:after="0" w:line="277" w:lineRule="auto"/>
        <w:tabs>
          <w:tab w:leader="none" w:pos="2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accrued interest primarily due to the timing of payments as compared to the prior year and the reduced interest resulting from the Refinancing; and</w:t>
      </w:r>
    </w:p>
    <w:p>
      <w:pPr>
        <w:spacing w:after="0" w:line="61" w:lineRule="exact"/>
        <w:rPr>
          <w:rFonts w:ascii="Arial" w:cs="Arial" w:eastAsia="Arial" w:hAnsi="Arial"/>
          <w:sz w:val="18"/>
          <w:szCs w:val="18"/>
          <w:color w:val="auto"/>
        </w:rPr>
      </w:pPr>
    </w:p>
    <w:p>
      <w:pPr>
        <w:ind w:left="2040" w:hanging="503"/>
        <w:spacing w:after="0"/>
        <w:tabs>
          <w:tab w:leader="none" w:pos="2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prepaid expenses, accounts payable and accrued liabilities due primarily to the timing of payments.</w:t>
      </w:r>
    </w:p>
    <w:p>
      <w:pPr>
        <w:spacing w:after="0" w:line="117" w:lineRule="exact"/>
        <w:rPr>
          <w:sz w:val="20"/>
          <w:szCs w:val="20"/>
          <w:color w:val="auto"/>
        </w:rPr>
      </w:pPr>
    </w:p>
    <w:p>
      <w:pPr>
        <w:ind w:left="1540" w:hanging="513"/>
        <w:spacing w:after="0"/>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Partially offset by an increase in cash flows due to changes in contract assets as compared to the prior year.</w:t>
      </w:r>
    </w:p>
    <w:p>
      <w:pPr>
        <w:spacing w:after="0" w:line="117" w:lineRule="exact"/>
        <w:rPr>
          <w:sz w:val="20"/>
          <w:szCs w:val="20"/>
          <w:color w:val="auto"/>
        </w:rPr>
      </w:pPr>
    </w:p>
    <w:p>
      <w:pPr>
        <w:ind w:left="520" w:right="100" w:firstLine="509"/>
        <w:spacing w:after="0" w:line="277" w:lineRule="auto"/>
        <w:rPr>
          <w:sz w:val="20"/>
          <w:szCs w:val="20"/>
          <w:color w:val="auto"/>
        </w:rPr>
      </w:pPr>
      <w:r>
        <w:rPr>
          <w:rFonts w:ascii="Arial" w:cs="Arial" w:eastAsia="Arial" w:hAnsi="Arial"/>
          <w:sz w:val="18"/>
          <w:szCs w:val="18"/>
          <w:color w:val="auto"/>
        </w:rPr>
        <w:t>Cash paid for taxes totaled $0.4 million for each of the years ended December 31, 2022, 2021 and 2020. We expect cash tax payments to be immaterial for an extended period of time, subject to the availability of our net operating losses.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used in investing activities from continuing operations:</w:t>
      </w:r>
    </w:p>
    <w:p>
      <w:pPr>
        <w:spacing w:after="0" w:line="11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Cash used in investing activities from continuing operations was $70.4 million, $16.3 million and $9.0 million, respectively, for the years ended December 31, 2022, 2021 and 2020. Investing activities are primarily comprised of capital expenditures related to software development, data center upgrades and cell site construction. Cash used in investing activities for the year ended December 31, 2022 included proceeds of $4.3 million from interest rate caps, while cash used in investing activities for the year ended December 31, 2021 included $8.6 million for the purchase of interest rate caps. Additionally, cash used in investing activities for the year ended December 31, 2022 included the purchase of short-term investments for $24.8 million.</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provided by (used in) financing activities from continuing operations:</w:t>
      </w:r>
    </w:p>
    <w:p>
      <w:pPr>
        <w:spacing w:after="0" w:line="117" w:lineRule="exact"/>
        <w:rPr>
          <w:sz w:val="20"/>
          <w:szCs w:val="20"/>
          <w:color w:val="auto"/>
        </w:rPr>
      </w:pPr>
    </w:p>
    <w:p>
      <w:pPr>
        <w:ind w:right="420" w:firstLine="509"/>
        <w:spacing w:after="0" w:line="286" w:lineRule="auto"/>
        <w:rPr>
          <w:sz w:val="20"/>
          <w:szCs w:val="20"/>
          <w:color w:val="auto"/>
        </w:rPr>
      </w:pPr>
      <w:r>
        <w:rPr>
          <w:rFonts w:ascii="Arial" w:cs="Arial" w:eastAsia="Arial" w:hAnsi="Arial"/>
          <w:sz w:val="17"/>
          <w:szCs w:val="17"/>
          <w:color w:val="auto"/>
        </w:rPr>
        <w:t>Cash used in financing activities from continuing operations for the year ended December 31, 2022 was $28.4 million, primarily due to the repurchase of 1.5 million shares of common stock in a private transaction and principal repayments on the Term Loan Facility. See Note 3, “Earnings (Loss) Per Share,” to our consolidated financial statements for additional information on the repurchase of common stock.</w:t>
      </w:r>
    </w:p>
    <w:p>
      <w:pPr>
        <w:spacing w:after="0" w:line="56" w:lineRule="exact"/>
        <w:rPr>
          <w:sz w:val="20"/>
          <w:szCs w:val="20"/>
          <w:color w:val="auto"/>
        </w:rPr>
      </w:pPr>
    </w:p>
    <w:p>
      <w:pPr>
        <w:ind w:right="300" w:firstLine="509"/>
        <w:spacing w:after="0" w:line="279" w:lineRule="auto"/>
        <w:rPr>
          <w:sz w:val="20"/>
          <w:szCs w:val="20"/>
          <w:color w:val="auto"/>
        </w:rPr>
      </w:pPr>
      <w:r>
        <w:rPr>
          <w:rFonts w:ascii="Arial" w:cs="Arial" w:eastAsia="Arial" w:hAnsi="Arial"/>
          <w:sz w:val="17"/>
          <w:szCs w:val="17"/>
          <w:color w:val="auto"/>
        </w:rPr>
        <w:t>Cash used in financing activities from continuing operations for the year ended December 31, 2021 was $331.0 million, primarily due to the redemption of all of our outstanding 2024 Senior Secured Notes (including the make-whole premium payable under the indenture governing the 2024 Senior Secured Notes) for a redemption price totaling $1,023.1 million and the payment of $20.3 million of deferred financing fees associated with the issuance of the Facilities, offset in part by $721.4 million of gross proceeds from the Term Loan Facility.</w:t>
      </w:r>
    </w:p>
    <w:p>
      <w:pPr>
        <w:spacing w:after="0" w:line="62"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Cash provided by financing activities from continuing operations for the year ended December 31, 2020 was $44.5 million, primarily due to the $51.8 million of proceeds from the issuance of additional 2024 Senior Secured Notes, offset by the repurchase of convertible notes, payments on finance leases and stock-based compensation activity.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used in discontinued operations:</w:t>
      </w:r>
    </w:p>
    <w:p>
      <w:pPr>
        <w:spacing w:after="0" w:line="117" w:lineRule="exact"/>
        <w:rPr>
          <w:sz w:val="20"/>
          <w:szCs w:val="20"/>
          <w:color w:val="auto"/>
        </w:rPr>
      </w:pPr>
    </w:p>
    <w:p>
      <w:pPr>
        <w:ind w:right="340" w:firstLine="509"/>
        <w:spacing w:after="0" w:line="286" w:lineRule="auto"/>
        <w:rPr>
          <w:sz w:val="20"/>
          <w:szCs w:val="20"/>
          <w:color w:val="auto"/>
        </w:rPr>
      </w:pPr>
      <w:r>
        <w:rPr>
          <w:rFonts w:ascii="Arial" w:cs="Arial" w:eastAsia="Arial" w:hAnsi="Arial"/>
          <w:sz w:val="17"/>
          <w:szCs w:val="17"/>
          <w:color w:val="auto"/>
        </w:rPr>
        <w:t>Cash used in discontinued operations for the year ended December 31, 2021 was $9.0 million, primarily due to $7.8 million used in investing activities for a payment to Intelsat in settlement of working capital adjustments relating to the Transaction and $1.2 million used in operating activities primarily to pay the employer portion of taxes related to the vesting of equity awards and the exercise of stock options.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Our business requires significant capital expenditures, primarily for technology development, equipment and capacity expansion. Capital spending for continuing operations for the periods presented in this report is associated with the expansion of our ATG network and data centers. We capitalized software development costs related to network technology solutions and new product/service offerings. We also capitalized costs related to the build-out of our office locations. For the year ended December 31, 2020, capital expenditures for our former CA business, presented as discontinued operations, included the purchase of airborne equipment related to the roll out and/or upgrade of service to our former airline partners’ fleets.</w:t>
      </w:r>
    </w:p>
    <w:p>
      <w:pPr>
        <w:spacing w:after="0" w:line="5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Capital expenditures for continuing operations for the years ended December 31, 2022, 2021 and 2020 were $49.9 million, $8.7 million and $9.0 million, respectively. The increase in capital expenditures in 2022 as compared to 2021 was primarily due to the build out of Gogo 5G, and the decrease in capital expenditures in 2021 as compared with 2020 was primarily due a decrease in capitalized software, partially offset by an increase in network-related equipment.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capital expenditures will decrease over time as we complete the Gogo 5G program.</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Following is a discussion of the debt instruments we had in place as of December 31, 2022 as well as those we utilized during the years ended December 31, 2022, 2021 and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Agreement</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On April 30, 2021, Gogo Intermediate Holdings LLC (a wholly owned subsidiary of Gogo Inc.) (“GIH”)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“Term Loan Facility”) in an aggregate principal amount of $725.0 million, issued with a discount of 0.5%, and (ii) a revolving credit facility (the “Revolving Facility” and together with the Term Loan Facility, the “Facilities”) of up to $100.0 million, which includes a letter of credit sub-facility.</w:t>
      </w:r>
    </w:p>
    <w:p>
      <w:pPr>
        <w:spacing w:after="0" w:line="83"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SOFR rate, plus a credit spread adjustment based on the Alternative Reference Rates Committee recommended spread adjustment.</w:t>
      </w:r>
    </w:p>
    <w:p>
      <w:pPr>
        <w:spacing w:after="0" w:line="7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75" w:lineRule="exact"/>
        <w:rPr>
          <w:sz w:val="20"/>
          <w:szCs w:val="20"/>
          <w:color w:val="auto"/>
        </w:rPr>
      </w:pPr>
    </w:p>
    <w:p>
      <w:pPr>
        <w:jc w:val="both"/>
        <w:ind w:right="440" w:firstLine="509"/>
        <w:spacing w:after="0" w:line="286" w:lineRule="auto"/>
        <w:rPr>
          <w:sz w:val="20"/>
          <w:szCs w:val="20"/>
          <w:color w:val="auto"/>
        </w:rPr>
      </w:pPr>
      <w:r>
        <w:rPr>
          <w:rFonts w:ascii="Arial" w:cs="Arial" w:eastAsia="Arial" w:hAnsi="Arial"/>
          <w:sz w:val="17"/>
          <w:szCs w:val="17"/>
          <w:color w:val="auto"/>
        </w:rPr>
        <w:t>The Term Loan Facility bears annual interest at a floating rate measured by reference to, at GIH’s option, either (i) an adjusted term SOFR rate (subject to a floor of 0.75%) plus an applicable margin of 3.75% and a credit spread adjustment based on the Alternative Reference Rates Committee recommended spread adjustments or (ii) an alternate base rate plus an applicable margin of 2.75%.</w:t>
      </w:r>
    </w:p>
    <w:p>
      <w:pPr>
        <w:spacing w:after="0" w:line="56"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based on the Alternative Reference Rates Committee recommended spread adjustments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December 31, 2022, the fee for unused commitments under the Revolving Facility was 0.25% and the applicable margin was 3.25%.</w:t>
      </w:r>
    </w:p>
    <w:p>
      <w:pPr>
        <w:spacing w:after="0" w:line="8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Facilities may be prepaid at GIH’s option at any time without premium or penalty (other than customary breakage costs), subject to minimum principal payment amount requirements. 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83"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7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November and December 2018, we issued a total of $237.8 million aggregate principal amount of 6.00% Convertible Senior Notes due 2022 (the “2022 Convertible Notes”) in private offerings to qualified institutional buyers, including pursuant to Rule 144A under the Securities Act, and in concurrent private placements.</w:t>
      </w:r>
    </w:p>
    <w:p>
      <w:pPr>
        <w:spacing w:after="0" w:line="7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 January 2021, $1.0 million aggregate principal amount of 2022 Convertible Notes was converted by holders and settled through the issuance of 166,666 shares of common stock.</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On March 17, 2021, Gogo entered into separate, privately negotiated exchange agreements (the “March 2021 Exchange Agreements”) with certain holders of 2022 Convertible Notes. Pursuant to the March 2021 Exchange Agreements, such holders exchanged a total of $28,235,000 aggregate principal amount of 2022 Convertible Notes for 5,121,811 shares of our common stock on March 24, 2021. The negotiated exchange rate under the March 2021 Exchange Agreements was 181.40 shares of common stock per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2" w:name="page53"/>
    <w:bookmarkEnd w:id="52"/>
    <w:p>
      <w:pPr>
        <w:ind w:right="20"/>
        <w:spacing w:after="0" w:line="307" w:lineRule="auto"/>
        <w:rPr>
          <w:sz w:val="20"/>
          <w:szCs w:val="20"/>
          <w:color w:val="auto"/>
        </w:rPr>
      </w:pPr>
      <w:r>
        <w:rPr>
          <w:rFonts w:ascii="Arial" w:cs="Arial" w:eastAsia="Arial" w:hAnsi="Arial"/>
          <w:sz w:val="17"/>
          <w:szCs w:val="17"/>
          <w:color w:val="auto"/>
        </w:rPr>
        <w:t>$1,000 principal amount of the 2022 Convertible Notes, which resulted in a loss on settlement of $4.4 million, which is included in Loss on extinguishment of debt and settlement of convertible notes in our consolidated statements of operations for the year ended December 31, 2021.</w:t>
      </w:r>
    </w:p>
    <w:p>
      <w:pPr>
        <w:spacing w:after="0" w:line="39"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On April 1, 2021, Gogo entered into a privately negotiated exchange agreement (the “GTCR Exchange Agreement”) with an affiliate of funds managed by GTCR. Pursuant to the GTCR Exchange Agreement, GTCR exchanged $105,726,000 aggregate principal amount of 2022 Convertible Notes for 19,064,529 shares of our common stock on April 9, 2021. The negotiated exchange rate under the GTCR Exchange Agreement was 180.32 shares of common stock per $1,000 principal amount of 2022 Convertible Notes, which resulted in a loss on settlement of $14.6 million, which is included in Loss on extinguishment of debt and settlement of convertible notes in our consolidated statements of operations for the year ended December 31, 2021.</w:t>
      </w:r>
    </w:p>
    <w:p>
      <w:pPr>
        <w:spacing w:after="0" w:line="5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In May 2022, the remaining $102,788,000 aggregate principal amount of 2022 Convertible Notes was converted by holders into 17,131,332 shares of common stock. As of December 31, 2022, there were no outstanding 2022 Convertible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Senior Secured Notes</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On April 25, 2019 (the “Issue Date”), GIH and Gogo Finance Co. Inc. (a wholly owned subsidiary of GIH) (“Gogo Finance” and, together with GIH, the “Issuers”) issued $905.0 million aggregate principal amount of 9.875% senior secured notes due 2024 (the “2024 Senior Secured Notes”), at a price equal to 99.512% of their face value, under an indenture, dated as of April 25, 2019, among the Issuers, Gogo, the subsidiary guarantors party thereto and U.S. Bank National Association, as trustee.</w:t>
      </w:r>
    </w:p>
    <w:p>
      <w:pPr>
        <w:spacing w:after="0" w:line="77" w:lineRule="exact"/>
        <w:rPr>
          <w:sz w:val="20"/>
          <w:szCs w:val="20"/>
          <w:color w:val="auto"/>
        </w:rPr>
      </w:pPr>
    </w:p>
    <w:p>
      <w:pPr>
        <w:ind w:right="100" w:firstLine="509"/>
        <w:spacing w:after="0" w:line="341" w:lineRule="auto"/>
        <w:rPr>
          <w:sz w:val="20"/>
          <w:szCs w:val="20"/>
          <w:color w:val="auto"/>
        </w:rPr>
      </w:pPr>
      <w:r>
        <w:rPr>
          <w:rFonts w:ascii="Arial" w:cs="Arial" w:eastAsia="Arial" w:hAnsi="Arial"/>
          <w:sz w:val="16"/>
          <w:szCs w:val="16"/>
          <w:color w:val="auto"/>
        </w:rPr>
        <w:t>The Issuers issued an additional $20.0 million of 2024 Senior Secured Notes on May 7, 2019, which were issued at a price equal to 100.5% of their face value, and $50.0 million of 2024 Senior Secured Notes on November 13, 2020, which were issued at a price equal to 103.5% of their face value.</w:t>
      </w:r>
    </w:p>
    <w:p>
      <w:pPr>
        <w:spacing w:after="0" w:line="1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2024 Senior Secured Notes were guaranteed on a senior secured basis by Gogo and all of GIH’s existing and future restricted subsidiaries (other than Gogo Finance), subject to certain exceptions. The 2024 Senior Secured Notes and the related guarantees were secured by certain liens on the Company’s collateral, certain of which were released upon the closing of the Transaction and the remainder on the Redemption Date as defined below.</w:t>
      </w:r>
    </w:p>
    <w:p>
      <w:pPr>
        <w:spacing w:after="0" w:line="40"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The 2024 Senior Secured Notes were redeemed on May 1, 2021 (the “Redemption Date”) at a redemption price equal to 104.938% of the principal amount of the 2024 Senior Secured Notes redeemed, plus accrued and unpaid interest to (but not including) the Redemption Date. The make-whole premium paid in connection with the redemption was $48.1 million and we wrote off the remaining unamortized deferred financing costs of $15.2 million and the remaining debt discount of $1.3 million, which together are included in Loss on extinguishment of debt and settlement of convertible notes in our consolidated statements of operations for the year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Credit Facility</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On August 26, 2019, Gogo Inc., GIH and Gogo Finance entered into a credit agreement (the “ABL Credit Agreement”) with the other loan parties party thereto, the lenders party thereto, JPMorgan Chase Bank, N.A., as administrative agent, and Morgan Stanley Senior Funding, Inc., as syndication agent, which provides for an asset-based revolving credit facility (the “ABL Credit Facility”) of up to $30.0 million, subject to borrowing base availability, and includes letter of credit and swingline sub-facilities. The obligations under the ABL Credit Agreement were guaranteed by Gogo and all of its existing and future subsidiaries, subject to certain exceptions and secured by certain collateral of the Company. On April 30, 2021, the ABL Credit Agreement and all commitments thereunder were terminated. As a result of the termination, the remaining unamortized deferred financing costs of $0.3 million were written off as of May 1, 2021 and included in Loss on extinguishment of debt and settlement of convertible notes in our consolidated statements of operations for the year ended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Convertible Notes</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March 2015, we issued $361.9 million aggregate principal amount of 3.75% Convertible Senior Notes due 2020 (the “2020 Convertible Notes”) in a private offering to qualified institutional buyers, pursuant to Rule 144A under the Securities Act. In 2018 and 2019, we repurchased a total of $359.4 million aggregate principal amount of the 2020 Convertible Notes, and on March 1, 2020, the remaining $2.5 million aggregate principal amount of the 2020 Convertible Notes matured.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Transactions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connection with the issuance of the 2020 Convertible Notes, we paid approximately $140.0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firstLine="509"/>
        <w:spacing w:after="0" w:line="270" w:lineRule="auto"/>
        <w:rPr>
          <w:sz w:val="20"/>
          <w:szCs w:val="20"/>
          <w:color w:val="auto"/>
        </w:rPr>
      </w:pPr>
      <w:r>
        <w:rPr>
          <w:rFonts w:ascii="Arial" w:cs="Arial" w:eastAsia="Arial" w:hAnsi="Arial"/>
          <w:sz w:val="17"/>
          <w:szCs w:val="17"/>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As a result of the Forward Transactions, total shareholders’ equity within our consolidated balance sheets was reduced by approximately $140.0 million. In March 2020, approximately 5.1 million shares of common stock were delivered to us in connection with the Forward Transactions. In April 2021, approximately 1.5 million shares of common stock were delivered to us in connection with the Amended and Restated Forward Transaction. In May 2022, the approximately 0.6 million shares that were remaining under the Amended and Restated Forward Transactions were delivered to us. As of December 31, 2022, there were no prepaid forward stock repurchase transactions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Our restricted cash balances were $0.3 million and $0.4 million, respectively, as of December 31, 2022 and 2021, and consisted primarily of a letter of credit issued for the benefit of the landlord of our office location in Chicago, IL.</w:t>
      </w:r>
    </w:p>
    <w:p>
      <w:pPr>
        <w:spacing w:after="0" w:line="62"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For additional information on the 2021 Credit Agreement, the 2022 Convertible Notes, the 2024 Senior Secured Notes, the ABL Credit Facility and the 2020 Convertible Notes, see Note 9, “Long-Term Debt and Other Liabilities,”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December 31, 2022 and December 31, 2021 primarily included amounts in bank deposit accounts and money market funds. As of December 31, 2022, cash equivalents and short-term investments included U.S. Treasury securities. We believe that a change in average interest rates would not affect our interest income and results of operations by a material amount. However, a change in interest rates could impact our interest income and results of operations to the extent that we invest in a material amount of interest-bearing securities.</w:t>
      </w:r>
    </w:p>
    <w:p>
      <w:pPr>
        <w:spacing w:after="0" w:line="70" w:lineRule="exact"/>
        <w:rPr>
          <w:sz w:val="20"/>
          <w:szCs w:val="20"/>
          <w:color w:val="auto"/>
        </w:rPr>
      </w:pPr>
    </w:p>
    <w:p>
      <w:pPr>
        <w:jc w:val="both"/>
        <w:ind w:right="520" w:firstLine="509"/>
        <w:spacing w:after="0" w:line="286" w:lineRule="auto"/>
        <w:rPr>
          <w:sz w:val="20"/>
          <w:szCs w:val="20"/>
          <w:color w:val="auto"/>
        </w:rPr>
      </w:pPr>
      <w:r>
        <w:rPr>
          <w:rFonts w:ascii="Arial" w:cs="Arial" w:eastAsia="Arial" w:hAnsi="Arial"/>
          <w:sz w:val="17"/>
          <w:szCs w:val="17"/>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56"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are exposed to interest rate risk on our variable rate indebtedness, which includes borrowings under the Term Loan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and Revolving Facility (if any). We assess our market risks based on changes in interest rates utilizing a sensitivity analysis that measures the potential impact on earnings and cash flows based on a hypothetical one percentage point change in interest rates. As of December 31, 2022, we had interest rate cap agreements to hedge a portion of our exposure to interest rate movements of our variable rate debt and to manage our interest expense. Currently, we receive payments in the amounts calculated pursuant to the caps for any period in which the three-month USD LIBOR rate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73"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The notional amount of outstanding debt associated with interest rate cap agreements as of December 31, 2022 was $650.0 million. Based on our December 31, 2022 outstanding variable rate debt balance, a hypothetical one percentage point change in the applicable interest rate would impact our annual interest expense by approximately $1.2 million for the next twelve-month period, which includes the impact of our interest rate caps at a strike rate of 0.75% and the $125 million reduction in the notional amount that will occur on July 31, 2023. Excluding the impact of our interest rate caps, a hypothetical one percentage point change in the applicable interest rate would impact our annual interest expense by approximately $7.1 million for the next twelve-month period.</w:t>
      </w:r>
    </w:p>
    <w:p>
      <w:pPr>
        <w:spacing w:after="0" w:line="83" w:lineRule="exact"/>
        <w:rPr>
          <w:sz w:val="20"/>
          <w:szCs w:val="20"/>
          <w:color w:val="auto"/>
        </w:rPr>
      </w:pPr>
    </w:p>
    <w:p>
      <w:pPr>
        <w:ind w:right="180" w:firstLine="509"/>
        <w:spacing w:after="0" w:line="296" w:lineRule="auto"/>
        <w:rPr>
          <w:sz w:val="20"/>
          <w:szCs w:val="20"/>
          <w:color w:val="auto"/>
        </w:rPr>
      </w:pPr>
      <w:r>
        <w:rPr>
          <w:rFonts w:ascii="Arial" w:cs="Arial" w:eastAsia="Arial" w:hAnsi="Arial"/>
          <w:sz w:val="16"/>
          <w:szCs w:val="16"/>
          <w:color w:val="auto"/>
        </w:rPr>
        <w:t>Our earnings are affected by changes in interest rates due to the impact those changes have on interest income generated from our cash, cash equivalents and short-term investments. Our cash and cash equivalents and short-term investments as of December 31, 2022 included amounts in bank deposit accounts, money market funds and U.S. Treasury securities. Our cash and cash equivalent accounts as of December 31, 2021 included amounts in bank deposit accounts and money market funds. We believe we have minimal interest rate risk as a 10% decrease in the average interest rate on our portfolio would have reduced interest income for the years ended December 31, 2022, 2021 and 2020 by immaterial amounts.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firstLine="509"/>
        <w:spacing w:after="0" w:line="277"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affected by inflation in the future.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02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8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w w:val="91"/>
              </w:rPr>
              <w:t>Gogo Inc.</w:t>
            </w:r>
          </w:p>
        </w:tc>
        <w:tc>
          <w:tcPr>
            <w:tcW w:w="10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8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1000" w:type="dxa"/>
            <w:vAlign w:val="bottom"/>
          </w:tcPr>
          <w:p>
            <w:pPr>
              <w:spacing w:after="0"/>
              <w:rPr>
                <w:sz w:val="24"/>
                <w:szCs w:val="24"/>
                <w:color w:val="auto"/>
              </w:rPr>
            </w:pPr>
          </w:p>
        </w:tc>
      </w:tr>
      <w:tr>
        <w:trPr>
          <w:trHeight w:val="34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Page No.</w:t>
            </w:r>
          </w:p>
        </w:tc>
      </w:tr>
      <w:tr>
        <w:trPr>
          <w:trHeight w:val="189"/>
        </w:trPr>
        <w:tc>
          <w:tcPr>
            <w:tcW w:w="20" w:type="dxa"/>
            <w:vAlign w:val="bottom"/>
          </w:tcPr>
          <w:p>
            <w:pPr>
              <w:spacing w:after="0"/>
              <w:rPr>
                <w:sz w:val="16"/>
                <w:szCs w:val="16"/>
                <w:color w:val="auto"/>
              </w:rPr>
            </w:pPr>
          </w:p>
        </w:tc>
        <w:tc>
          <w:tcPr>
            <w:tcW w:w="7520" w:type="dxa"/>
            <w:vAlign w:val="bottom"/>
            <w:tcBorders>
              <w:bottom w:val="single" w:sz="8" w:color="0000FF"/>
            </w:tcBorders>
            <w:gridSpan w:val="8"/>
          </w:tcPr>
          <w:p>
            <w:pPr>
              <w:spacing w:after="0" w:line="189" w:lineRule="exact"/>
              <w:rPr>
                <w:sz w:val="20"/>
                <w:szCs w:val="20"/>
                <w:color w:val="auto"/>
              </w:rPr>
            </w:pPr>
            <w:r>
              <w:rPr>
                <w:rFonts w:ascii="Arial" w:cs="Arial" w:eastAsia="Arial" w:hAnsi="Arial"/>
                <w:sz w:val="18"/>
                <w:szCs w:val="18"/>
                <w:color w:val="0000FF"/>
                <w:w w:val="92"/>
              </w:rPr>
              <w:t>Report of Deloitte &amp; Touche LLP, Independent Registered Public Accounting Firm (PCAOB ID No. 34)</w:t>
            </w:r>
          </w:p>
        </w:tc>
        <w:tc>
          <w:tcPr>
            <w:tcW w:w="27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55</w:t>
            </w:r>
          </w:p>
        </w:tc>
      </w:tr>
      <w:tr>
        <w:trPr>
          <w:trHeight w:val="223"/>
        </w:trPr>
        <w:tc>
          <w:tcPr>
            <w:tcW w:w="20" w:type="dxa"/>
            <w:vAlign w:val="bottom"/>
          </w:tcPr>
          <w:p>
            <w:pPr>
              <w:spacing w:after="0"/>
              <w:rPr>
                <w:sz w:val="19"/>
                <w:szCs w:val="19"/>
                <w:color w:val="auto"/>
              </w:rPr>
            </w:pPr>
          </w:p>
        </w:tc>
        <w:tc>
          <w:tcPr>
            <w:tcW w:w="10220" w:type="dxa"/>
            <w:vAlign w:val="bottom"/>
            <w:gridSpan w:val="9"/>
          </w:tcPr>
          <w:p>
            <w:pPr>
              <w:spacing w:after="0"/>
              <w:rPr>
                <w:sz w:val="20"/>
                <w:szCs w:val="20"/>
                <w:color w:val="auto"/>
              </w:rPr>
            </w:pPr>
            <w:r>
              <w:rPr>
                <w:rFonts w:ascii="Arial" w:cs="Arial" w:eastAsia="Arial" w:hAnsi="Arial"/>
                <w:sz w:val="18"/>
                <w:szCs w:val="18"/>
                <w:color w:val="0000FF"/>
              </w:rPr>
              <w:t>Consolidated Balance Sheets</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Consolidated Statements of Operations</w:t>
            </w:r>
          </w:p>
        </w:tc>
        <w:tc>
          <w:tcPr>
            <w:tcW w:w="20" w:type="dxa"/>
            <w:vAlign w:val="bottom"/>
            <w:tcBorders>
              <w:bottom w:val="single" w:sz="8" w:color="0000EE"/>
            </w:tcBorders>
          </w:tcPr>
          <w:p>
            <w:pPr>
              <w:spacing w:after="0"/>
              <w:rPr>
                <w:sz w:val="19"/>
                <w:szCs w:val="19"/>
                <w:color w:val="auto"/>
              </w:rPr>
            </w:pPr>
          </w:p>
        </w:tc>
        <w:tc>
          <w:tcPr>
            <w:tcW w:w="7380" w:type="dxa"/>
            <w:vAlign w:val="bottom"/>
            <w:gridSpan w:val="6"/>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Consolidated Statements of Comprehensive Income (Loss)</w:t>
            </w:r>
          </w:p>
        </w:tc>
        <w:tc>
          <w:tcPr>
            <w:tcW w:w="5980" w:type="dxa"/>
            <w:vAlign w:val="bottom"/>
            <w:gridSpan w:val="2"/>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20" w:type="dxa"/>
            <w:vAlign w:val="bottom"/>
          </w:tcPr>
          <w:p>
            <w:pPr>
              <w:spacing w:after="0"/>
              <w:rPr>
                <w:sz w:val="19"/>
                <w:szCs w:val="19"/>
                <w:color w:val="auto"/>
              </w:rPr>
            </w:pPr>
          </w:p>
        </w:tc>
        <w:tc>
          <w:tcPr>
            <w:tcW w:w="10220" w:type="dxa"/>
            <w:vAlign w:val="bottom"/>
            <w:gridSpan w:val="9"/>
          </w:tcPr>
          <w:p>
            <w:pPr>
              <w:spacing w:after="0"/>
              <w:rPr>
                <w:sz w:val="20"/>
                <w:szCs w:val="20"/>
                <w:color w:val="auto"/>
              </w:rPr>
            </w:pPr>
            <w:r>
              <w:rPr>
                <w:rFonts w:ascii="Arial" w:cs="Arial" w:eastAsia="Arial" w:hAnsi="Arial"/>
                <w:sz w:val="18"/>
                <w:szCs w:val="18"/>
                <w:color w:val="0000FF"/>
              </w:rPr>
              <w:t>Consolidated Statements of Cash Flows</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0" w:type="dxa"/>
            <w:vAlign w:val="bottom"/>
          </w:tcPr>
          <w:p>
            <w:pPr>
              <w:spacing w:after="0" w:line="20" w:lineRule="exact"/>
              <w:rPr>
                <w:sz w:val="1"/>
                <w:szCs w:val="1"/>
                <w:color w:val="auto"/>
              </w:rPr>
            </w:pPr>
          </w:p>
        </w:tc>
        <w:tc>
          <w:tcPr>
            <w:tcW w:w="288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20" w:type="dxa"/>
            <w:vAlign w:val="bottom"/>
            <w:gridSpan w:val="9"/>
          </w:tcPr>
          <w:p>
            <w:pPr>
              <w:spacing w:after="0"/>
              <w:rPr>
                <w:sz w:val="20"/>
                <w:szCs w:val="20"/>
                <w:color w:val="auto"/>
              </w:rPr>
            </w:pPr>
            <w:r>
              <w:rPr>
                <w:rFonts w:ascii="Arial" w:cs="Arial" w:eastAsia="Arial" w:hAnsi="Arial"/>
                <w:sz w:val="18"/>
                <w:szCs w:val="18"/>
                <w:color w:val="0000FF"/>
              </w:rPr>
              <w:t>Consolidated Statements of Stockholders’ Equity (Deficit)</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6020" w:type="dxa"/>
            <w:vAlign w:val="bottom"/>
            <w:gridSpan w:val="3"/>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681"/>
        </w:trPr>
        <w:tc>
          <w:tcPr>
            <w:tcW w:w="20" w:type="dxa"/>
            <w:vAlign w:val="bottom"/>
          </w:tcPr>
          <w:p>
            <w:pPr>
              <w:spacing w:after="0"/>
              <w:rPr>
                <w:sz w:val="24"/>
                <w:szCs w:val="24"/>
                <w:color w:val="auto"/>
              </w:rPr>
            </w:pPr>
          </w:p>
        </w:tc>
        <w:tc>
          <w:tcPr>
            <w:tcW w:w="3140" w:type="dxa"/>
            <w:vAlign w:val="bottom"/>
            <w:tcBorders>
              <w:top w:val="single" w:sz="8" w:color="0000FF"/>
            </w:tcBorders>
            <w:gridSpan w:val="5"/>
          </w:tcPr>
          <w:p>
            <w:pPr>
              <w:spacing w:after="0"/>
              <w:rPr>
                <w:sz w:val="24"/>
                <w:szCs w:val="24"/>
                <w:color w:val="auto"/>
              </w:rPr>
            </w:pPr>
          </w:p>
        </w:tc>
        <w:tc>
          <w:tcPr>
            <w:tcW w:w="4380" w:type="dxa"/>
            <w:vAlign w:val="bottom"/>
            <w:gridSpan w:val="3"/>
          </w:tcPr>
          <w:p>
            <w:pPr>
              <w:jc w:val="center"/>
              <w:ind w:left="470"/>
              <w:spacing w:after="0"/>
              <w:rPr>
                <w:sz w:val="20"/>
                <w:szCs w:val="20"/>
                <w:color w:val="auto"/>
              </w:rPr>
            </w:pPr>
            <w:r>
              <w:rPr>
                <w:rFonts w:ascii="Arial" w:cs="Arial" w:eastAsia="Arial" w:hAnsi="Arial"/>
                <w:sz w:val="18"/>
                <w:szCs w:val="18"/>
                <w:color w:val="auto"/>
                <w:w w:val="89"/>
              </w:rPr>
              <w:t>54</w:t>
            </w:r>
          </w:p>
        </w:tc>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right="5080"/>
        <w:spacing w:after="0" w:line="37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Gogo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Gogo Inc. and subsidiaries (the "Company") as of December 31, 2022 and 2021, the related consolidated statements of operations, comprehensive income (loss), stockholders’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the accounting principles generally accepted in the United States of America.</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2023, expressed an unqualified opinion on the Company's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 Realizability of Deferred Tax Assets — Refer to Notes 2 and 15 to the financial statements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recognizes deferred income tax assets and liabilities for tax attributes and are based on the differences between the financial statement and tax basis of assets and liabilities, applying enacted statutory tax rates in effect for the year in which the tax differences are expected to reverse. The Company regularly assesses the need for a valuation allowance related to deferred income tax assets to determine, based on the weight of the available positive and negative evidence, whether it is more likely than not that some or all of such deferred assets will not be realized. The Company’s assessment considers recent financial operating results, the scheduled expiration of its net operating losses, potential sources of taxable income, the reversal of existing taxable differences, taxable income in prior carryback years, if permitted under tax law, and tax planning strategies. Management has determined that it is more likely than not that sufficient taxable income will be generated in the future to realize $162.7 million of its deferred income tax assets as of December 31, 2022.</w:t>
      </w:r>
    </w:p>
    <w:p>
      <w:pPr>
        <w:spacing w:after="0" w:line="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identified management’s determination that it is more likely than not that sufficient taxable income will be generated in the future to realize deferred income tax assets as a critical audit matter because of the significant judgments management makes related to taxable income. This required a high degree of auditor judgment and an increased extent of effort, including the need to involve our income tax specialists, when performing audit procedures to evaluate the reasonableness of management’s estimates of taxable income.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right="480"/>
        <w:spacing w:after="0" w:line="341" w:lineRule="auto"/>
        <w:rPr>
          <w:sz w:val="20"/>
          <w:szCs w:val="20"/>
          <w:color w:val="auto"/>
        </w:rPr>
      </w:pPr>
      <w:r>
        <w:rPr>
          <w:rFonts w:ascii="Arial" w:cs="Arial" w:eastAsia="Arial" w:hAnsi="Arial"/>
          <w:sz w:val="16"/>
          <w:szCs w:val="16"/>
          <w:color w:val="auto"/>
        </w:rPr>
        <w:t>Our audit procedures related to the determination that it is more likely than not that sufficient taxable income will be generated in the future to realize deferred income tax assets included the following, among others, which were performed with the assistance of our income tax specialists: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left="1020" w:right="540" w:hanging="504"/>
        <w:spacing w:after="0" w:line="307"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tested the effectiveness of controls over deferred income tax assets, including management’s controls over the estimates of taxable income and the determination of whether it is more likely than not that the deferred income tax assets will be realized.</w:t>
      </w:r>
    </w:p>
    <w:p>
      <w:pPr>
        <w:spacing w:after="0" w:line="39" w:lineRule="exact"/>
        <w:rPr>
          <w:rFonts w:ascii="Arial" w:cs="Arial" w:eastAsia="Arial" w:hAnsi="Arial"/>
          <w:sz w:val="17"/>
          <w:szCs w:val="17"/>
          <w:color w:val="auto"/>
        </w:rPr>
      </w:pPr>
    </w:p>
    <w:p>
      <w:pPr>
        <w:ind w:left="1020" w:right="140" w:hanging="504"/>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evaluated the reasonableness of the methods, assumptions, and judgments used by management to determine whether it was more likely than not that certain tax attributes and deferred income tax assets could be realized.</w:t>
      </w:r>
    </w:p>
    <w:p>
      <w:pPr>
        <w:spacing w:after="0" w:line="61"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evaluated whether the sources of management’s estimated taxable income were of the appropriate character and sufficient to utilize the deferred income tax assets under the relevant tax law. This included evaluating management’s assessment of the scheduling of the reversal of existing temporary taxable differences and carryforward lives of the deferred income tax assets, and the availability of tax planning strategies as a source of future taxable income.</w:t>
      </w:r>
    </w:p>
    <w:p>
      <w:pPr>
        <w:spacing w:after="0" w:line="77" w:lineRule="exact"/>
        <w:rPr>
          <w:rFonts w:ascii="Arial" w:cs="Arial" w:eastAsia="Arial" w:hAnsi="Arial"/>
          <w:sz w:val="18"/>
          <w:szCs w:val="18"/>
          <w:color w:val="auto"/>
        </w:rPr>
      </w:pPr>
    </w:p>
    <w:p>
      <w:pPr>
        <w:ind w:left="1540" w:right="360" w:hanging="514"/>
        <w:spacing w:after="0" w:line="277"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We tested the reasonableness of management’s adjusted historical taxable income to project sources of future taxable income, and performed the following procedures related to historical taxable income:</w:t>
      </w:r>
    </w:p>
    <w:p>
      <w:pPr>
        <w:spacing w:after="0" w:line="61" w:lineRule="exact"/>
        <w:rPr>
          <w:rFonts w:ascii="Arial" w:cs="Arial" w:eastAsia="Arial" w:hAnsi="Arial"/>
          <w:sz w:val="18"/>
          <w:szCs w:val="18"/>
          <w:color w:val="auto"/>
        </w:rPr>
      </w:pPr>
    </w:p>
    <w:p>
      <w:pPr>
        <w:ind w:left="1540" w:hanging="514"/>
        <w:spacing w:after="0"/>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Compared the historical taxable income to the amounts disclosed in the Company’s historical financial statements.</w:t>
      </w:r>
    </w:p>
    <w:p>
      <w:pPr>
        <w:spacing w:after="0" w:line="116" w:lineRule="exact"/>
        <w:rPr>
          <w:rFonts w:ascii="Arial" w:cs="Arial" w:eastAsia="Arial" w:hAnsi="Arial"/>
          <w:sz w:val="18"/>
          <w:szCs w:val="18"/>
          <w:color w:val="auto"/>
        </w:rPr>
      </w:pPr>
    </w:p>
    <w:p>
      <w:pPr>
        <w:ind w:left="1540" w:hanging="514"/>
        <w:spacing w:after="0"/>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recurring permanent differences included in the historical taxable income for reasonableness.</w:t>
      </w:r>
    </w:p>
    <w:p>
      <w:pPr>
        <w:spacing w:after="0" w:line="116" w:lineRule="exact"/>
        <w:rPr>
          <w:rFonts w:ascii="Arial" w:cs="Arial" w:eastAsia="Arial" w:hAnsi="Arial"/>
          <w:sz w:val="18"/>
          <w:szCs w:val="18"/>
          <w:color w:val="auto"/>
        </w:rPr>
      </w:pPr>
    </w:p>
    <w:p>
      <w:pPr>
        <w:ind w:left="1540" w:hanging="514"/>
        <w:spacing w:after="0"/>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Tested the adjustments made to historical taxable income for nonrecurring items to assess if they were objectively verifiable.</w:t>
      </w:r>
    </w:p>
    <w:p>
      <w:pPr>
        <w:spacing w:after="0" w:line="128" w:lineRule="exact"/>
        <w:rPr>
          <w:rFonts w:ascii="Arial" w:cs="Arial" w:eastAsia="Arial" w:hAnsi="Arial"/>
          <w:sz w:val="17"/>
          <w:szCs w:val="17"/>
          <w:color w:val="auto"/>
        </w:rPr>
      </w:pPr>
    </w:p>
    <w:p>
      <w:pPr>
        <w:ind w:left="1540" w:right="40" w:hanging="514"/>
        <w:spacing w:after="0" w:line="277"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Compared the historical taxable income to internal budgets and information communicated internally, to the Board of Directors and in Company press releases related to fiscal year 2023 and forward.</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evaluated whether there was taxable income in prior carryback years that was of the appropriate character and available under the tax law.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150,550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145,913</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24,796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77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cash, cash-equivalents and short-term investments</w:t>
            </w:r>
          </w:p>
        </w:tc>
        <w:tc>
          <w:tcPr>
            <w:tcW w:w="24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175,346</w:t>
            </w:r>
          </w:p>
        </w:tc>
        <w:tc>
          <w:tcPr>
            <w:tcW w:w="28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145,913</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Accounts receivable, net of allowances of $1,778 and $894,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37,730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33,976</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32,295</w:t>
            </w:r>
          </w:p>
        </w:tc>
        <w:tc>
          <w:tcPr>
            <w:tcW w:w="100" w:type="dxa"/>
            <w:vAlign w:val="bottom"/>
          </w:tcPr>
          <w:p>
            <w:pPr>
              <w:spacing w:after="0"/>
              <w:rPr>
                <w:sz w:val="20"/>
                <w:szCs w:val="20"/>
                <w:color w:val="auto"/>
              </w:rPr>
            </w:pPr>
          </w:p>
        </w:tc>
      </w:tr>
      <w:tr>
        <w:trPr>
          <w:trHeight w:val="238"/>
        </w:trPr>
        <w:tc>
          <w:tcPr>
            <w:tcW w:w="77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324,149</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104,595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63,672</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49,509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49,554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75,261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70,989</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Other non-current assets, net of allowances of $501 and $455,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43,355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28,425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162,657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185,133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00" w:type="dxa"/>
            <w:vAlign w:val="bottom"/>
          </w:tcPr>
          <w:p>
            <w:pPr>
              <w:ind w:left="560"/>
              <w:spacing w:after="0"/>
              <w:rPr>
                <w:sz w:val="20"/>
                <w:szCs w:val="20"/>
                <w:color w:val="auto"/>
              </w:rPr>
            </w:pPr>
            <w:r>
              <w:rPr>
                <w:rFonts w:ascii="Arial" w:cs="Arial" w:eastAsia="Arial" w:hAnsi="Arial"/>
                <w:sz w:val="18"/>
                <w:szCs w:val="18"/>
                <w:b w:val="1"/>
                <w:bCs w:val="1"/>
                <w:color w:val="auto"/>
              </w:rPr>
              <w:t>Total non-current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435,377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397,773</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759,526</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647,687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13,646</w:t>
            </w:r>
          </w:p>
        </w:tc>
        <w:tc>
          <w:tcPr>
            <w:tcW w:w="2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17,203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59,868</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00" w:type="dxa"/>
            <w:vAlign w:val="bottom"/>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188,516</w:t>
            </w:r>
          </w:p>
        </w:tc>
        <w:tc>
          <w:tcPr>
            <w:tcW w:w="100" w:type="dxa"/>
            <w:vAlign w:val="bottom"/>
          </w:tcPr>
          <w:p>
            <w:pPr>
              <w:spacing w:after="0"/>
              <w:rPr>
                <w:sz w:val="20"/>
                <w:szCs w:val="20"/>
                <w:color w:val="auto"/>
              </w:rPr>
            </w:pPr>
          </w:p>
        </w:tc>
      </w:tr>
      <w:tr>
        <w:trPr>
          <w:trHeight w:val="240"/>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Non-current liabilities: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690,173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694,760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79,241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77,329</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20"/>
                <w:szCs w:val="20"/>
                <w:color w:val="auto"/>
              </w:rPr>
            </w:pPr>
          </w:p>
        </w:tc>
      </w:tr>
      <w:tr>
        <w:trPr>
          <w:trHeight w:val="238"/>
        </w:trPr>
        <w:tc>
          <w:tcPr>
            <w:tcW w:w="77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Total non-current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777,025</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779,325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861,395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967,841</w:t>
            </w:r>
          </w:p>
        </w:tc>
        <w:tc>
          <w:tcPr>
            <w:tcW w:w="100" w:type="dxa"/>
            <w:vAlign w:val="bottom"/>
          </w:tcPr>
          <w:p>
            <w:pPr>
              <w:spacing w:after="0"/>
              <w:rPr>
                <w:sz w:val="20"/>
                <w:szCs w:val="20"/>
                <w:color w:val="auto"/>
              </w:rPr>
            </w:pPr>
          </w:p>
        </w:tc>
      </w:tr>
      <w:tr>
        <w:trPr>
          <w:trHeight w:val="24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 (Note 17)</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1"/>
              </w:rPr>
              <w:t>Common stock, par value $0.0001 per share; 500,000,000 shares authorized at December 31, 2022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2021; 136,531,362 and 117,407,468 shares issued at December 31, 2022 and 2021,</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6"/>
              </w:rPr>
              <w:t>respectively; and 127,840,813 and 110,791,954 shares outstanding at December 31, 2022 and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2021, respectively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1,385,933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1,258,477</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Treasury stock, at cost</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(158,375 )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(128,803 )</w:t>
            </w:r>
          </w:p>
        </w:tc>
      </w:tr>
      <w:tr>
        <w:trPr>
          <w:trHeight w:val="243"/>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(1,359,569 )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(1,451,628 )</w:t>
            </w:r>
          </w:p>
        </w:tc>
      </w:tr>
      <w:tr>
        <w:trPr>
          <w:trHeight w:val="20"/>
        </w:trPr>
        <w:tc>
          <w:tcPr>
            <w:tcW w:w="7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700" w:type="dxa"/>
            <w:vAlign w:val="bottom"/>
          </w:tcPr>
          <w:p>
            <w:pPr>
              <w:ind w:left="560"/>
              <w:spacing w:after="0"/>
              <w:rPr>
                <w:sz w:val="20"/>
                <w:szCs w:val="20"/>
                <w:color w:val="auto"/>
              </w:rPr>
            </w:pPr>
            <w:r>
              <w:rPr>
                <w:rFonts w:ascii="Arial" w:cs="Arial" w:eastAsia="Arial" w:hAnsi="Arial"/>
                <w:sz w:val="18"/>
                <w:szCs w:val="18"/>
                <w:b w:val="1"/>
                <w:bCs w:val="1"/>
                <w:color w:val="auto"/>
              </w:rPr>
              <w:t>Total stockholders’ deficit</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(101,869 )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(320,154 )</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759,526</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647,687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-5170805</wp:posOffset>
            </wp:positionV>
            <wp:extent cx="68580"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-5170805</wp:posOffset>
            </wp:positionV>
            <wp:extent cx="6858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-4237990</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-4237990</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-3912235</wp:posOffset>
            </wp:positionV>
            <wp:extent cx="1241425"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41425" cy="1797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-2961640</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-2011680</wp:posOffset>
            </wp:positionV>
            <wp:extent cx="685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Gogo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296,329</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259,583</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211,987</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Equipment revenue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107,738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76,133</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620" w:type="dxa"/>
            <w:vAlign w:val="bottom"/>
          </w:tcPr>
          <w:p>
            <w:pPr>
              <w:ind w:left="38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404,067</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335,716</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269,718</w:t>
            </w:r>
          </w:p>
        </w:tc>
        <w:tc>
          <w:tcPr>
            <w:tcW w:w="100" w:type="dxa"/>
            <w:vAlign w:val="bottom"/>
          </w:tcPr>
          <w:p>
            <w:pPr>
              <w:spacing w:after="0"/>
              <w:rPr>
                <w:sz w:val="20"/>
                <w:szCs w:val="20"/>
                <w:color w:val="auto"/>
              </w:rPr>
            </w:pPr>
          </w:p>
        </w:tc>
      </w:tr>
      <w:tr>
        <w:trPr>
          <w:trHeight w:val="24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Cost of service revenue (exclusive of items shown below)</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64,427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56,103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45,073</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equipment revenue (exclusive of items shown below)</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71,473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46,092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39,299</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Engineering, design and development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29,587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25,227</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15,135</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58,203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51,554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54,467</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12,580</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62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261,741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215,090</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193,367</w:t>
            </w:r>
          </w:p>
        </w:tc>
        <w:tc>
          <w:tcPr>
            <w:tcW w:w="100" w:type="dxa"/>
            <w:vAlign w:val="bottom"/>
          </w:tcPr>
          <w:p>
            <w:pPr>
              <w:spacing w:after="0"/>
              <w:rPr>
                <w:sz w:val="20"/>
                <w:szCs w:val="20"/>
                <w:color w:val="auto"/>
              </w:rPr>
            </w:pP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142,326</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120,626</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(2,386 )</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(191 )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(722 )</w:t>
            </w: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38,872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67,472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125,787</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 and settlement of convertible notes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83,961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38"/>
        </w:trPr>
        <w:tc>
          <w:tcPr>
            <w:tcW w:w="6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other expense</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36,609</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151,267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105,717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(30,641 )</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(48,705 )</w:t>
            </w:r>
          </w:p>
        </w:tc>
      </w:tr>
      <w:tr>
        <w:trPr>
          <w:trHeight w:val="241"/>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(187,230 )</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6620" w:type="dxa"/>
            <w:vAlign w:val="bottom"/>
          </w:tcPr>
          <w:p>
            <w:pPr>
              <w:ind w:left="560"/>
              <w:spacing w:after="0"/>
              <w:rPr>
                <w:sz w:val="20"/>
                <w:szCs w:val="20"/>
                <w:color w:val="auto"/>
              </w:rPr>
            </w:pPr>
            <w:r>
              <w:rPr>
                <w:rFonts w:ascii="Arial" w:cs="Arial" w:eastAsia="Arial" w:hAnsi="Arial"/>
                <w:sz w:val="18"/>
                <w:szCs w:val="18"/>
                <w:b w:val="1"/>
                <w:bCs w:val="1"/>
                <w:color w:val="auto"/>
              </w:rPr>
              <w:t>Net income (loss) from continuing operations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92,059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156,589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(48,559 )</w:t>
            </w:r>
          </w:p>
        </w:tc>
      </w:tr>
      <w:tr>
        <w:trPr>
          <w:trHeight w:val="243"/>
        </w:trPr>
        <w:tc>
          <w:tcPr>
            <w:tcW w:w="6620" w:type="dxa"/>
            <w:vAlign w:val="bottom"/>
            <w:shd w:val="clear" w:color="auto" w:fill="CFF0FC"/>
          </w:tcPr>
          <w:p>
            <w:pPr>
              <w:ind w:left="560"/>
              <w:spacing w:after="0"/>
              <w:rPr>
                <w:sz w:val="20"/>
                <w:szCs w:val="20"/>
                <w:color w:val="auto"/>
              </w:rPr>
            </w:pPr>
            <w:r>
              <w:rPr>
                <w:rFonts w:ascii="Arial" w:cs="Arial" w:eastAsia="Arial" w:hAnsi="Arial"/>
                <w:sz w:val="18"/>
                <w:szCs w:val="18"/>
                <w:b w:val="1"/>
                <w:bCs w:val="1"/>
                <w:color w:val="auto"/>
              </w:rPr>
              <w:t>Net loss from discontinued operations, net of tax</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(3,854 )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(201,477 )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92,059</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152,735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(250,036 )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common stock per share—basic:</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(0.59 )</w:t>
            </w:r>
          </w:p>
        </w:tc>
      </w:tr>
      <w:tr>
        <w:trPr>
          <w:trHeight w:val="236"/>
        </w:trPr>
        <w:tc>
          <w:tcPr>
            <w:tcW w:w="662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(0.04 )</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(2.45 )</w:t>
            </w:r>
          </w:p>
        </w:tc>
      </w:tr>
      <w:tr>
        <w:trPr>
          <w:trHeight w:val="278"/>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attributable to common stock per share—basic</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7"/>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attributable to common stock per share—diluted:</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0.71</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(0.59 )</w:t>
            </w:r>
          </w:p>
        </w:tc>
      </w:tr>
      <w:tr>
        <w:trPr>
          <w:trHeight w:val="243"/>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common stock per share—diluted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0.71</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(3.04 )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shares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6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123,268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103,400</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82,266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2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133,923</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127,205</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82,266</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-5616575</wp:posOffset>
            </wp:positionV>
            <wp:extent cx="7683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-5616575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-5616575</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-4366260</wp:posOffset>
            </wp:positionV>
            <wp:extent cx="7683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-4366260</wp:posOffset>
            </wp:positionV>
            <wp:extent cx="685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-4366260</wp:posOffset>
            </wp:positionV>
            <wp:extent cx="685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-4040505</wp:posOffset>
            </wp:positionV>
            <wp:extent cx="76835"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-4040505</wp:posOffset>
            </wp:positionV>
            <wp:extent cx="68580"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-4040505</wp:posOffset>
            </wp:positionV>
            <wp:extent cx="6858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-3098800</wp:posOffset>
            </wp:positionV>
            <wp:extent cx="76835"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-3098800</wp:posOffset>
            </wp:positionV>
            <wp:extent cx="6858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-3098800</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-2781935</wp:posOffset>
            </wp:positionV>
            <wp:extent cx="76835"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-2781935</wp:posOffset>
            </wp:positionV>
            <wp:extent cx="6858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-2781935</wp:posOffset>
            </wp:positionV>
            <wp:extent cx="6858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-2465070</wp:posOffset>
            </wp:positionV>
            <wp:extent cx="7683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-2465070</wp:posOffset>
            </wp:positionV>
            <wp:extent cx="6858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-2465070</wp:posOffset>
            </wp:positionV>
            <wp:extent cx="6858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-1497965</wp:posOffset>
            </wp:positionV>
            <wp:extent cx="2080895"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80895" cy="1797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-855345</wp:posOffset>
            </wp:positionV>
            <wp:extent cx="7683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-855345</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-855345</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-205105</wp:posOffset>
            </wp:positionV>
            <wp:extent cx="2080895"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80895" cy="2057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92,059</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152,735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(250,036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Currency translation adjustments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(265 )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380"/>
              <w:spacing w:after="0"/>
              <w:rPr>
                <w:sz w:val="20"/>
                <w:szCs w:val="20"/>
                <w:color w:val="auto"/>
              </w:rPr>
            </w:pPr>
            <w:r>
              <w:rPr>
                <w:rFonts w:ascii="Arial" w:cs="Arial" w:eastAsia="Arial" w:hAnsi="Arial"/>
                <w:sz w:val="18"/>
                <w:szCs w:val="18"/>
                <w:color w:val="auto"/>
              </w:rPr>
              <w:t>Cash flow hedges: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Amount recognized in other comprehensive income (loss)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620" w:type="dxa"/>
            <w:vAlign w:val="bottom"/>
          </w:tcPr>
          <w:p>
            <w:pPr>
              <w:ind w:left="560"/>
              <w:spacing w:after="0"/>
              <w:rPr>
                <w:sz w:val="20"/>
                <w:szCs w:val="20"/>
                <w:color w:val="auto"/>
              </w:rPr>
            </w:pPr>
            <w:r>
              <w:rPr>
                <w:rFonts w:ascii="Arial" w:cs="Arial" w:eastAsia="Arial" w:hAnsi="Arial"/>
                <w:sz w:val="18"/>
                <w:szCs w:val="18"/>
                <w:color w:val="auto"/>
              </w:rPr>
              <w:t>Less: income (loss) realized and reclassified to earnings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(2 )</w:t>
            </w:r>
          </w:p>
        </w:tc>
        <w:tc>
          <w:tcPr>
            <w:tcW w:w="32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Changes in fair value of cash flow hedges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28,604</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28,339</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p>
        </w:tc>
      </w:tr>
      <w:tr>
        <w:trPr>
          <w:trHeight w:val="278"/>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120,398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155,537</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-350520</wp:posOffset>
            </wp:positionV>
            <wp:extent cx="7683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-350520</wp:posOffset>
            </wp:positionV>
            <wp:extent cx="6858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Gogo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3"/>
                <w:szCs w:val="13"/>
                <w:b w:val="1"/>
                <w:bCs w:val="1"/>
                <w:color w:val="auto"/>
              </w:rPr>
              <w:t>For the Years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r>
      <w:tr>
        <w:trPr>
          <w:trHeight w:val="169"/>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 from continuing operations:</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24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92,059</w:t>
            </w:r>
          </w:p>
        </w:tc>
        <w:tc>
          <w:tcPr>
            <w:tcW w:w="3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156,589</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(48,559 )</w:t>
            </w:r>
          </w:p>
        </w:tc>
      </w:tr>
      <w:tr>
        <w:trPr>
          <w:trHeight w:val="175"/>
        </w:trPr>
        <w:tc>
          <w:tcPr>
            <w:tcW w:w="7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income (loss) to cash provided by operating activities: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12,580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15,482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14,166</w:t>
            </w:r>
          </w:p>
        </w:tc>
        <w:tc>
          <w:tcPr>
            <w:tcW w:w="100" w:type="dxa"/>
            <w:vAlign w:val="bottom"/>
          </w:tcPr>
          <w:p>
            <w:pPr>
              <w:spacing w:after="0"/>
              <w:rPr>
                <w:sz w:val="15"/>
                <w:szCs w:val="15"/>
                <w:color w:val="auto"/>
              </w:rPr>
            </w:pP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asset disposals, abandonments and write-downs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1,577</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FF0FC"/>
          </w:tcPr>
          <w:p>
            <w:pPr>
              <w:spacing w:after="0"/>
              <w:rPr>
                <w:sz w:val="15"/>
                <w:szCs w:val="15"/>
                <w:color w:val="auto"/>
              </w:rPr>
            </w:pP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Provision for expected credit losses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284</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15"/>
                <w:szCs w:val="15"/>
                <w:color w:val="auto"/>
              </w:rPr>
            </w:pP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13,170</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(187,320 )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(232 )</w:t>
            </w: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19,065</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13,345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15"/>
                <w:szCs w:val="15"/>
                <w:color w:val="auto"/>
              </w:rPr>
            </w:pP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deferred financing costs and interest rate caps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3,215</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4,661</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5,892</w:t>
            </w:r>
          </w:p>
        </w:tc>
        <w:tc>
          <w:tcPr>
            <w:tcW w:w="100" w:type="dxa"/>
            <w:vAlign w:val="bottom"/>
            <w:shd w:val="clear" w:color="auto" w:fill="CFF0FC"/>
          </w:tcPr>
          <w:p>
            <w:pPr>
              <w:spacing w:after="0"/>
              <w:rPr>
                <w:sz w:val="15"/>
                <w:szCs w:val="15"/>
                <w:color w:val="auto"/>
              </w:rPr>
            </w:pP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Accretion of debt discount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456</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13,908</w:t>
            </w:r>
          </w:p>
        </w:tc>
        <w:tc>
          <w:tcPr>
            <w:tcW w:w="100" w:type="dxa"/>
            <w:vAlign w:val="bottom"/>
          </w:tcPr>
          <w:p>
            <w:pPr>
              <w:spacing w:after="0"/>
              <w:rPr>
                <w:sz w:val="15"/>
                <w:szCs w:val="15"/>
                <w:color w:val="auto"/>
              </w:rPr>
            </w:pP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extinguishment of debt and settlement of convertible notes</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83,961</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2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(17,482 )</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FF0FC"/>
          </w:tcPr>
          <w:p>
            <w:pPr>
              <w:spacing w:after="0"/>
              <w:rPr>
                <w:sz w:val="15"/>
                <w:szCs w:val="15"/>
                <w:color w:val="auto"/>
              </w:rPr>
            </w:pPr>
          </w:p>
        </w:tc>
      </w:tr>
      <w:tr>
        <w:trPr>
          <w:trHeight w:val="175"/>
        </w:trPr>
        <w:tc>
          <w:tcPr>
            <w:tcW w:w="7240" w:type="dxa"/>
            <w:vAlign w:val="bottom"/>
          </w:tcPr>
          <w:p>
            <w:pPr>
              <w:ind w:left="56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(15,517 )</w:t>
            </w:r>
          </w:p>
        </w:tc>
        <w:tc>
          <w:tcPr>
            <w:tcW w:w="24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(5,862 )</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7,091</w:t>
            </w:r>
          </w:p>
        </w:tc>
        <w:tc>
          <w:tcPr>
            <w:tcW w:w="100" w:type="dxa"/>
            <w:vAlign w:val="bottom"/>
          </w:tcPr>
          <w:p>
            <w:pPr>
              <w:spacing w:after="0"/>
              <w:rPr>
                <w:sz w:val="15"/>
                <w:szCs w:val="15"/>
                <w:color w:val="auto"/>
              </w:rPr>
            </w:pPr>
          </w:p>
        </w:tc>
      </w:tr>
      <w:tr>
        <w:trPr>
          <w:trHeight w:val="175"/>
        </w:trPr>
        <w:tc>
          <w:tcPr>
            <w:tcW w:w="72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8,351</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(20,844 )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(277 )</w:t>
            </w:r>
          </w:p>
        </w:tc>
      </w:tr>
      <w:tr>
        <w:trPr>
          <w:trHeight w:val="175"/>
        </w:trPr>
        <w:tc>
          <w:tcPr>
            <w:tcW w:w="7240" w:type="dxa"/>
            <w:vAlign w:val="bottom"/>
          </w:tcPr>
          <w:p>
            <w:pPr>
              <w:ind w:left="560"/>
              <w:spacing w:after="0"/>
              <w:rPr>
                <w:sz w:val="20"/>
                <w:szCs w:val="20"/>
                <w:color w:val="auto"/>
              </w:rPr>
            </w:pPr>
            <w:r>
              <w:rPr>
                <w:rFonts w:ascii="Arial" w:cs="Arial" w:eastAsia="Arial" w:hAnsi="Arial"/>
                <w:sz w:val="14"/>
                <w:szCs w:val="14"/>
                <w:color w:val="auto"/>
              </w:rPr>
              <w:t>Contract assets</w:t>
            </w:r>
          </w:p>
        </w:tc>
        <w:tc>
          <w:tcPr>
            <w:tcW w:w="26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(2,164 )</w:t>
            </w:r>
          </w:p>
        </w:tc>
        <w:tc>
          <w:tcPr>
            <w:tcW w:w="24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(5,638 )</w:t>
            </w: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(9,439 )</w:t>
            </w:r>
          </w:p>
        </w:tc>
      </w:tr>
      <w:tr>
        <w:trPr>
          <w:trHeight w:val="175"/>
        </w:trPr>
        <w:tc>
          <w:tcPr>
            <w:tcW w:w="72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(2,540 )</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3,806</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4,963</w:t>
            </w:r>
          </w:p>
        </w:tc>
        <w:tc>
          <w:tcPr>
            <w:tcW w:w="100" w:type="dxa"/>
            <w:vAlign w:val="bottom"/>
            <w:shd w:val="clear" w:color="auto" w:fill="CFF0FC"/>
          </w:tcPr>
          <w:p>
            <w:pPr>
              <w:spacing w:after="0"/>
              <w:rPr>
                <w:sz w:val="15"/>
                <w:szCs w:val="15"/>
                <w:color w:val="auto"/>
              </w:rPr>
            </w:pPr>
          </w:p>
        </w:tc>
      </w:tr>
      <w:tr>
        <w:trPr>
          <w:trHeight w:val="175"/>
        </w:trPr>
        <w:tc>
          <w:tcPr>
            <w:tcW w:w="7240" w:type="dxa"/>
            <w:vAlign w:val="bottom"/>
          </w:tcPr>
          <w:p>
            <w:pPr>
              <w:ind w:left="560"/>
              <w:spacing w:after="0"/>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(12,031 )</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14,099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4,470</w:t>
            </w:r>
          </w:p>
        </w:tc>
        <w:tc>
          <w:tcPr>
            <w:tcW w:w="100" w:type="dxa"/>
            <w:vAlign w:val="bottom"/>
          </w:tcPr>
          <w:p>
            <w:pPr>
              <w:spacing w:after="0"/>
              <w:rPr>
                <w:sz w:val="15"/>
                <w:szCs w:val="15"/>
                <w:color w:val="auto"/>
              </w:rPr>
            </w:pPr>
          </w:p>
        </w:tc>
      </w:tr>
      <w:tr>
        <w:trPr>
          <w:trHeight w:val="175"/>
        </w:trPr>
        <w:tc>
          <w:tcPr>
            <w:tcW w:w="72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1,589</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(1,282 )</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FF0FC"/>
          </w:tcPr>
          <w:p>
            <w:pPr>
              <w:spacing w:after="0"/>
              <w:rPr>
                <w:sz w:val="15"/>
                <w:szCs w:val="15"/>
                <w:color w:val="auto"/>
              </w:rPr>
            </w:pPr>
          </w:p>
        </w:tc>
      </w:tr>
      <w:tr>
        <w:trPr>
          <w:trHeight w:val="175"/>
        </w:trPr>
        <w:tc>
          <w:tcPr>
            <w:tcW w:w="7240" w:type="dxa"/>
            <w:vAlign w:val="bottom"/>
          </w:tcPr>
          <w:p>
            <w:pPr>
              <w:ind w:left="56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3,647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(8,604 )</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5"/>
                <w:szCs w:val="15"/>
                <w:color w:val="auto"/>
              </w:rPr>
            </w:pPr>
          </w:p>
        </w:tc>
      </w:tr>
      <w:tr>
        <w:trPr>
          <w:trHeight w:val="175"/>
        </w:trPr>
        <w:tc>
          <w:tcPr>
            <w:tcW w:w="72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Other non-current assets and liabilities</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(3,617 )</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1,535</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FF0FC"/>
          </w:tcPr>
          <w:p>
            <w:pPr>
              <w:spacing w:after="0"/>
              <w:rPr>
                <w:sz w:val="15"/>
                <w:szCs w:val="15"/>
                <w:color w:val="auto"/>
              </w:rPr>
            </w:pPr>
          </w:p>
        </w:tc>
      </w:tr>
      <w:tr>
        <w:trPr>
          <w:trHeight w:val="169"/>
        </w:trPr>
        <w:tc>
          <w:tcPr>
            <w:tcW w:w="7240" w:type="dxa"/>
            <w:vAlign w:val="bottom"/>
            <w:tcBorders>
              <w:top w:val="single" w:sz="8" w:color="CFF0FC"/>
            </w:tcBorders>
          </w:tcPr>
          <w:p>
            <w:pPr>
              <w:ind w:left="740"/>
              <w:spacing w:after="0"/>
              <w:rPr>
                <w:sz w:val="20"/>
                <w:szCs w:val="20"/>
                <w:color w:val="auto"/>
              </w:rPr>
            </w:pPr>
            <w:r>
              <w:rPr>
                <w:rFonts w:ascii="Arial" w:cs="Arial" w:eastAsia="Arial" w:hAnsi="Arial"/>
                <w:sz w:val="14"/>
                <w:szCs w:val="14"/>
                <w:b w:val="1"/>
                <w:bCs w:val="1"/>
                <w:color w:val="auto"/>
              </w:rPr>
              <w:t>Net cash provided by operating activities from continuing operations</w:t>
            </w: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103,405</w:t>
            </w:r>
          </w:p>
        </w:tc>
        <w:tc>
          <w:tcPr>
            <w:tcW w:w="30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66,697</w:t>
            </w:r>
          </w:p>
        </w:tc>
        <w:tc>
          <w:tcPr>
            <w:tcW w:w="26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4,513</w:t>
            </w:r>
          </w:p>
        </w:tc>
        <w:tc>
          <w:tcPr>
            <w:tcW w:w="100" w:type="dxa"/>
            <w:vAlign w:val="bottom"/>
            <w:tcBorders>
              <w:top w:val="single" w:sz="8" w:color="CFF0FC"/>
            </w:tcBorders>
          </w:tcPr>
          <w:p>
            <w:pPr>
              <w:spacing w:after="0"/>
              <w:rPr>
                <w:sz w:val="14"/>
                <w:szCs w:val="14"/>
                <w:color w:val="auto"/>
              </w:rPr>
            </w:pPr>
          </w:p>
        </w:tc>
      </w:tr>
      <w:tr>
        <w:trPr>
          <w:trHeight w:val="169"/>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 from continuing operations:</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Proceeds from sale of property and equipment</w:t>
            </w:r>
          </w:p>
        </w:tc>
        <w:tc>
          <w:tcPr>
            <w:tcW w:w="2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(43,914 )</w:t>
            </w: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(4,264 )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(1,818 )</w:t>
            </w: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Acquisition of intangible assets—capitalized software</w:t>
            </w:r>
          </w:p>
        </w:tc>
        <w:tc>
          <w:tcPr>
            <w:tcW w:w="26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(6,000 )</w:t>
            </w:r>
          </w:p>
        </w:tc>
        <w:tc>
          <w:tcPr>
            <w:tcW w:w="24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(4,396 )</w:t>
            </w: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(7,172 )</w:t>
            </w: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(purchase of) interest rate caps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4,292</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(8,629 )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Purchases of short-term investments</w:t>
            </w:r>
          </w:p>
        </w:tc>
        <w:tc>
          <w:tcPr>
            <w:tcW w:w="26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(24,796 )</w:t>
            </w:r>
          </w:p>
        </w:tc>
        <w:tc>
          <w:tcPr>
            <w:tcW w:w="24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72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Net cash used in investing activities from continuing operations</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(70,418</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(16,289</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 from continuing operations: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credit facility draw</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26,000</w:t>
            </w:r>
          </w:p>
        </w:tc>
        <w:tc>
          <w:tcPr>
            <w:tcW w:w="100" w:type="dxa"/>
            <w:vAlign w:val="bottom"/>
            <w:shd w:val="clear" w:color="auto" w:fill="CFF0FC"/>
          </w:tcPr>
          <w:p>
            <w:pPr>
              <w:spacing w:after="0"/>
              <w:rPr>
                <w:sz w:val="15"/>
                <w:szCs w:val="15"/>
                <w:color w:val="auto"/>
              </w:rPr>
            </w:pP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Repayments of amounts drawn from credit facility</w:t>
            </w:r>
          </w:p>
        </w:tc>
        <w:tc>
          <w:tcPr>
            <w:tcW w:w="2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(26,000 )</w:t>
            </w: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Repurchase of convertible notes</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(2,498 )</w:t>
            </w: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Proceeds from issuance of senior secured notes</w:t>
            </w:r>
          </w:p>
        </w:tc>
        <w:tc>
          <w:tcPr>
            <w:tcW w:w="2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51,750</w:t>
            </w:r>
          </w:p>
        </w:tc>
        <w:tc>
          <w:tcPr>
            <w:tcW w:w="100" w:type="dxa"/>
            <w:vAlign w:val="bottom"/>
          </w:tcPr>
          <w:p>
            <w:pPr>
              <w:spacing w:after="0"/>
              <w:rPr>
                <w:sz w:val="15"/>
                <w:szCs w:val="15"/>
                <w:color w:val="auto"/>
              </w:rPr>
            </w:pP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Redemption of senior secured notes</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(1,023,146 )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Proceeds from term loan, net of discount</w:t>
            </w:r>
          </w:p>
        </w:tc>
        <w:tc>
          <w:tcPr>
            <w:tcW w:w="2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721,375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 of debt issuance costs</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(21,103 )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(18,375 )</w:t>
            </w:r>
          </w:p>
        </w:tc>
        <w:tc>
          <w:tcPr>
            <w:tcW w:w="24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Payments on term loan</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(7,250 )</w:t>
            </w: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(3,625 )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240" w:type="dxa"/>
            <w:vAlign w:val="bottom"/>
          </w:tcPr>
          <w:p>
            <w:pPr>
              <w:ind w:left="380"/>
              <w:spacing w:after="0"/>
              <w:rPr>
                <w:sz w:val="20"/>
                <w:szCs w:val="20"/>
                <w:color w:val="auto"/>
              </w:rPr>
            </w:pPr>
            <w:r>
              <w:rPr>
                <w:rFonts w:ascii="Arial" w:cs="Arial" w:eastAsia="Arial" w:hAnsi="Arial"/>
                <w:sz w:val="14"/>
                <w:szCs w:val="14"/>
                <w:color w:val="auto"/>
              </w:rPr>
              <w:t>Payments on finance leases</w:t>
            </w:r>
          </w:p>
        </w:tc>
        <w:tc>
          <w:tcPr>
            <w:tcW w:w="26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(184 )</w:t>
            </w:r>
          </w:p>
        </w:tc>
        <w:tc>
          <w:tcPr>
            <w:tcW w:w="24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(145 )</w:t>
            </w: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(546 )</w:t>
            </w:r>
          </w:p>
        </w:tc>
      </w:tr>
      <w:tr>
        <w:trPr>
          <w:trHeight w:val="175"/>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 activity</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(2,579 )</w:t>
            </w: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(4,393 )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(4,227 )</w:t>
            </w:r>
          </w:p>
        </w:tc>
      </w:tr>
      <w:tr>
        <w:trPr>
          <w:trHeight w:val="20"/>
        </w:trPr>
        <w:tc>
          <w:tcPr>
            <w:tcW w:w="7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240" w:type="dxa"/>
            <w:vAlign w:val="bottom"/>
          </w:tcPr>
          <w:p>
            <w:pPr>
              <w:ind w:left="740"/>
              <w:spacing w:after="0"/>
              <w:rPr>
                <w:sz w:val="20"/>
                <w:szCs w:val="20"/>
                <w:color w:val="auto"/>
              </w:rPr>
            </w:pPr>
            <w:r>
              <w:rPr>
                <w:rFonts w:ascii="Arial" w:cs="Arial" w:eastAsia="Arial" w:hAnsi="Arial"/>
                <w:sz w:val="14"/>
                <w:szCs w:val="14"/>
                <w:b w:val="1"/>
                <w:bCs w:val="1"/>
                <w:color w:val="auto"/>
              </w:rPr>
              <w:t>Net cash provided by (used in) financing activities from continuing operations</w:t>
            </w:r>
          </w:p>
        </w:tc>
        <w:tc>
          <w:tcPr>
            <w:tcW w:w="26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(28,388 )</w:t>
            </w:r>
          </w:p>
        </w:tc>
        <w:tc>
          <w:tcPr>
            <w:tcW w:w="24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(331,037 )</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44,479</w:t>
            </w:r>
          </w:p>
        </w:tc>
        <w:tc>
          <w:tcPr>
            <w:tcW w:w="100" w:type="dxa"/>
            <w:vAlign w:val="bottom"/>
          </w:tcPr>
          <w:p>
            <w:pPr>
              <w:spacing w:after="0"/>
              <w:rPr>
                <w:sz w:val="14"/>
                <w:szCs w:val="14"/>
                <w:color w:val="auto"/>
              </w:rPr>
            </w:pPr>
          </w:p>
        </w:tc>
      </w:tr>
      <w:tr>
        <w:trPr>
          <w:trHeight w:val="169"/>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discontinued operations:</w:t>
            </w:r>
          </w:p>
        </w:tc>
        <w:tc>
          <w:tcPr>
            <w:tcW w:w="2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240" w:type="dxa"/>
            <w:vAlign w:val="bottom"/>
          </w:tcPr>
          <w:p>
            <w:pPr>
              <w:ind w:left="20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(1,211 )</w:t>
            </w: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(137,200 )</w:t>
            </w:r>
          </w:p>
        </w:tc>
      </w:tr>
      <w:tr>
        <w:trPr>
          <w:trHeight w:val="175"/>
        </w:trPr>
        <w:tc>
          <w:tcPr>
            <w:tcW w:w="7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cash provided by (used in) investing activities</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(7,802 )</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357,393</w:t>
            </w:r>
          </w:p>
        </w:tc>
        <w:tc>
          <w:tcPr>
            <w:tcW w:w="100" w:type="dxa"/>
            <w:vAlign w:val="bottom"/>
            <w:shd w:val="clear" w:color="auto" w:fill="CFF0FC"/>
          </w:tcPr>
          <w:p>
            <w:pPr>
              <w:spacing w:after="0"/>
              <w:rPr>
                <w:sz w:val="15"/>
                <w:szCs w:val="15"/>
                <w:color w:val="auto"/>
              </w:rPr>
            </w:pPr>
          </w:p>
        </w:tc>
      </w:tr>
      <w:tr>
        <w:trPr>
          <w:trHeight w:val="175"/>
        </w:trPr>
        <w:tc>
          <w:tcPr>
            <w:tcW w:w="7240" w:type="dxa"/>
            <w:vAlign w:val="bottom"/>
          </w:tcPr>
          <w:p>
            <w:pPr>
              <w:ind w:left="20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(54 )</w:t>
            </w:r>
          </w:p>
        </w:tc>
      </w:tr>
      <w:tr>
        <w:trPr>
          <w:trHeight w:val="169"/>
        </w:trPr>
        <w:tc>
          <w:tcPr>
            <w:tcW w:w="72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Net cash provided by (used in) discontinued operations</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(9,013</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220,139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240" w:type="dxa"/>
            <w:vAlign w:val="bottom"/>
          </w:tcPr>
          <w:p>
            <w:pPr>
              <w:ind w:left="200"/>
              <w:spacing w:after="0"/>
              <w:rPr>
                <w:sz w:val="20"/>
                <w:szCs w:val="20"/>
                <w:color w:val="auto"/>
              </w:rPr>
            </w:pPr>
            <w:r>
              <w:rPr>
                <w:rFonts w:ascii="Arial" w:cs="Arial" w:eastAsia="Arial" w:hAnsi="Arial"/>
                <w:sz w:val="14"/>
                <w:szCs w:val="14"/>
                <w:color w:val="auto"/>
              </w:rPr>
              <w:t>Effect of foreign exchange rate changes on cash</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(1,946 )</w:t>
            </w:r>
          </w:p>
        </w:tc>
      </w:tr>
      <w:tr>
        <w:trPr>
          <w:trHeight w:val="169"/>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Increase (decrease) in cash, cash equivalents and restricted cash</w:t>
            </w:r>
          </w:p>
        </w:tc>
        <w:tc>
          <w:tcPr>
            <w:tcW w:w="2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4,612</w:t>
            </w:r>
          </w:p>
        </w:tc>
        <w:tc>
          <w:tcPr>
            <w:tcW w:w="3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(289,602</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258,195</w:t>
            </w:r>
          </w:p>
        </w:tc>
        <w:tc>
          <w:tcPr>
            <w:tcW w:w="100" w:type="dxa"/>
            <w:vAlign w:val="bottom"/>
            <w:shd w:val="clear" w:color="auto" w:fill="CFF0FC"/>
          </w:tcPr>
          <w:p>
            <w:pPr>
              <w:spacing w:after="0"/>
              <w:rPr>
                <w:sz w:val="14"/>
                <w:szCs w:val="14"/>
                <w:color w:val="auto"/>
              </w:rPr>
            </w:pPr>
          </w:p>
        </w:tc>
      </w:tr>
      <w:tr>
        <w:trPr>
          <w:trHeight w:val="175"/>
        </w:trPr>
        <w:tc>
          <w:tcPr>
            <w:tcW w:w="72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146,268</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435,870</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177,675</w:t>
            </w:r>
          </w:p>
        </w:tc>
        <w:tc>
          <w:tcPr>
            <w:tcW w:w="100" w:type="dxa"/>
            <w:vAlign w:val="bottom"/>
          </w:tcPr>
          <w:p>
            <w:pPr>
              <w:spacing w:after="0"/>
              <w:rPr>
                <w:sz w:val="15"/>
                <w:szCs w:val="15"/>
                <w:color w:val="auto"/>
              </w:rPr>
            </w:pPr>
          </w:p>
        </w:tc>
      </w:tr>
      <w:tr>
        <w:trPr>
          <w:trHeight w:val="209"/>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150,880</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146,268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435,870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240" w:type="dxa"/>
            <w:vAlign w:val="bottom"/>
          </w:tcPr>
          <w:p>
            <w:pPr>
              <w:ind w:left="20"/>
              <w:spacing w:after="0" w:line="156" w:lineRule="exact"/>
              <w:rPr>
                <w:sz w:val="20"/>
                <w:szCs w:val="20"/>
                <w:color w:val="auto"/>
              </w:rPr>
            </w:pPr>
            <w:r>
              <w:rPr>
                <w:rFonts w:ascii="Arial" w:cs="Arial" w:eastAsia="Arial" w:hAnsi="Arial"/>
                <w:sz w:val="14"/>
                <w:szCs w:val="14"/>
                <w:color w:val="auto"/>
              </w:rPr>
              <w:t>Cash, cash equivalents and restricted cash at end of period</w:t>
            </w:r>
          </w:p>
        </w:tc>
        <w:tc>
          <w:tcPr>
            <w:tcW w:w="260" w:type="dxa"/>
            <w:vAlign w:val="bottom"/>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150,880</w:t>
            </w:r>
          </w:p>
        </w:tc>
        <w:tc>
          <w:tcPr>
            <w:tcW w:w="300" w:type="dxa"/>
            <w:vAlign w:val="bottom"/>
          </w:tcPr>
          <w:p>
            <w:pPr>
              <w:spacing w:after="0"/>
              <w:rPr>
                <w:sz w:val="13"/>
                <w:szCs w:val="13"/>
                <w:color w:val="auto"/>
              </w:rPr>
            </w:pPr>
          </w:p>
        </w:tc>
        <w:tc>
          <w:tcPr>
            <w:tcW w:w="240" w:type="dxa"/>
            <w:vAlign w:val="bottom"/>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146,268</w:t>
            </w:r>
          </w:p>
        </w:tc>
        <w:tc>
          <w:tcPr>
            <w:tcW w:w="260" w:type="dxa"/>
            <w:vAlign w:val="bottom"/>
          </w:tcPr>
          <w:p>
            <w:pPr>
              <w:spacing w:after="0"/>
              <w:rPr>
                <w:sz w:val="13"/>
                <w:szCs w:val="13"/>
                <w:color w:val="auto"/>
              </w:rPr>
            </w:pPr>
          </w:p>
        </w:tc>
        <w:tc>
          <w:tcPr>
            <w:tcW w:w="320" w:type="dxa"/>
            <w:vAlign w:val="bottom"/>
          </w:tcPr>
          <w:p>
            <w:pPr>
              <w:jc w:val="right"/>
              <w:ind w:right="168"/>
              <w:spacing w:after="0" w:line="156"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6" w:lineRule="exact"/>
              <w:rPr>
                <w:sz w:val="20"/>
                <w:szCs w:val="20"/>
                <w:color w:val="auto"/>
              </w:rPr>
            </w:pPr>
            <w:r>
              <w:rPr>
                <w:rFonts w:ascii="Arial" w:cs="Arial" w:eastAsia="Arial" w:hAnsi="Arial"/>
                <w:sz w:val="14"/>
                <w:szCs w:val="14"/>
                <w:color w:val="auto"/>
              </w:rPr>
              <w:t>435,870</w:t>
            </w:r>
          </w:p>
        </w:tc>
        <w:tc>
          <w:tcPr>
            <w:tcW w:w="100" w:type="dxa"/>
            <w:vAlign w:val="bottom"/>
          </w:tcPr>
          <w:p>
            <w:pPr>
              <w:spacing w:after="0"/>
              <w:rPr>
                <w:sz w:val="13"/>
                <w:szCs w:val="13"/>
                <w:color w:val="auto"/>
              </w:rPr>
            </w:pPr>
          </w:p>
        </w:tc>
      </w:tr>
      <w:tr>
        <w:trPr>
          <w:trHeight w:val="175"/>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Less: current restricted cash</w:t>
            </w: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FF0FC"/>
          </w:tcPr>
          <w:p>
            <w:pPr>
              <w:spacing w:after="0"/>
              <w:rPr>
                <w:sz w:val="15"/>
                <w:szCs w:val="15"/>
                <w:color w:val="auto"/>
              </w:rPr>
            </w:pPr>
          </w:p>
        </w:tc>
      </w:tr>
      <w:tr>
        <w:trPr>
          <w:trHeight w:val="175"/>
        </w:trPr>
        <w:tc>
          <w:tcPr>
            <w:tcW w:w="7240" w:type="dxa"/>
            <w:vAlign w:val="bottom"/>
          </w:tcPr>
          <w:p>
            <w:pPr>
              <w:ind w:left="20"/>
              <w:spacing w:after="0"/>
              <w:rPr>
                <w:sz w:val="20"/>
                <w:szCs w:val="20"/>
                <w:color w:val="auto"/>
              </w:rPr>
            </w:pPr>
            <w:r>
              <w:rPr>
                <w:rFonts w:ascii="Arial" w:cs="Arial" w:eastAsia="Arial" w:hAnsi="Arial"/>
                <w:sz w:val="14"/>
                <w:szCs w:val="14"/>
                <w:color w:val="auto"/>
              </w:rPr>
              <w:t>Less: non-current restricted cash</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209"/>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6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150,550</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145,913</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435,345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2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Cash Flow Information:</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2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Cash paid for interest</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41,209</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71,114</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106,051</w:t>
            </w:r>
          </w:p>
        </w:tc>
        <w:tc>
          <w:tcPr>
            <w:tcW w:w="100" w:type="dxa"/>
            <w:vAlign w:val="bottom"/>
            <w:shd w:val="clear" w:color="auto" w:fill="CFF0FC"/>
          </w:tcPr>
          <w:p>
            <w:pPr>
              <w:spacing w:after="0"/>
              <w:rPr>
                <w:sz w:val="15"/>
                <w:szCs w:val="15"/>
                <w:color w:val="auto"/>
              </w:rPr>
            </w:pPr>
          </w:p>
        </w:tc>
      </w:tr>
      <w:tr>
        <w:trPr>
          <w:trHeight w:val="175"/>
        </w:trPr>
        <w:tc>
          <w:tcPr>
            <w:tcW w:w="7240" w:type="dxa"/>
            <w:vAlign w:val="bottom"/>
          </w:tcPr>
          <w:p>
            <w:pPr>
              <w:ind w:left="560"/>
              <w:spacing w:after="0"/>
              <w:rPr>
                <w:sz w:val="20"/>
                <w:szCs w:val="20"/>
                <w:color w:val="auto"/>
              </w:rPr>
            </w:pPr>
            <w:r>
              <w:rPr>
                <w:rFonts w:ascii="Arial" w:cs="Arial" w:eastAsia="Arial" w:hAnsi="Arial"/>
                <w:sz w:val="14"/>
                <w:szCs w:val="14"/>
                <w:color w:val="auto"/>
              </w:rPr>
              <w:t>Cash paid for taxes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5"/>
                <w:szCs w:val="15"/>
                <w:color w:val="auto"/>
              </w:rPr>
            </w:pPr>
          </w:p>
        </w:tc>
      </w:tr>
      <w:tr>
        <w:trPr>
          <w:trHeight w:val="175"/>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7240" w:type="dxa"/>
            <w:vAlign w:val="bottom"/>
          </w:tcPr>
          <w:p>
            <w:pPr>
              <w:ind w:left="560"/>
              <w:spacing w:after="0"/>
              <w:rPr>
                <w:sz w:val="20"/>
                <w:szCs w:val="20"/>
                <w:color w:val="auto"/>
              </w:rPr>
            </w:pPr>
            <w:r>
              <w:rPr>
                <w:rFonts w:ascii="Arial" w:cs="Arial" w:eastAsia="Arial" w:hAnsi="Arial"/>
                <w:sz w:val="14"/>
                <w:szCs w:val="14"/>
                <w:color w:val="auto"/>
              </w:rPr>
              <w:t>Purchases of property and equipment in current liabilities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10,688</w:t>
            </w:r>
          </w:p>
        </w:tc>
        <w:tc>
          <w:tcPr>
            <w:tcW w:w="3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6,126</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-4490085</wp:posOffset>
            </wp:positionV>
            <wp:extent cx="76835" cy="1282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-4490085</wp:posOffset>
            </wp:positionV>
            <wp:extent cx="68580" cy="1282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-4490085</wp:posOffset>
            </wp:positionV>
            <wp:extent cx="68580" cy="1282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-3574415</wp:posOffset>
            </wp:positionV>
            <wp:extent cx="76835"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-3574415</wp:posOffset>
            </wp:positionV>
            <wp:extent cx="68580"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-3574415</wp:posOffset>
            </wp:positionV>
            <wp:extent cx="68580" cy="1200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-2230120</wp:posOffset>
            </wp:positionV>
            <wp:extent cx="76835" cy="1282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-2230120</wp:posOffset>
            </wp:positionV>
            <wp:extent cx="68580" cy="128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-2230120</wp:posOffset>
            </wp:positionV>
            <wp:extent cx="68580"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-1536065</wp:posOffset>
            </wp:positionV>
            <wp:extent cx="76835" cy="1282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-1536065</wp:posOffset>
            </wp:positionV>
            <wp:extent cx="68580" cy="1282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-1536065</wp:posOffset>
            </wp:positionV>
            <wp:extent cx="68580" cy="128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-1065530</wp:posOffset>
            </wp:positionV>
            <wp:extent cx="18237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23720" cy="13716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-586105</wp:posOffset>
            </wp:positionV>
            <wp:extent cx="18237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23720" cy="13716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60" w:type="dxa"/>
            <w:vAlign w:val="bottom"/>
            <w:gridSpan w:val="4"/>
            <w:vMerge w:val="restart"/>
          </w:tcPr>
          <w:p>
            <w:pPr>
              <w:jc w:val="right"/>
              <w:ind w:right="39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vMerge w:val="restart"/>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Accumulat</w:t>
            </w:r>
          </w:p>
        </w:tc>
        <w:tc>
          <w:tcPr>
            <w:tcW w:w="180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Treasury Stock</w:t>
            </w:r>
          </w:p>
        </w:tc>
        <w:tc>
          <w:tcPr>
            <w:tcW w:w="360" w:type="dxa"/>
            <w:vAlign w:val="bottom"/>
            <w:gridSpan w:val="2"/>
            <w:vMerge w:val="restart"/>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4"/>
                <w:szCs w:val="14"/>
                <w:color w:val="auto"/>
              </w:rPr>
            </w:pPr>
          </w:p>
        </w:tc>
        <w:tc>
          <w:tcPr>
            <w:tcW w:w="1860" w:type="dxa"/>
            <w:vAlign w:val="bottom"/>
            <w:tcBorders>
              <w:bottom w:val="single" w:sz="8" w:color="auto"/>
            </w:tcBorders>
            <w:gridSpan w:val="4"/>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ive</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ed</w:t>
            </w:r>
          </w:p>
        </w:tc>
        <w:tc>
          <w:tcPr>
            <w:tcW w:w="1800" w:type="dxa"/>
            <w:vAlign w:val="bottom"/>
            <w:tcBorders>
              <w:bottom w:val="single" w:sz="8" w:color="auto"/>
            </w:tcBorders>
            <w:gridSpan w:val="3"/>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2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3"/>
              </w:rPr>
              <w:t>Par Value</w:t>
            </w:r>
          </w:p>
        </w:tc>
        <w:tc>
          <w:tcPr>
            <w:tcW w:w="240" w:type="dxa"/>
            <w:vAlign w:val="bottom"/>
            <w:vMerge w:val="restart"/>
          </w:tcPr>
          <w:p>
            <w:pPr>
              <w:spacing w:after="0"/>
              <w:rPr>
                <w:sz w:val="11"/>
                <w:szCs w:val="11"/>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2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7"/>
              </w:rPr>
              <w:t>Income</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vMerge w:val="restart"/>
          </w:tcPr>
          <w:p>
            <w:pPr>
              <w:spacing w:after="0"/>
              <w:rPr>
                <w:sz w:val="11"/>
                <w:szCs w:val="11"/>
                <w:color w:val="auto"/>
              </w:rPr>
            </w:pPr>
          </w:p>
        </w:tc>
        <w:tc>
          <w:tcPr>
            <w:tcW w:w="8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2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0"/>
              </w:rPr>
              <w:t>(Loss)</w:t>
            </w:r>
          </w:p>
        </w:tc>
        <w:tc>
          <w:tcPr>
            <w:tcW w:w="20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January 1, 2020</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88,240,877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979,499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(2,256 )</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(1,376,142 )</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16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(398,890 )</w:t>
            </w:r>
          </w:p>
        </w:tc>
        <w:tc>
          <w:tcPr>
            <w:tcW w:w="0" w:type="dxa"/>
            <w:vAlign w:val="bottom"/>
          </w:tcPr>
          <w:p>
            <w:pPr>
              <w:spacing w:after="0"/>
              <w:rPr>
                <w:sz w:val="1"/>
                <w:szCs w:val="1"/>
                <w:color w:val="auto"/>
              </w:rPr>
            </w:pPr>
          </w:p>
        </w:tc>
      </w:tr>
      <w:tr>
        <w:trPr>
          <w:trHeight w:val="175"/>
        </w:trPr>
        <w:tc>
          <w:tcPr>
            <w:tcW w:w="32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(250,036 )</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(250,036 )</w:t>
            </w: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Currency translation adjustments, net of tax</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1,243</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14,458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14,458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upon exercise of stock</w:t>
            </w: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87,104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240" w:type="dxa"/>
            <w:vAlign w:val="bottom"/>
          </w:tcPr>
          <w:p>
            <w:pPr>
              <w:ind w:left="200"/>
              <w:spacing w:after="0"/>
              <w:rPr>
                <w:sz w:val="20"/>
                <w:szCs w:val="20"/>
                <w:color w:val="auto"/>
              </w:rPr>
            </w:pPr>
            <w:r>
              <w:rPr>
                <w:rFonts w:ascii="Arial" w:cs="Arial" w:eastAsia="Arial" w:hAnsi="Arial"/>
                <w:sz w:val="13"/>
                <w:szCs w:val="13"/>
                <w:color w:val="auto"/>
                <w:w w:val="99"/>
              </w:rPr>
              <w:t>Issuance of common stock upon vesting of restricted</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200"/>
              <w:spacing w:after="0"/>
              <w:rPr>
                <w:sz w:val="20"/>
                <w:szCs w:val="20"/>
                <w:color w:val="auto"/>
              </w:rPr>
            </w:pPr>
            <w:r>
              <w:rPr>
                <w:rFonts w:ascii="Arial" w:cs="Arial" w:eastAsia="Arial" w:hAnsi="Arial"/>
                <w:sz w:val="13"/>
                <w:szCs w:val="13"/>
                <w:color w:val="auto"/>
              </w:rPr>
              <w:t>stock units and restricted stock awards</w:t>
            </w:r>
          </w:p>
        </w:tc>
        <w:tc>
          <w:tcPr>
            <w:tcW w:w="820" w:type="dxa"/>
            <w:vAlign w:val="bottom"/>
          </w:tcPr>
          <w:p>
            <w:pPr>
              <w:jc w:val="right"/>
              <w:spacing w:after="0"/>
              <w:rPr>
                <w:sz w:val="20"/>
                <w:szCs w:val="20"/>
                <w:color w:val="auto"/>
              </w:rPr>
            </w:pPr>
            <w:r>
              <w:rPr>
                <w:rFonts w:ascii="Arial" w:cs="Arial" w:eastAsia="Arial" w:hAnsi="Arial"/>
                <w:sz w:val="13"/>
                <w:szCs w:val="13"/>
                <w:color w:val="auto"/>
              </w:rPr>
              <w:t>2,376,709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Tax withholding related to vesting of restricted stock</w:t>
            </w: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units</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(5,470 )</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(5,470 )</w:t>
            </w:r>
          </w:p>
        </w:tc>
        <w:tc>
          <w:tcPr>
            <w:tcW w:w="0" w:type="dxa"/>
            <w:vAlign w:val="bottom"/>
          </w:tcPr>
          <w:p>
            <w:pPr>
              <w:spacing w:after="0"/>
              <w:rPr>
                <w:sz w:val="1"/>
                <w:szCs w:val="1"/>
                <w:color w:val="auto"/>
              </w:rPr>
            </w:pPr>
          </w:p>
        </w:tc>
      </w:tr>
      <w:tr>
        <w:trPr>
          <w:trHeight w:val="151"/>
        </w:trPr>
        <w:tc>
          <w:tcPr>
            <w:tcW w:w="3240" w:type="dxa"/>
            <w:vAlign w:val="bottom"/>
          </w:tcPr>
          <w:p>
            <w:pPr>
              <w:ind w:left="200"/>
              <w:spacing w:after="0"/>
              <w:rPr>
                <w:sz w:val="20"/>
                <w:szCs w:val="20"/>
                <w:color w:val="auto"/>
              </w:rPr>
            </w:pPr>
            <w:r>
              <w:rPr>
                <w:rFonts w:ascii="Arial" w:cs="Arial" w:eastAsia="Arial" w:hAnsi="Arial"/>
                <w:sz w:val="13"/>
                <w:szCs w:val="13"/>
                <w:color w:val="auto"/>
              </w:rPr>
              <w:t>Issuance of common stock in connection with</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200"/>
              <w:spacing w:after="0"/>
              <w:rPr>
                <w:sz w:val="20"/>
                <w:szCs w:val="20"/>
                <w:color w:val="auto"/>
              </w:rPr>
            </w:pPr>
            <w:r>
              <w:rPr>
                <w:rFonts w:ascii="Arial" w:cs="Arial" w:eastAsia="Arial" w:hAnsi="Arial"/>
                <w:sz w:val="13"/>
                <w:szCs w:val="13"/>
                <w:color w:val="auto"/>
              </w:rPr>
              <w:t>employee stock purchase plan</w:t>
            </w:r>
          </w:p>
        </w:tc>
        <w:tc>
          <w:tcPr>
            <w:tcW w:w="820" w:type="dxa"/>
            <w:vAlign w:val="bottom"/>
          </w:tcPr>
          <w:p>
            <w:pPr>
              <w:jc w:val="right"/>
              <w:spacing w:after="0"/>
              <w:rPr>
                <w:sz w:val="20"/>
                <w:szCs w:val="20"/>
                <w:color w:val="auto"/>
              </w:rPr>
            </w:pPr>
            <w:r>
              <w:rPr>
                <w:rFonts w:ascii="Arial" w:cs="Arial" w:eastAsia="Arial" w:hAnsi="Arial"/>
                <w:sz w:val="13"/>
                <w:szCs w:val="13"/>
                <w:color w:val="auto"/>
              </w:rPr>
              <w:t>363,209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Settlement of prepaid forward shares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(5,077,400 )</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(1 )</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98,858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5,077,400</w:t>
            </w: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(98,857 )</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240" w:type="dxa"/>
            <w:vAlign w:val="bottom"/>
          </w:tcPr>
          <w:p>
            <w:pPr>
              <w:ind w:left="200"/>
              <w:spacing w:after="0"/>
              <w:rPr>
                <w:sz w:val="20"/>
                <w:szCs w:val="20"/>
                <w:color w:val="auto"/>
              </w:rPr>
            </w:pPr>
            <w:r>
              <w:rPr>
                <w:rFonts w:ascii="Arial" w:cs="Arial" w:eastAsia="Arial" w:hAnsi="Arial"/>
                <w:sz w:val="13"/>
                <w:szCs w:val="13"/>
                <w:color w:val="auto"/>
              </w:rPr>
              <w:t>Impact of the adoption of new accounting standards</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(3,665 )</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(3,665 )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85,990,499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1,088,590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(1,013 )</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(1,629,843 )</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5,077,400</w:t>
            </w: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(98,857 )</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(641,114 )</w:t>
            </w:r>
          </w:p>
        </w:tc>
        <w:tc>
          <w:tcPr>
            <w:tcW w:w="0" w:type="dxa"/>
            <w:vAlign w:val="bottom"/>
          </w:tcPr>
          <w:p>
            <w:pPr>
              <w:spacing w:after="0"/>
              <w:rPr>
                <w:sz w:val="1"/>
                <w:szCs w:val="1"/>
                <w:color w:val="auto"/>
              </w:rPr>
            </w:pPr>
          </w:p>
        </w:tc>
      </w:tr>
      <w:tr>
        <w:trPr>
          <w:trHeight w:val="175"/>
        </w:trPr>
        <w:tc>
          <w:tcPr>
            <w:tcW w:w="32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152,735</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152,735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Currency translation adjustments, net of tax</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00"/>
              <w:spacing w:after="0"/>
              <w:rPr>
                <w:sz w:val="20"/>
                <w:szCs w:val="20"/>
                <w:color w:val="auto"/>
              </w:rPr>
            </w:pPr>
            <w:r>
              <w:rPr>
                <w:rFonts w:ascii="Arial" w:cs="Arial" w:eastAsia="Arial" w:hAnsi="Arial"/>
                <w:sz w:val="13"/>
                <w:szCs w:val="13"/>
                <w:color w:val="auto"/>
                <w:w w:val="99"/>
              </w:rPr>
              <w:t>Fair value adjustments of cash flow hedge, net of tax</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2,749</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2,749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37,318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240" w:type="dxa"/>
            <w:vAlign w:val="bottom"/>
          </w:tcPr>
          <w:p>
            <w:pPr>
              <w:ind w:left="200"/>
              <w:spacing w:after="0"/>
              <w:rPr>
                <w:sz w:val="20"/>
                <w:szCs w:val="20"/>
                <w:color w:val="auto"/>
              </w:rPr>
            </w:pPr>
            <w:r>
              <w:rPr>
                <w:rFonts w:ascii="Arial" w:cs="Arial" w:eastAsia="Arial" w:hAnsi="Arial"/>
                <w:sz w:val="13"/>
                <w:szCs w:val="13"/>
                <w:color w:val="auto"/>
              </w:rPr>
              <w:t>Issuance of common stock upon exercise of stock</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200"/>
              <w:spacing w:after="0"/>
              <w:rPr>
                <w:sz w:val="20"/>
                <w:szCs w:val="20"/>
                <w:color w:val="auto"/>
              </w:rPr>
            </w:pPr>
            <w:r>
              <w:rPr>
                <w:rFonts w:ascii="Arial" w:cs="Arial" w:eastAsia="Arial" w:hAnsi="Arial"/>
                <w:sz w:val="13"/>
                <w:szCs w:val="13"/>
                <w:color w:val="auto"/>
              </w:rPr>
              <w:t>options</w:t>
            </w:r>
          </w:p>
        </w:tc>
        <w:tc>
          <w:tcPr>
            <w:tcW w:w="820" w:type="dxa"/>
            <w:vAlign w:val="bottom"/>
          </w:tcPr>
          <w:p>
            <w:pPr>
              <w:jc w:val="right"/>
              <w:spacing w:after="0"/>
              <w:rPr>
                <w:sz w:val="20"/>
                <w:szCs w:val="20"/>
                <w:color w:val="auto"/>
              </w:rPr>
            </w:pPr>
            <w:r>
              <w:rPr>
                <w:rFonts w:ascii="Arial" w:cs="Arial" w:eastAsia="Arial" w:hAnsi="Arial"/>
                <w:sz w:val="13"/>
                <w:szCs w:val="13"/>
                <w:color w:val="auto"/>
              </w:rPr>
              <w:t>591,930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9"/>
              </w:rPr>
              <w:t>Issuance of common stock upon vesting of restricted</w:t>
            </w: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units and restricted stock awards</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1,346,008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240" w:type="dxa"/>
            <w:vAlign w:val="bottom"/>
          </w:tcPr>
          <w:p>
            <w:pPr>
              <w:ind w:left="200"/>
              <w:spacing w:after="0"/>
              <w:rPr>
                <w:sz w:val="20"/>
                <w:szCs w:val="20"/>
                <w:color w:val="auto"/>
              </w:rPr>
            </w:pPr>
            <w:r>
              <w:rPr>
                <w:rFonts w:ascii="Arial" w:cs="Arial" w:eastAsia="Arial" w:hAnsi="Arial"/>
                <w:sz w:val="13"/>
                <w:szCs w:val="13"/>
                <w:color w:val="auto"/>
              </w:rPr>
              <w:t>Tax withholding related to vesting of restricted stock</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200"/>
              <w:spacing w:after="0"/>
              <w:rPr>
                <w:sz w:val="20"/>
                <w:szCs w:val="20"/>
                <w:color w:val="auto"/>
              </w:rPr>
            </w:pPr>
            <w:r>
              <w:rPr>
                <w:rFonts w:ascii="Arial" w:cs="Arial" w:eastAsia="Arial" w:hAnsi="Arial"/>
                <w:sz w:val="13"/>
                <w:szCs w:val="13"/>
                <w:color w:val="auto"/>
              </w:rPr>
              <w:t>units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(6,708 )</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(6,708 )</w:t>
            </w:r>
          </w:p>
        </w:tc>
        <w:tc>
          <w:tcPr>
            <w:tcW w:w="0" w:type="dxa"/>
            <w:vAlign w:val="bottom"/>
          </w:tcPr>
          <w:p>
            <w:pPr>
              <w:spacing w:after="0"/>
              <w:rPr>
                <w:sz w:val="1"/>
                <w:szCs w:val="1"/>
                <w:color w:val="auto"/>
              </w:rPr>
            </w:pPr>
          </w:p>
        </w:tc>
      </w:tr>
      <w:tr>
        <w:trPr>
          <w:trHeight w:val="151"/>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in connection with</w:t>
            </w: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employee stock purchase plan</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48,560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00"/>
              <w:spacing w:after="0"/>
              <w:rPr>
                <w:sz w:val="20"/>
                <w:szCs w:val="20"/>
                <w:color w:val="auto"/>
              </w:rPr>
            </w:pPr>
            <w:r>
              <w:rPr>
                <w:rFonts w:ascii="Arial" w:cs="Arial" w:eastAsia="Arial" w:hAnsi="Arial"/>
                <w:sz w:val="13"/>
                <w:szCs w:val="13"/>
                <w:color w:val="auto"/>
              </w:rPr>
              <w:t>Settlement of convertible notes</w:t>
            </w:r>
          </w:p>
        </w:tc>
        <w:tc>
          <w:tcPr>
            <w:tcW w:w="820" w:type="dxa"/>
            <w:vAlign w:val="bottom"/>
          </w:tcPr>
          <w:p>
            <w:pPr>
              <w:jc w:val="right"/>
              <w:spacing w:after="0"/>
              <w:rPr>
                <w:sz w:val="20"/>
                <w:szCs w:val="20"/>
                <w:color w:val="auto"/>
              </w:rPr>
            </w:pPr>
            <w:r>
              <w:rPr>
                <w:rFonts w:ascii="Arial" w:cs="Arial" w:eastAsia="Arial" w:hAnsi="Arial"/>
                <w:sz w:val="13"/>
                <w:szCs w:val="13"/>
                <w:color w:val="auto"/>
              </w:rPr>
              <w:t>24,353,006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154,439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154,441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Settlement of prepaid forward shares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(1,538,049 )</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29,946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1,538,049</w:t>
            </w: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(29,946 )</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240" w:type="dxa"/>
            <w:vAlign w:val="bottom"/>
          </w:tcPr>
          <w:p>
            <w:pPr>
              <w:ind w:left="200"/>
              <w:spacing w:after="0"/>
              <w:rPr>
                <w:sz w:val="20"/>
                <w:szCs w:val="20"/>
                <w:color w:val="auto"/>
              </w:rPr>
            </w:pPr>
            <w:r>
              <w:rPr>
                <w:rFonts w:ascii="Arial" w:cs="Arial" w:eastAsia="Arial" w:hAnsi="Arial"/>
                <w:sz w:val="13"/>
                <w:szCs w:val="13"/>
                <w:color w:val="auto"/>
              </w:rPr>
              <w:t>Impact of the adoption of ASU 2020-06</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(47,423 )</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25,480</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(21,943 )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110,791,954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1,258,477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1,789</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(1,451,628 )</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6,615,449</w:t>
            </w: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(128,803 )</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(320,154 )</w:t>
            </w:r>
          </w:p>
        </w:tc>
        <w:tc>
          <w:tcPr>
            <w:tcW w:w="0" w:type="dxa"/>
            <w:vAlign w:val="bottom"/>
          </w:tcPr>
          <w:p>
            <w:pPr>
              <w:spacing w:after="0"/>
              <w:rPr>
                <w:sz w:val="1"/>
                <w:szCs w:val="1"/>
                <w:color w:val="auto"/>
              </w:rPr>
            </w:pPr>
          </w:p>
        </w:tc>
      </w:tr>
      <w:tr>
        <w:trPr>
          <w:trHeight w:val="175"/>
        </w:trPr>
        <w:tc>
          <w:tcPr>
            <w:tcW w:w="32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92,059</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92,059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Currency translation adjustments, net of tax</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(265 )</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(265 )</w:t>
            </w:r>
          </w:p>
        </w:tc>
        <w:tc>
          <w:tcPr>
            <w:tcW w:w="0" w:type="dxa"/>
            <w:vAlign w:val="bottom"/>
          </w:tcPr>
          <w:p>
            <w:pPr>
              <w:spacing w:after="0"/>
              <w:rPr>
                <w:sz w:val="1"/>
                <w:szCs w:val="1"/>
                <w:color w:val="auto"/>
              </w:rPr>
            </w:pPr>
          </w:p>
        </w:tc>
      </w:tr>
      <w:tr>
        <w:trPr>
          <w:trHeight w:val="175"/>
        </w:trPr>
        <w:tc>
          <w:tcPr>
            <w:tcW w:w="3240" w:type="dxa"/>
            <w:vAlign w:val="bottom"/>
          </w:tcPr>
          <w:p>
            <w:pPr>
              <w:ind w:left="200"/>
              <w:spacing w:after="0"/>
              <w:rPr>
                <w:sz w:val="20"/>
                <w:szCs w:val="20"/>
                <w:color w:val="auto"/>
              </w:rPr>
            </w:pPr>
            <w:r>
              <w:rPr>
                <w:rFonts w:ascii="Arial" w:cs="Arial" w:eastAsia="Arial" w:hAnsi="Arial"/>
                <w:sz w:val="13"/>
                <w:szCs w:val="13"/>
                <w:color w:val="auto"/>
                <w:w w:val="97"/>
              </w:rPr>
              <w:t>Fair value adjustments of cash flow hedges, net of tax</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28,604</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28,604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19,065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240" w:type="dxa"/>
            <w:vAlign w:val="bottom"/>
          </w:tcPr>
          <w:p>
            <w:pPr>
              <w:ind w:left="200"/>
              <w:spacing w:after="0"/>
              <w:rPr>
                <w:sz w:val="20"/>
                <w:szCs w:val="20"/>
                <w:color w:val="auto"/>
              </w:rPr>
            </w:pPr>
            <w:r>
              <w:rPr>
                <w:rFonts w:ascii="Arial" w:cs="Arial" w:eastAsia="Arial" w:hAnsi="Arial"/>
                <w:sz w:val="13"/>
                <w:szCs w:val="13"/>
                <w:color w:val="auto"/>
              </w:rPr>
              <w:t>Issuance of common stock upon exercise of stock</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200"/>
              <w:spacing w:after="0"/>
              <w:rPr>
                <w:sz w:val="20"/>
                <w:szCs w:val="20"/>
                <w:color w:val="auto"/>
              </w:rPr>
            </w:pPr>
            <w:r>
              <w:rPr>
                <w:rFonts w:ascii="Arial" w:cs="Arial" w:eastAsia="Arial" w:hAnsi="Arial"/>
                <w:sz w:val="13"/>
                <w:szCs w:val="13"/>
                <w:color w:val="auto"/>
              </w:rPr>
              <w:t>options</w:t>
            </w:r>
          </w:p>
        </w:tc>
        <w:tc>
          <w:tcPr>
            <w:tcW w:w="820" w:type="dxa"/>
            <w:vAlign w:val="bottom"/>
          </w:tcPr>
          <w:p>
            <w:pPr>
              <w:jc w:val="right"/>
              <w:spacing w:after="0"/>
              <w:rPr>
                <w:sz w:val="20"/>
                <w:szCs w:val="20"/>
                <w:color w:val="auto"/>
              </w:rPr>
            </w:pPr>
            <w:r>
              <w:rPr>
                <w:rFonts w:ascii="Arial" w:cs="Arial" w:eastAsia="Arial" w:hAnsi="Arial"/>
                <w:sz w:val="13"/>
                <w:szCs w:val="13"/>
                <w:color w:val="auto"/>
              </w:rPr>
              <w:t>758,681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9"/>
              </w:rPr>
              <w:t>Issuance of common stock upon vesting of restricted</w:t>
            </w: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units</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1,181,457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240" w:type="dxa"/>
            <w:vAlign w:val="bottom"/>
          </w:tcPr>
          <w:p>
            <w:pPr>
              <w:ind w:left="200"/>
              <w:spacing w:after="0"/>
              <w:rPr>
                <w:sz w:val="20"/>
                <w:szCs w:val="20"/>
                <w:color w:val="auto"/>
              </w:rPr>
            </w:pPr>
            <w:r>
              <w:rPr>
                <w:rFonts w:ascii="Arial" w:cs="Arial" w:eastAsia="Arial" w:hAnsi="Arial"/>
                <w:sz w:val="13"/>
                <w:szCs w:val="13"/>
                <w:color w:val="auto"/>
              </w:rPr>
              <w:t>Tax withholding related to vesting of restricted stock</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200"/>
              <w:spacing w:after="0"/>
              <w:rPr>
                <w:sz w:val="20"/>
                <w:szCs w:val="20"/>
                <w:color w:val="auto"/>
              </w:rPr>
            </w:pPr>
            <w:r>
              <w:rPr>
                <w:rFonts w:ascii="Arial" w:cs="Arial" w:eastAsia="Arial" w:hAnsi="Arial"/>
                <w:sz w:val="13"/>
                <w:szCs w:val="13"/>
                <w:color w:val="auto"/>
              </w:rPr>
              <w:t>units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(8,257 )</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(8,257 )</w:t>
            </w:r>
          </w:p>
        </w:tc>
        <w:tc>
          <w:tcPr>
            <w:tcW w:w="0" w:type="dxa"/>
            <w:vAlign w:val="bottom"/>
          </w:tcPr>
          <w:p>
            <w:pPr>
              <w:spacing w:after="0"/>
              <w:rPr>
                <w:sz w:val="1"/>
                <w:szCs w:val="1"/>
                <w:color w:val="auto"/>
              </w:rPr>
            </w:pPr>
          </w:p>
        </w:tc>
      </w:tr>
      <w:tr>
        <w:trPr>
          <w:trHeight w:val="151"/>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in connection with</w:t>
            </w: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employee stock purchase plan</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52,489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00"/>
              <w:spacing w:after="0"/>
              <w:rPr>
                <w:sz w:val="20"/>
                <w:szCs w:val="20"/>
                <w:color w:val="auto"/>
              </w:rPr>
            </w:pPr>
            <w:r>
              <w:rPr>
                <w:rFonts w:ascii="Arial" w:cs="Arial" w:eastAsia="Arial" w:hAnsi="Arial"/>
                <w:sz w:val="13"/>
                <w:szCs w:val="13"/>
                <w:color w:val="auto"/>
              </w:rPr>
              <w:t>Settlement of convertible notes</w:t>
            </w:r>
          </w:p>
        </w:tc>
        <w:tc>
          <w:tcPr>
            <w:tcW w:w="820" w:type="dxa"/>
            <w:vAlign w:val="bottom"/>
          </w:tcPr>
          <w:p>
            <w:pPr>
              <w:jc w:val="right"/>
              <w:spacing w:after="0"/>
              <w:rPr>
                <w:sz w:val="20"/>
                <w:szCs w:val="20"/>
                <w:color w:val="auto"/>
              </w:rPr>
            </w:pPr>
            <w:r>
              <w:rPr>
                <w:rFonts w:ascii="Arial" w:cs="Arial" w:eastAsia="Arial" w:hAnsi="Arial"/>
                <w:sz w:val="13"/>
                <w:szCs w:val="13"/>
                <w:color w:val="auto"/>
              </w:rPr>
              <w:t>17,131,332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102,786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102,788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Settlement of prepaid forward shares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(575,100 )</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575,100</w:t>
            </w: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(11,197 )</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240" w:type="dxa"/>
            <w:vAlign w:val="bottom"/>
          </w:tcPr>
          <w:p>
            <w:pPr>
              <w:ind w:left="200"/>
              <w:spacing w:after="0"/>
              <w:rPr>
                <w:sz w:val="20"/>
                <w:szCs w:val="20"/>
                <w:color w:val="auto"/>
              </w:rPr>
            </w:pPr>
            <w:r>
              <w:rPr>
                <w:rFonts w:ascii="Arial" w:cs="Arial" w:eastAsia="Arial" w:hAnsi="Arial"/>
                <w:sz w:val="13"/>
                <w:szCs w:val="13"/>
                <w:color w:val="auto"/>
              </w:rPr>
              <w:t>Repurchase of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(1,500,000 )</w:t>
            </w: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1,500,000</w:t>
            </w: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(18,375 )</w:t>
            </w:r>
          </w:p>
        </w:tc>
        <w:tc>
          <w:tcPr>
            <w:tcW w:w="16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(18,375 )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127,840,813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   1,385,933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30,128</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3"/>
              </w:rPr>
              <w:t>$ (1,359,569 )</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8,690,549</w:t>
            </w:r>
          </w:p>
        </w:tc>
        <w:tc>
          <w:tcPr>
            <w:tcW w:w="136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   (158,375 )   $</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(101,869 )</w:t>
            </w: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-24765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-7620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-7620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12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Gogo (“we”, “us,” or “our”) is the world’s largest provider of broadband connectivity services for the 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expect to commercially launch our fourth ATG network – Gogo 5G – in the fourth quarter of 2023. 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business aviation (“Global Broadband”). The service will use an electronically steered antenna, specifically designed to address a broad range of business aviation aircraft, operating on a low earth orbit (“LEO”) satellite network. The antenna will be designed with Hughes Network Systems, LLC (“Hughes”) and deployed on a LEO satellite network operated by Network Access Associates Limited (“OneWeb”).</w:t>
      </w:r>
    </w:p>
    <w:p>
      <w:pPr>
        <w:spacing w:after="0" w:line="75"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On December 1, 2020, we completed the previously announced sale of our commercial aviation (“CA”) business to a subsidiary of Intelsat Jackson Holdings S.A. (“Intelsat”) for a purchase price of $400.0 million in cash, subject to certain adjustments (the “Transaction”).</w:t>
      </w:r>
    </w:p>
    <w:p>
      <w:pPr>
        <w:spacing w:after="0" w:line="62"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At the closing of the Transaction, the parties entered into certain ancillary agreements, including a transition services agreement, an intellectual property license agreement and commercial agreements. The transition services agreement has been terminated. The commercial agreements include an ATG network sharing agreement with a 10-year term, pursuant to which we provide certain in-flight connectivity services on our current ATG network and, when available, our Gogo 5G network, subject to certain revenue sharing obligations. Under the ATG network sharing agreement, Intelsat has exclusive access to the ATG network for commercial aviation in North America, subject to minimum revenue guarantees.</w:t>
      </w:r>
    </w:p>
    <w:p>
      <w:pPr>
        <w:spacing w:after="0" w:line="6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As a result of the Transaction, the CA business is reported in discontinued operations and financial statements for the years ended December 31, 2021 and 2020 have been conformed to present the CA business as a discontinued operation. There was no discontinued operations activity for the CA business after December 31, 2021. We report the financial results of discontinued operations separately from continuing operations to distinguish the financial impact of disposal transactions from ongoing operations. Discontinued operations reporting occurs only when the disposal of a component or a group of components (i) meets the held-for-sale classification criteria or is disposed of by sale or other than by sale, and (ii) represents a strategic shift that will have a major effect on our operations and financial results.</w:t>
      </w:r>
    </w:p>
    <w:p>
      <w:pPr>
        <w:spacing w:after="0" w:line="83"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Unless otherwise noted, discussion in these Notes to Consolidated Financial Statements refers to our continuing operations. Refer to Note 20, “Discontinued Operations,” for further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360" w:firstLine="509"/>
        <w:spacing w:after="0" w:line="281" w:lineRule="auto"/>
        <w:rPr>
          <w:sz w:val="20"/>
          <w:szCs w:val="20"/>
          <w:color w:val="auto"/>
        </w:rPr>
      </w:pPr>
      <w:r>
        <w:rPr>
          <w:rFonts w:ascii="Arial" w:cs="Arial" w:eastAsia="Arial" w:hAnsi="Arial"/>
          <w:sz w:val="18"/>
          <w:szCs w:val="18"/>
          <w:b w:val="1"/>
          <w:bCs w:val="1"/>
          <w:color w:val="221E1F"/>
        </w:rPr>
        <w:t xml:space="preserve">Principles of Consolidation </w:t>
      </w:r>
      <w:r>
        <w:rPr>
          <w:rFonts w:ascii="Arial" w:cs="Arial" w:eastAsia="Arial" w:hAnsi="Arial"/>
          <w:sz w:val="18"/>
          <w:szCs w:val="18"/>
          <w:i w:val="1"/>
          <w:iCs w:val="1"/>
          <w:color w:val="221E1F"/>
        </w:rPr>
        <w:t>–</w:t>
      </w:r>
      <w:r>
        <w:rPr>
          <w:rFonts w:ascii="Arial" w:cs="Arial" w:eastAsia="Arial" w:hAnsi="Arial"/>
          <w:sz w:val="18"/>
          <w:szCs w:val="18"/>
          <w:b w:val="1"/>
          <w:bCs w:val="1"/>
          <w:color w:val="221E1F"/>
        </w:rPr>
        <w:t xml:space="preserve"> </w:t>
      </w:r>
      <w:r>
        <w:rPr>
          <w:rFonts w:ascii="Arial" w:cs="Arial" w:eastAsia="Arial" w:hAnsi="Arial"/>
          <w:sz w:val="18"/>
          <w:szCs w:val="18"/>
          <w:color w:val="221E1F"/>
        </w:rPr>
        <w:t>The consolidated financial statements include our wholly owned subsidiaries. All intercompany transactions and</w:t>
      </w:r>
      <w:r>
        <w:rPr>
          <w:rFonts w:ascii="Arial" w:cs="Arial" w:eastAsia="Arial" w:hAnsi="Arial"/>
          <w:sz w:val="18"/>
          <w:szCs w:val="18"/>
          <w:b w:val="1"/>
          <w:bCs w:val="1"/>
          <w:color w:val="221E1F"/>
        </w:rPr>
        <w:t xml:space="preserve"> </w:t>
      </w:r>
      <w:r>
        <w:rPr>
          <w:rFonts w:ascii="Arial" w:cs="Arial" w:eastAsia="Arial" w:hAnsi="Arial"/>
          <w:sz w:val="18"/>
          <w:szCs w:val="18"/>
          <w:color w:val="221E1F"/>
        </w:rPr>
        <w:t>account balances have been eliminated.</w:t>
      </w:r>
    </w:p>
    <w:p>
      <w:pPr>
        <w:spacing w:after="0" w:line="5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Prior to the closing of the Transaction, we historically reported our results of operations in three segments: Commercial Aviation-North America (“CA-NA”), Commercial Aviation-Rest of World (“CA-ROW”) and Business Aviation. We managed and reported these businesses separately, as they generally did not share the same customer base, had different products, pricing and expense structures, and measured operating performance and allocated resources on different bases. As a result of the Transaction, we operate in a single distinct business segment, Business Aviation, for which operating performance is measured and resources are allocated on a consolidated basis, consistent with the financial information regularly reviewed by the chief operating decision maker, our CEO. Therefore, we now report one business segment, comprised of our continuing operations. As we do not have multiple segments, we do not present segment information in this Annual Report on Form 10-K.</w:t>
      </w:r>
    </w:p>
    <w:p>
      <w:pPr>
        <w:spacing w:after="0" w:line="69" w:lineRule="exact"/>
        <w:rPr>
          <w:sz w:val="20"/>
          <w:szCs w:val="20"/>
          <w:color w:val="auto"/>
        </w:rPr>
      </w:pPr>
    </w:p>
    <w:p>
      <w:pPr>
        <w:ind w:right="160" w:firstLine="509"/>
        <w:spacing w:after="0" w:line="260" w:lineRule="auto"/>
        <w:rPr>
          <w:sz w:val="20"/>
          <w:szCs w:val="20"/>
          <w:color w:val="auto"/>
        </w:rPr>
      </w:pPr>
      <w:r>
        <w:rPr>
          <w:rFonts w:ascii="Arial" w:cs="Arial" w:eastAsia="Arial" w:hAnsi="Arial"/>
          <w:sz w:val="18"/>
          <w:szCs w:val="18"/>
          <w:b w:val="1"/>
          <w:bCs w:val="1"/>
          <w:color w:val="221E1F"/>
        </w:rPr>
        <w:t xml:space="preserve">Use of Estimates </w:t>
      </w:r>
      <w:r>
        <w:rPr>
          <w:rFonts w:ascii="Arial" w:cs="Arial" w:eastAsia="Arial" w:hAnsi="Arial"/>
          <w:sz w:val="18"/>
          <w:szCs w:val="18"/>
          <w:color w:val="221E1F"/>
        </w:rPr>
        <w:t>- The preparation of financial statements in conformity with accounting principles generally accepted in the United States of</w:t>
      </w:r>
      <w:r>
        <w:rPr>
          <w:rFonts w:ascii="Arial" w:cs="Arial" w:eastAsia="Arial" w:hAnsi="Arial"/>
          <w:sz w:val="18"/>
          <w:szCs w:val="18"/>
          <w:b w:val="1"/>
          <w:bCs w:val="1"/>
          <w:color w:val="221E1F"/>
        </w:rPr>
        <w:t xml:space="preserve"> </w:t>
      </w:r>
      <w:r>
        <w:rPr>
          <w:rFonts w:ascii="Arial" w:cs="Arial" w:eastAsia="Arial" w:hAnsi="Arial"/>
          <w:sz w:val="18"/>
          <w:szCs w:val="18"/>
          <w:color w:val="221E1F"/>
        </w:rPr>
        <w:t>America (“GAAP”)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On an ongoing basis, management evaluates the significant estimates and bases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4" w:name="page65"/>
    <w:bookmarkEnd w:id="64"/>
    <w:p>
      <w:pPr>
        <w:ind w:right="120"/>
        <w:spacing w:after="0" w:line="277" w:lineRule="auto"/>
        <w:rPr>
          <w:sz w:val="20"/>
          <w:szCs w:val="20"/>
          <w:color w:val="auto"/>
        </w:rPr>
      </w:pPr>
      <w:r>
        <w:rPr>
          <w:rFonts w:ascii="Arial" w:cs="Arial" w:eastAsia="Arial" w:hAnsi="Arial"/>
          <w:sz w:val="18"/>
          <w:szCs w:val="18"/>
          <w:color w:val="221E1F"/>
        </w:rPr>
        <w:t>such estimates on historical experience and on various other assumptions believed to be reasonable under the circumstances. However, actual results could differ materially from those estimates.</w:t>
      </w:r>
    </w:p>
    <w:p>
      <w:pPr>
        <w:spacing w:after="0" w:line="58" w:lineRule="exact"/>
        <w:rPr>
          <w:sz w:val="20"/>
          <w:szCs w:val="20"/>
          <w:color w:val="auto"/>
        </w:rPr>
      </w:pPr>
    </w:p>
    <w:p>
      <w:pPr>
        <w:ind w:right="220" w:firstLine="509"/>
        <w:spacing w:after="0" w:line="280" w:lineRule="auto"/>
        <w:rPr>
          <w:sz w:val="20"/>
          <w:szCs w:val="20"/>
          <w:color w:val="auto"/>
        </w:rPr>
      </w:pPr>
      <w:r>
        <w:rPr>
          <w:rFonts w:ascii="Arial" w:cs="Arial" w:eastAsia="Arial" w:hAnsi="Arial"/>
          <w:sz w:val="17"/>
          <w:szCs w:val="17"/>
          <w:b w:val="1"/>
          <w:bCs w:val="1"/>
          <w:color w:val="221E1F"/>
        </w:rPr>
        <w:t xml:space="preserve">Significant Risks and Uncertainties </w:t>
      </w:r>
      <w:r>
        <w:rPr>
          <w:rFonts w:ascii="Arial" w:cs="Arial" w:eastAsia="Arial" w:hAnsi="Arial"/>
          <w:sz w:val="17"/>
          <w:szCs w:val="17"/>
          <w:color w:val="221E1F"/>
        </w:rPr>
        <w:t>- Our operations are subject to certain risks and uncertainties, including without limitation those associated</w:t>
      </w:r>
      <w:r>
        <w:rPr>
          <w:rFonts w:ascii="Arial" w:cs="Arial" w:eastAsia="Arial" w:hAnsi="Arial"/>
          <w:sz w:val="17"/>
          <w:szCs w:val="17"/>
          <w:b w:val="1"/>
          <w:bCs w:val="1"/>
          <w:color w:val="221E1F"/>
        </w:rPr>
        <w:t xml:space="preserve"> </w:t>
      </w:r>
      <w:r>
        <w:rPr>
          <w:rFonts w:ascii="Arial" w:cs="Arial" w:eastAsia="Arial" w:hAnsi="Arial"/>
          <w:sz w:val="17"/>
          <w:szCs w:val="17"/>
          <w:color w:val="221E1F"/>
        </w:rPr>
        <w:t>with fluctuations in operating results, implementation of our technology roadmap, strategic alliances, relationships with customers, suppliers and dealers, supply chain disruptions, funding of our growth, financing terms that may restrict operations, regulatory issues, competition, the economy, technology trends, evolving industry standards and other events that may impact the demand for air travel.</w:t>
      </w:r>
    </w:p>
    <w:p>
      <w:pPr>
        <w:spacing w:after="0" w:line="59"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b w:val="1"/>
          <w:bCs w:val="1"/>
          <w:color w:val="221E1F"/>
        </w:rPr>
        <w:t xml:space="preserve">Cash, Cash Equivalents and Short-Term Investments - </w:t>
      </w:r>
      <w:r>
        <w:rPr>
          <w:rFonts w:ascii="Arial" w:cs="Arial" w:eastAsia="Arial" w:hAnsi="Arial"/>
          <w:sz w:val="18"/>
          <w:szCs w:val="18"/>
          <w:color w:val="221E1F"/>
        </w:rPr>
        <w:t>We consider cash and cash equivalents to be short-term, highly liquid investments that</w:t>
      </w:r>
      <w:r>
        <w:rPr>
          <w:rFonts w:ascii="Arial" w:cs="Arial" w:eastAsia="Arial" w:hAnsi="Arial"/>
          <w:sz w:val="18"/>
          <w:szCs w:val="18"/>
          <w:b w:val="1"/>
          <w:bCs w:val="1"/>
          <w:color w:val="221E1F"/>
        </w:rPr>
        <w:t xml:space="preserve"> </w:t>
      </w:r>
      <w:r>
        <w:rPr>
          <w:rFonts w:ascii="Arial" w:cs="Arial" w:eastAsia="Arial" w:hAnsi="Arial"/>
          <w:sz w:val="18"/>
          <w:szCs w:val="18"/>
          <w:color w:val="221E1F"/>
        </w:rPr>
        <w:t>have the following characteristics: readily convertible to known amounts of cash, so near their maturities that there is insignificant risk of changes in value due to any changes in market interest rates, and having maturities of three months or less when purchased. We continually monitor positions with, and the credit quality of, the financial institutions with which we invest. The carrying amounts reported in the balance sheets for cash and cash equivalents approximate the fair market value of these assets.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We consider short-term investments to be investments with maturities of twelve months or less (but greater than three months).</w:t>
      </w:r>
    </w:p>
    <w:p>
      <w:pPr>
        <w:spacing w:after="0" w:line="113" w:lineRule="exact"/>
        <w:rPr>
          <w:sz w:val="20"/>
          <w:szCs w:val="20"/>
          <w:color w:val="auto"/>
        </w:rPr>
      </w:pPr>
    </w:p>
    <w:p>
      <w:pPr>
        <w:ind w:right="300" w:firstLine="509"/>
        <w:spacing w:after="0" w:line="265"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221E1F"/>
        </w:rPr>
        <w:t>Certain cash amounts are restricted as to use and are classified outside of cash and cash equivalents. Cash amounts with</w:t>
      </w:r>
      <w:r>
        <w:rPr>
          <w:rFonts w:ascii="Arial" w:cs="Arial" w:eastAsia="Arial" w:hAnsi="Arial"/>
          <w:sz w:val="18"/>
          <w:szCs w:val="18"/>
          <w:b w:val="1"/>
          <w:bCs w:val="1"/>
          <w:color w:val="auto"/>
        </w:rPr>
        <w:t xml:space="preserve"> </w:t>
      </w:r>
      <w:r>
        <w:rPr>
          <w:rFonts w:ascii="Arial" w:cs="Arial" w:eastAsia="Arial" w:hAnsi="Arial"/>
          <w:sz w:val="18"/>
          <w:szCs w:val="18"/>
          <w:color w:val="221E1F"/>
        </w:rPr>
        <w:t>restrictions of twelve months or less are included in Prepaid expenses and other current assets and amounts restricted for greater than twelve months are included in Other non-current assets in our consolidated balance sheets.</w:t>
      </w:r>
    </w:p>
    <w:p>
      <w:pPr>
        <w:spacing w:after="0" w:line="73"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Our restricted cash balances were $0.3 million and $0.4 million, respectively, as of December 31, 2022 and 2021, and consisted primarily of a letter of credit issued for the benefit of the landlord of our office location in Chicago, IL.</w:t>
      </w:r>
    </w:p>
    <w:p>
      <w:pPr>
        <w:spacing w:after="0" w:line="58" w:lineRule="exact"/>
        <w:rPr>
          <w:sz w:val="20"/>
          <w:szCs w:val="20"/>
          <w:color w:val="auto"/>
        </w:rPr>
      </w:pPr>
    </w:p>
    <w:p>
      <w:pPr>
        <w:ind w:right="300" w:firstLine="509"/>
        <w:spacing w:after="0" w:line="281" w:lineRule="auto"/>
        <w:rPr>
          <w:sz w:val="20"/>
          <w:szCs w:val="20"/>
          <w:color w:val="auto"/>
        </w:rPr>
      </w:pPr>
      <w:r>
        <w:rPr>
          <w:rFonts w:ascii="Arial" w:cs="Arial" w:eastAsia="Arial" w:hAnsi="Arial"/>
          <w:sz w:val="18"/>
          <w:szCs w:val="18"/>
          <w:b w:val="1"/>
          <w:bCs w:val="1"/>
          <w:color w:val="221E1F"/>
        </w:rPr>
        <w:t xml:space="preserve">Concentrations of Credit Risk - </w:t>
      </w:r>
      <w:r>
        <w:rPr>
          <w:rFonts w:ascii="Arial" w:cs="Arial" w:eastAsia="Arial" w:hAnsi="Arial"/>
          <w:sz w:val="18"/>
          <w:szCs w:val="18"/>
          <w:color w:val="221E1F"/>
        </w:rPr>
        <w:t>Financial instruments that potentially subject us to a concentration of credit risk consist principally of cash and</w:t>
      </w:r>
      <w:r>
        <w:rPr>
          <w:rFonts w:ascii="Arial" w:cs="Arial" w:eastAsia="Arial" w:hAnsi="Arial"/>
          <w:sz w:val="18"/>
          <w:szCs w:val="18"/>
          <w:b w:val="1"/>
          <w:bCs w:val="1"/>
          <w:color w:val="221E1F"/>
        </w:rPr>
        <w:t xml:space="preserve"> </w:t>
      </w:r>
      <w:r>
        <w:rPr>
          <w:rFonts w:ascii="Arial" w:cs="Arial" w:eastAsia="Arial" w:hAnsi="Arial"/>
          <w:sz w:val="18"/>
          <w:szCs w:val="18"/>
          <w:color w:val="221E1F"/>
        </w:rPr>
        <w:t>cash equivalents. All cash and cash equivalents are invested with creditworthy financial institutions.</w:t>
      </w:r>
    </w:p>
    <w:p>
      <w:pPr>
        <w:spacing w:after="0" w:line="59"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Our revenue from customers domiciled outside of the United States accounted for less than 10% of our total revenue for the years ended December 31, 2022, 2021 and 2020. Our long-lived assets outside of the United States were less than 10% of our consolidated long-lived assets as of December 31, 2022 and 2021.</w:t>
      </w:r>
    </w:p>
    <w:p>
      <w:pPr>
        <w:spacing w:after="0" w:line="71"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b w:val="1"/>
          <w:bCs w:val="1"/>
          <w:color w:val="221E1F"/>
        </w:rPr>
        <w:t xml:space="preserve">Income Tax - </w:t>
      </w:r>
      <w:r>
        <w:rPr>
          <w:rFonts w:ascii="Arial" w:cs="Arial" w:eastAsia="Arial" w:hAnsi="Arial"/>
          <w:sz w:val="18"/>
          <w:szCs w:val="18"/>
          <w:color w:val="221E1F"/>
        </w:rPr>
        <w:t>We use an asset- and liability-based approach in accounting for income taxes. Deferred income tax assets and liabilities are recorded</w:t>
      </w:r>
      <w:r>
        <w:rPr>
          <w:rFonts w:ascii="Arial" w:cs="Arial" w:eastAsia="Arial" w:hAnsi="Arial"/>
          <w:sz w:val="18"/>
          <w:szCs w:val="18"/>
          <w:b w:val="1"/>
          <w:bCs w:val="1"/>
          <w:color w:val="221E1F"/>
        </w:rPr>
        <w:t xml:space="preserve"> </w:t>
      </w:r>
      <w:r>
        <w:rPr>
          <w:rFonts w:ascii="Arial" w:cs="Arial" w:eastAsia="Arial" w:hAnsi="Arial"/>
          <w:sz w:val="18"/>
          <w:szCs w:val="18"/>
          <w:color w:val="221E1F"/>
        </w:rPr>
        <w:t xml:space="preserve">for tax attributes and are based on the differences between the financial statement and tax basis of assets and liabilities, applying enacted statutory tax rates in effect for the year in which the tax differences are expected to reverse. </w:t>
      </w:r>
      <w:r>
        <w:rPr>
          <w:rFonts w:ascii="Arial" w:cs="Arial" w:eastAsia="Arial" w:hAnsi="Arial"/>
          <w:sz w:val="18"/>
          <w:szCs w:val="18"/>
          <w:color w:val="000000"/>
        </w:rPr>
        <w:t>We regularly assess the need for a valuation allowance related to our deferred</w:t>
      </w:r>
      <w:r>
        <w:rPr>
          <w:rFonts w:ascii="Arial" w:cs="Arial" w:eastAsia="Arial" w:hAnsi="Arial"/>
          <w:sz w:val="18"/>
          <w:szCs w:val="18"/>
          <w:color w:val="221E1F"/>
        </w:rPr>
        <w:t xml:space="preserve"> </w:t>
      </w:r>
      <w:r>
        <w:rPr>
          <w:rFonts w:ascii="Arial" w:cs="Arial" w:eastAsia="Arial" w:hAnsi="Arial"/>
          <w:sz w:val="18"/>
          <w:szCs w:val="18"/>
          <w:color w:val="000000"/>
        </w:rPr>
        <w:t xml:space="preserve">income tax assets to determine, based on the weight of the available positive and negative evidence, whether it is more likely than not that some or all of such deferred assets will not be realized. </w:t>
      </w:r>
      <w:r>
        <w:rPr>
          <w:rFonts w:ascii="Arial" w:cs="Arial" w:eastAsia="Arial" w:hAnsi="Arial"/>
          <w:sz w:val="18"/>
          <w:szCs w:val="18"/>
          <w:color w:val="221E1F"/>
        </w:rPr>
        <w:t>We also consider the existence of any uncertain tax positions and, as necessary, provide a reserve for any uncertain</w:t>
      </w:r>
      <w:r>
        <w:rPr>
          <w:rFonts w:ascii="Arial" w:cs="Arial" w:eastAsia="Arial" w:hAnsi="Arial"/>
          <w:sz w:val="18"/>
          <w:szCs w:val="18"/>
          <w:color w:val="000000"/>
        </w:rPr>
        <w:t xml:space="preserve"> </w:t>
      </w:r>
      <w:r>
        <w:rPr>
          <w:rFonts w:ascii="Arial" w:cs="Arial" w:eastAsia="Arial" w:hAnsi="Arial"/>
          <w:sz w:val="18"/>
          <w:szCs w:val="18"/>
          <w:color w:val="221E1F"/>
        </w:rPr>
        <w:t>tax positions at each reporting date.</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15, “Income Tax,” for further details.</w:t>
      </w:r>
    </w:p>
    <w:p>
      <w:pPr>
        <w:spacing w:after="0" w:line="113" w:lineRule="exact"/>
        <w:rPr>
          <w:sz w:val="20"/>
          <w:szCs w:val="20"/>
          <w:color w:val="auto"/>
        </w:rPr>
      </w:pPr>
    </w:p>
    <w:p>
      <w:pPr>
        <w:jc w:val="both"/>
        <w:ind w:right="120" w:firstLine="509"/>
        <w:spacing w:after="0" w:line="265" w:lineRule="auto"/>
        <w:rPr>
          <w:sz w:val="20"/>
          <w:szCs w:val="20"/>
          <w:color w:val="auto"/>
        </w:rPr>
      </w:pPr>
      <w:r>
        <w:rPr>
          <w:rFonts w:ascii="Arial" w:cs="Arial" w:eastAsia="Arial" w:hAnsi="Arial"/>
          <w:sz w:val="18"/>
          <w:szCs w:val="18"/>
          <w:b w:val="1"/>
          <w:bCs w:val="1"/>
          <w:color w:val="221E1F"/>
        </w:rPr>
        <w:t xml:space="preserve">Inventories - </w:t>
      </w:r>
      <w:r>
        <w:rPr>
          <w:rFonts w:ascii="Arial" w:cs="Arial" w:eastAsia="Arial" w:hAnsi="Arial"/>
          <w:sz w:val="18"/>
          <w:szCs w:val="18"/>
          <w:color w:val="221E1F"/>
        </w:rPr>
        <w:t>Inventories consist primarily of telecommunications systems and parts and are recorded at the lower of average cost or net realizable</w:t>
      </w:r>
      <w:r>
        <w:rPr>
          <w:rFonts w:ascii="Arial" w:cs="Arial" w:eastAsia="Arial" w:hAnsi="Arial"/>
          <w:sz w:val="18"/>
          <w:szCs w:val="18"/>
          <w:b w:val="1"/>
          <w:bCs w:val="1"/>
          <w:color w:val="221E1F"/>
        </w:rPr>
        <w:t xml:space="preserve"> </w:t>
      </w:r>
      <w:r>
        <w:rPr>
          <w:rFonts w:ascii="Arial" w:cs="Arial" w:eastAsia="Arial" w:hAnsi="Arial"/>
          <w:sz w:val="18"/>
          <w:szCs w:val="18"/>
          <w:color w:val="221E1F"/>
        </w:rPr>
        <w:t>value. We evaluate the need for write-downs associated with obsolete, slow-moving and nonsalable inventory by reviewing net realizable inventory values on a periodic basis.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5, “Inventories,” for further details.</w:t>
      </w:r>
    </w:p>
    <w:p>
      <w:pPr>
        <w:spacing w:after="0" w:line="113" w:lineRule="exact"/>
        <w:rPr>
          <w:sz w:val="20"/>
          <w:szCs w:val="20"/>
          <w:color w:val="auto"/>
        </w:rPr>
      </w:pPr>
    </w:p>
    <w:p>
      <w:pPr>
        <w:ind w:right="100" w:firstLine="509"/>
        <w:spacing w:after="0" w:line="274" w:lineRule="auto"/>
        <w:rPr>
          <w:sz w:val="20"/>
          <w:szCs w:val="20"/>
          <w:color w:val="auto"/>
        </w:rPr>
      </w:pPr>
      <w:r>
        <w:rPr>
          <w:rFonts w:ascii="Arial" w:cs="Arial" w:eastAsia="Arial" w:hAnsi="Arial"/>
          <w:sz w:val="17"/>
          <w:szCs w:val="17"/>
          <w:b w:val="1"/>
          <w:bCs w:val="1"/>
          <w:color w:val="221E1F"/>
        </w:rPr>
        <w:t xml:space="preserve">Property and Equipment and Depreciation - </w:t>
      </w:r>
      <w:r>
        <w:rPr>
          <w:rFonts w:ascii="Arial" w:cs="Arial" w:eastAsia="Arial" w:hAnsi="Arial"/>
          <w:sz w:val="17"/>
          <w:szCs w:val="17"/>
          <w:color w:val="221E1F"/>
        </w:rPr>
        <w:t>Property and equipment, including leasehold improvements, are stated at historical cost, less</w:t>
      </w:r>
      <w:r>
        <w:rPr>
          <w:rFonts w:ascii="Arial" w:cs="Arial" w:eastAsia="Arial" w:hAnsi="Arial"/>
          <w:sz w:val="17"/>
          <w:szCs w:val="17"/>
          <w:b w:val="1"/>
          <w:bCs w:val="1"/>
          <w:color w:val="221E1F"/>
        </w:rPr>
        <w:t xml:space="preserve"> </w:t>
      </w:r>
      <w:r>
        <w:rPr>
          <w:rFonts w:ascii="Arial" w:cs="Arial" w:eastAsia="Arial" w:hAnsi="Arial"/>
          <w:sz w:val="17"/>
          <w:szCs w:val="17"/>
          <w:color w:val="221E1F"/>
        </w:rPr>
        <w:t>accumulated depreciation. Network asset inventory and construction in progress, which include materials, transmission and related equipment, interest and other costs relating to the construction and development of our network, are not depreciated until they are put into service. Network equipment consists of switching equipment, antennas, base transceiver stations, site preparation costs, and other related equipment used in the operation of our network. Depreciation expense totaled $7.9 million for each of the years ended December 31, 2022, 2021 and 2020. Depreciation of property and equipment is computed using the straight-line method over the estimated useful lives for owned assets, which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 equipment, furniture, fixtures and other</w:t>
            </w:r>
          </w:p>
        </w:tc>
        <w:tc>
          <w:tcPr>
            <w:tcW w:w="674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3-5 years</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740" w:type="dxa"/>
            <w:vAlign w:val="bottom"/>
          </w:tcPr>
          <w:p>
            <w:pPr>
              <w:ind w:left="1140"/>
              <w:spacing w:after="0"/>
              <w:rPr>
                <w:sz w:val="20"/>
                <w:szCs w:val="20"/>
                <w:color w:val="auto"/>
              </w:rPr>
            </w:pPr>
            <w:r>
              <w:rPr>
                <w:rFonts w:ascii="Arial" w:cs="Arial" w:eastAsia="Arial" w:hAnsi="Arial"/>
                <w:sz w:val="18"/>
                <w:szCs w:val="18"/>
                <w:color w:val="auto"/>
              </w:rPr>
              <w:t>7-13 years</w:t>
            </w:r>
          </w:p>
        </w:tc>
      </w:tr>
      <w:tr>
        <w:trPr>
          <w:trHeight w:val="22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Network equipment</w:t>
            </w:r>
          </w:p>
        </w:tc>
        <w:tc>
          <w:tcPr>
            <w:tcW w:w="674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5-25 years</w:t>
            </w: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6, “Composition of Certain Balance Sheet Accounts,” for further details.</w:t>
      </w:r>
    </w:p>
    <w:p>
      <w:pPr>
        <w:spacing w:after="0" w:line="117"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color w:val="221E1F"/>
        </w:rPr>
        <w:t>Improvements to leased property are depreciated over the shorter of the useful life of the improvement or the term of the related lease. We reassess the useful lives of leasehold improvements when there are changes to the terms of the underlying lease. Such reassessment has resulted in the useful life of specific assets being adjusted to a shorter period than originally estimated, resulting in an increase in annual depreciation expense for those assets. Repairs and maintenance costs are expensed as incurred.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20" w:firstLine="509"/>
        <w:spacing w:after="0" w:line="276" w:lineRule="auto"/>
        <w:rPr>
          <w:sz w:val="20"/>
          <w:szCs w:val="20"/>
          <w:color w:val="auto"/>
        </w:rPr>
      </w:pPr>
      <w:r>
        <w:rPr>
          <w:rFonts w:ascii="Arial" w:cs="Arial" w:eastAsia="Arial" w:hAnsi="Arial"/>
          <w:sz w:val="17"/>
          <w:szCs w:val="17"/>
          <w:b w:val="1"/>
          <w:bCs w:val="1"/>
          <w:color w:val="221E1F"/>
        </w:rPr>
        <w:t xml:space="preserve">Software Development Costs - </w:t>
      </w:r>
      <w:r>
        <w:rPr>
          <w:rFonts w:ascii="Arial" w:cs="Arial" w:eastAsia="Arial" w:hAnsi="Arial"/>
          <w:sz w:val="17"/>
          <w:szCs w:val="17"/>
          <w:color w:val="221E1F"/>
        </w:rPr>
        <w:t>We capitalize costs for network and non-network software developed or obtained for internal use during the</w:t>
      </w:r>
      <w:r>
        <w:rPr>
          <w:rFonts w:ascii="Arial" w:cs="Arial" w:eastAsia="Arial" w:hAnsi="Arial"/>
          <w:sz w:val="17"/>
          <w:szCs w:val="17"/>
          <w:b w:val="1"/>
          <w:bCs w:val="1"/>
          <w:color w:val="221E1F"/>
        </w:rPr>
        <w:t xml:space="preserve"> </w:t>
      </w:r>
      <w:r>
        <w:rPr>
          <w:rFonts w:ascii="Arial" w:cs="Arial" w:eastAsia="Arial" w:hAnsi="Arial"/>
          <w:sz w:val="17"/>
          <w:szCs w:val="17"/>
          <w:color w:val="221E1F"/>
        </w:rPr>
        <w:t>application development stage. These costs include purchased software and direct costs associated with the development and configuration of internal use software that supports the operation of our service offerings. These costs are included in Intangible assets, net, in our consolidated balance sheets and, when the software is placed in service, are amortized on a straight-line basis over their estimated useful lives. Costs incurred in the preliminary project and post-implementation stages, as well as maintenance and training costs, are expensed as incurred.</w:t>
      </w:r>
    </w:p>
    <w:p>
      <w:pPr>
        <w:spacing w:after="0" w:line="6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221E1F"/>
        </w:rPr>
        <w:t>With respect to software sold as part of our equipment sales, we capitalize software development costs once technological feasibility has been established. Such capitalized software costs are amortized on a product-by-product basis over the remaining estimated economic life of the product, based on the greater of the ratio that current gross revenues for a product bear to the total of current and anticipated future gross revenues for that product or the straight-line method.</w:t>
      </w:r>
    </w:p>
    <w:p>
      <w:pPr>
        <w:spacing w:after="0" w:line="73"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b w:val="1"/>
          <w:bCs w:val="1"/>
          <w:color w:val="221E1F"/>
        </w:rPr>
        <w:t xml:space="preserve">Intangible Assets - </w:t>
      </w:r>
      <w:r>
        <w:rPr>
          <w:rFonts w:ascii="Arial" w:cs="Arial" w:eastAsia="Arial" w:hAnsi="Arial"/>
          <w:sz w:val="18"/>
          <w:szCs w:val="18"/>
          <w:color w:val="221E1F"/>
        </w:rPr>
        <w:t>Intangible assets with indefinite lives are not amortized but are reviewed for impairment at least annually or whenever events or</w:t>
      </w:r>
      <w:r>
        <w:rPr>
          <w:rFonts w:ascii="Arial" w:cs="Arial" w:eastAsia="Arial" w:hAnsi="Arial"/>
          <w:sz w:val="18"/>
          <w:szCs w:val="18"/>
          <w:b w:val="1"/>
          <w:bCs w:val="1"/>
          <w:color w:val="221E1F"/>
        </w:rPr>
        <w:t xml:space="preserve"> </w:t>
      </w:r>
      <w:r>
        <w:rPr>
          <w:rFonts w:ascii="Arial" w:cs="Arial" w:eastAsia="Arial" w:hAnsi="Arial"/>
          <w:sz w:val="18"/>
          <w:szCs w:val="18"/>
          <w:color w:val="221E1F"/>
        </w:rPr>
        <w:t xml:space="preserve">circumstances indicate the carrying value of the asset may not be recoverable. Our FCC Licenses, </w:t>
      </w:r>
      <w:r>
        <w:rPr>
          <w:rFonts w:ascii="Arial" w:cs="Arial" w:eastAsia="Arial" w:hAnsi="Arial"/>
          <w:sz w:val="18"/>
          <w:szCs w:val="18"/>
          <w:color w:val="000000"/>
        </w:rPr>
        <w:t>as defined in Note 8, “Intangible Assets,”</w:t>
      </w:r>
      <w:r>
        <w:rPr>
          <w:rFonts w:ascii="Arial" w:cs="Arial" w:eastAsia="Arial" w:hAnsi="Arial"/>
          <w:sz w:val="18"/>
          <w:szCs w:val="18"/>
          <w:color w:val="221E1F"/>
        </w:rPr>
        <w:t xml:space="preserve"> are our only material indefinite-lived intangible assets. We perform our annual impairment test of our FCC Licenses during the fourth quarter of each fiscal year. </w:t>
      </w:r>
      <w:r>
        <w:rPr>
          <w:rFonts w:ascii="Arial" w:cs="Arial" w:eastAsia="Arial" w:hAnsi="Arial"/>
          <w:sz w:val="18"/>
          <w:szCs w:val="18"/>
          <w:color w:val="000000"/>
        </w:rPr>
        <w:t>We</w:t>
      </w:r>
      <w:r>
        <w:rPr>
          <w:rFonts w:ascii="Arial" w:cs="Arial" w:eastAsia="Arial" w:hAnsi="Arial"/>
          <w:sz w:val="18"/>
          <w:szCs w:val="18"/>
          <w:color w:val="221E1F"/>
        </w:rPr>
        <w:t xml:space="preserve"> </w:t>
      </w:r>
      <w:r>
        <w:rPr>
          <w:rFonts w:ascii="Arial" w:cs="Arial" w:eastAsia="Arial" w:hAnsi="Arial"/>
          <w:sz w:val="18"/>
          <w:szCs w:val="18"/>
          <w:color w:val="000000"/>
        </w:rPr>
        <w:t>assess qualitative factors to determine the likelihood of impairment. Our qualitative analysis includes, but is not limited to, assessing the changes in macroeconomic conditions, regulatory environment, industry and market conditions, financial performance versus budget and any other events or circumstances specific to the FCC Licenses. If it is more likely than not that the fair value of the FCC Licenses is greater than the carrying value, no further testing is required. If our qualitative analysis indicates more testing is required, or if we elect not to perform a qualitative analysis, we will apply the quantitative impairment test method.</w:t>
      </w:r>
    </w:p>
    <w:p>
      <w:pPr>
        <w:spacing w:after="0" w:line="85"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221E1F"/>
        </w:rPr>
        <w:t>Our quantitative impairment testing of the FCC Licenses uses the Greenfield method, an income-based approach. When performing this quantitative impairment testing, we estimate the value of our FCC spectrum licenses by calculating the present value of the cash flows of a hypothetical new market participant whose only assets are such licenses to determine the fair value of the FCC licenses. The estimate takes into account all costs and expenses necessary to build the Company’s infrastructure during the start-up period, projected revenue, and cash flows once the infrastructure is completed. Since there is limited corroborating data available in the marketplace that would demonstrate a market participant’s experience in establishing an “air-to-ground” business, we utilize our historic results and future projections as the underlying basis for the application of the Greenfield method. We follow the traditional discounted cash flow method, calculating the present value of a new market participant’s estimated debt free cash flows, based on our historical weighted average cost of capital, adjusted to reflect the cost of capital for a new market participant.</w:t>
      </w:r>
    </w:p>
    <w:p>
      <w:pPr>
        <w:spacing w:after="0" w:line="55"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221E1F"/>
        </w:rPr>
        <w:t>Although we believe our projected future operating results and cash flows and related estimates regarding fair values are based on reasonable assumptions, projected operating results and cash flows may not always be achieved. The failure to achieve one or more of our assumptions regarding projected operating results and cash flows in the near term or long term could reduce the estimated fair value below carrying value and result in the recognition of an impairment charge. The results of our annual indefinite-lived intangible asset impairment assessments for 2022, 2021 and 2020 indicated no impairment.</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Intangible assets that are deemed to have a finite life are amortized over their useful lives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Software</w:t>
            </w:r>
          </w:p>
        </w:tc>
        <w:tc>
          <w:tcPr>
            <w:tcW w:w="63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3-8 years</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OEM and dealer relationships</w:t>
            </w:r>
          </w:p>
        </w:tc>
        <w:tc>
          <w:tcPr>
            <w:tcW w:w="6320" w:type="dxa"/>
            <w:vAlign w:val="bottom"/>
          </w:tcPr>
          <w:p>
            <w:pPr>
              <w:ind w:left="720"/>
              <w:spacing w:after="0"/>
              <w:rPr>
                <w:sz w:val="20"/>
                <w:szCs w:val="20"/>
                <w:color w:val="auto"/>
              </w:rPr>
            </w:pPr>
            <w:r>
              <w:rPr>
                <w:rFonts w:ascii="Arial" w:cs="Arial" w:eastAsia="Arial" w:hAnsi="Arial"/>
                <w:sz w:val="18"/>
                <w:szCs w:val="18"/>
                <w:color w:val="auto"/>
              </w:rPr>
              <w:t>10 years</w:t>
            </w:r>
          </w:p>
        </w:tc>
      </w:tr>
      <w:tr>
        <w:trPr>
          <w:trHeight w:val="22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customer relationships</w:t>
            </w:r>
          </w:p>
        </w:tc>
        <w:tc>
          <w:tcPr>
            <w:tcW w:w="63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5-7 years</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6320" w:type="dxa"/>
            <w:vAlign w:val="bottom"/>
          </w:tcPr>
          <w:p>
            <w:pPr>
              <w:ind w:left="720"/>
              <w:spacing w:after="0"/>
              <w:rPr>
                <w:sz w:val="20"/>
                <w:szCs w:val="20"/>
                <w:color w:val="auto"/>
              </w:rPr>
            </w:pPr>
            <w:r>
              <w:rPr>
                <w:rFonts w:ascii="Arial" w:cs="Arial" w:eastAsia="Arial" w:hAnsi="Arial"/>
                <w:sz w:val="18"/>
                <w:szCs w:val="18"/>
                <w:color w:val="auto"/>
              </w:rPr>
              <w:t>8 years</w:t>
            </w:r>
          </w:p>
        </w:tc>
      </w:tr>
      <w:tr>
        <w:trPr>
          <w:trHeight w:val="323"/>
        </w:trPr>
        <w:tc>
          <w:tcPr>
            <w:tcW w:w="4920" w:type="dxa"/>
            <w:vAlign w:val="bottom"/>
          </w:tcPr>
          <w:p>
            <w:pPr>
              <w:ind w:left="520"/>
              <w:spacing w:after="0"/>
              <w:rPr>
                <w:sz w:val="20"/>
                <w:szCs w:val="20"/>
                <w:color w:val="auto"/>
              </w:rPr>
            </w:pPr>
            <w:r>
              <w:rPr>
                <w:rFonts w:ascii="Arial" w:cs="Arial" w:eastAsia="Arial" w:hAnsi="Arial"/>
                <w:sz w:val="18"/>
                <w:szCs w:val="18"/>
                <w:color w:val="221E1F"/>
              </w:rPr>
              <w:t>See Note 8, “Intangible Assets,” for further details.</w:t>
            </w:r>
          </w:p>
        </w:tc>
        <w:tc>
          <w:tcPr>
            <w:tcW w:w="6320" w:type="dxa"/>
            <w:vAlign w:val="bottom"/>
          </w:tcPr>
          <w:p>
            <w:pPr>
              <w:spacing w:after="0"/>
              <w:rPr>
                <w:sz w:val="24"/>
                <w:szCs w:val="24"/>
                <w:color w:val="auto"/>
              </w:rPr>
            </w:pPr>
          </w:p>
        </w:tc>
      </w:tr>
    </w:tbl>
    <w:p>
      <w:pPr>
        <w:spacing w:after="0" w:line="89" w:lineRule="exact"/>
        <w:rPr>
          <w:sz w:val="20"/>
          <w:szCs w:val="20"/>
          <w:color w:val="auto"/>
        </w:rPr>
      </w:pPr>
    </w:p>
    <w:p>
      <w:pPr>
        <w:ind w:right="120" w:firstLine="509"/>
        <w:spacing w:after="0" w:line="260" w:lineRule="auto"/>
        <w:rPr>
          <w:sz w:val="20"/>
          <w:szCs w:val="20"/>
          <w:color w:val="auto"/>
        </w:rPr>
      </w:pPr>
      <w:r>
        <w:rPr>
          <w:rFonts w:ascii="Arial" w:cs="Arial" w:eastAsia="Arial" w:hAnsi="Arial"/>
          <w:sz w:val="18"/>
          <w:szCs w:val="18"/>
          <w:b w:val="1"/>
          <w:bCs w:val="1"/>
          <w:color w:val="221E1F"/>
        </w:rPr>
        <w:t xml:space="preserve">Long-Lived Assets - </w:t>
      </w:r>
      <w:r>
        <w:rPr>
          <w:rFonts w:ascii="Arial" w:cs="Arial" w:eastAsia="Arial" w:hAnsi="Arial"/>
          <w:sz w:val="18"/>
          <w:szCs w:val="18"/>
          <w:color w:val="221E1F"/>
        </w:rPr>
        <w:t>We review our long-lived assets to determine potential impairment whenever events indicate that the carrying amount of such</w:t>
      </w:r>
      <w:r>
        <w:rPr>
          <w:rFonts w:ascii="Arial" w:cs="Arial" w:eastAsia="Arial" w:hAnsi="Arial"/>
          <w:sz w:val="18"/>
          <w:szCs w:val="18"/>
          <w:b w:val="1"/>
          <w:bCs w:val="1"/>
          <w:color w:val="221E1F"/>
        </w:rPr>
        <w:t xml:space="preserve"> </w:t>
      </w:r>
      <w:r>
        <w:rPr>
          <w:rFonts w:ascii="Arial" w:cs="Arial" w:eastAsia="Arial" w:hAnsi="Arial"/>
          <w:sz w:val="18"/>
          <w:szCs w:val="18"/>
          <w:color w:val="221E1F"/>
        </w:rPr>
        <w:t>assets may not be recoverable. We do this by comparing the carrying value of the long-lived assets with the estimated future undiscounted cash flows expected to result from the use of the assets, including cash flows from disposition. If we determine an impairment exists, the asset is written down to estimated fair value. There were no impairments of long-lived assets in 2022, 2021 or 2020.</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221E1F"/>
        </w:rPr>
        <w:t xml:space="preserve">Revenue Recognition - </w:t>
      </w:r>
      <w:r>
        <w:rPr>
          <w:rFonts w:ascii="Arial" w:cs="Arial" w:eastAsia="Arial" w:hAnsi="Arial"/>
          <w:sz w:val="16"/>
          <w:szCs w:val="16"/>
          <w:color w:val="000000"/>
        </w:rPr>
        <w:t>Our revenue is primarily earned from providing connectivity and entertainment services and through sales of equipment.</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We account for revenue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02"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6" w:name="page67"/>
    <w:bookmarkEnd w:id="66"/>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Recognition of revenue as we satisfy the performance obligations.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Service revenue primarily consists of monthly subscription and usage fees paid by aircraft owners and operators for telecommunication, data, and in-flight entertainment services and is recognized as the services are provided to the customer.</w:t>
      </w:r>
    </w:p>
    <w:p>
      <w:pPr>
        <w:spacing w:after="0" w:line="6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Equipment revenue primarily consists of proceeds from the sale of ATG and narrowband satellite connectivity equipment and is recognized when control of the equipment is transferred to OEMs and dealers, which generally occurs when the equipment is shipped.</w:t>
      </w:r>
    </w:p>
    <w:p>
      <w:pPr>
        <w:spacing w:after="0" w:line="62"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In all cases, we evaluate whether a contract exists as it relates to collectability of the contract. Once a contract is deemed to exist, we evaluate the transaction price and deliverables under the contract.</w:t>
      </w:r>
    </w:p>
    <w:p>
      <w:pPr>
        <w:spacing w:after="0" w:line="62"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color w:val="auto"/>
        </w:rPr>
        <w:t>A limited number of contracts contain multiple equipment and service deliverables. For these contracts, we account for each distinct good or service as a separate performance obligation. We allocate the contract’s transaction price to each performance obligation using the relative standalone selling price, which is based on the actual selling price for any good or service sold separately to a similar class of customer.</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4, “Revenue Recognition,” for further information.</w:t>
      </w:r>
    </w:p>
    <w:p>
      <w:pPr>
        <w:spacing w:after="0" w:line="113" w:lineRule="exact"/>
        <w:rPr>
          <w:sz w:val="20"/>
          <w:szCs w:val="20"/>
          <w:color w:val="auto"/>
        </w:rPr>
      </w:pPr>
    </w:p>
    <w:p>
      <w:pPr>
        <w:ind w:right="20" w:firstLine="509"/>
        <w:spacing w:after="0" w:line="265" w:lineRule="auto"/>
        <w:rPr>
          <w:sz w:val="20"/>
          <w:szCs w:val="20"/>
          <w:color w:val="auto"/>
        </w:rPr>
      </w:pPr>
      <w:r>
        <w:rPr>
          <w:rFonts w:ascii="Arial" w:cs="Arial" w:eastAsia="Arial" w:hAnsi="Arial"/>
          <w:sz w:val="18"/>
          <w:szCs w:val="18"/>
          <w:b w:val="1"/>
          <w:bCs w:val="1"/>
          <w:color w:val="221E1F"/>
        </w:rPr>
        <w:t xml:space="preserve">Research and Development Costs - </w:t>
      </w:r>
      <w:r>
        <w:rPr>
          <w:rFonts w:ascii="Arial" w:cs="Arial" w:eastAsia="Arial" w:hAnsi="Arial"/>
          <w:sz w:val="18"/>
          <w:szCs w:val="18"/>
          <w:color w:val="221E1F"/>
        </w:rPr>
        <w:t>Expenditures for research and development are charged to expense as incurred and totaled $29.6 million, $24.9</w:t>
      </w:r>
      <w:r>
        <w:rPr>
          <w:rFonts w:ascii="Arial" w:cs="Arial" w:eastAsia="Arial" w:hAnsi="Arial"/>
          <w:sz w:val="18"/>
          <w:szCs w:val="18"/>
          <w:b w:val="1"/>
          <w:bCs w:val="1"/>
          <w:color w:val="221E1F"/>
        </w:rPr>
        <w:t xml:space="preserve"> </w:t>
      </w:r>
      <w:r>
        <w:rPr>
          <w:rFonts w:ascii="Arial" w:cs="Arial" w:eastAsia="Arial" w:hAnsi="Arial"/>
          <w:sz w:val="18"/>
          <w:szCs w:val="18"/>
          <w:color w:val="221E1F"/>
        </w:rPr>
        <w:t>million and $25.2 million for the years ended December 31, 2022, 2021 and 2020, respectively. Research and development costs are reported as engineering, design and development expenses in our consolidated statements of operations.</w:t>
      </w:r>
    </w:p>
    <w:p>
      <w:pPr>
        <w:spacing w:after="0" w:line="69" w:lineRule="exact"/>
        <w:rPr>
          <w:sz w:val="20"/>
          <w:szCs w:val="20"/>
          <w:color w:val="auto"/>
        </w:rPr>
      </w:pPr>
    </w:p>
    <w:p>
      <w:pPr>
        <w:jc w:val="both"/>
        <w:ind w:right="160" w:firstLine="509"/>
        <w:spacing w:after="0" w:line="260" w:lineRule="auto"/>
        <w:rPr>
          <w:sz w:val="20"/>
          <w:szCs w:val="20"/>
          <w:color w:val="auto"/>
        </w:rPr>
      </w:pPr>
      <w:r>
        <w:rPr>
          <w:rFonts w:ascii="Arial" w:cs="Arial" w:eastAsia="Arial" w:hAnsi="Arial"/>
          <w:sz w:val="18"/>
          <w:szCs w:val="18"/>
          <w:b w:val="1"/>
          <w:bCs w:val="1"/>
          <w:color w:val="221E1F"/>
        </w:rPr>
        <w:t xml:space="preserve">Warranty - </w:t>
      </w:r>
      <w:r>
        <w:rPr>
          <w:rFonts w:ascii="Arial" w:cs="Arial" w:eastAsia="Arial" w:hAnsi="Arial"/>
          <w:sz w:val="18"/>
          <w:szCs w:val="18"/>
          <w:color w:val="221E1F"/>
        </w:rPr>
        <w:t>We provide warranties on parts and labor related to our products. Our warranty terms range from two to five years. Warranty reserves</w:t>
      </w:r>
      <w:r>
        <w:rPr>
          <w:rFonts w:ascii="Arial" w:cs="Arial" w:eastAsia="Arial" w:hAnsi="Arial"/>
          <w:sz w:val="18"/>
          <w:szCs w:val="18"/>
          <w:b w:val="1"/>
          <w:bCs w:val="1"/>
          <w:color w:val="221E1F"/>
        </w:rPr>
        <w:t xml:space="preserve"> </w:t>
      </w:r>
      <w:r>
        <w:rPr>
          <w:rFonts w:ascii="Arial" w:cs="Arial" w:eastAsia="Arial" w:hAnsi="Arial"/>
          <w:sz w:val="18"/>
          <w:szCs w:val="18"/>
          <w:color w:val="221E1F"/>
        </w:rPr>
        <w:t>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consolidated balance sheets.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7, “Composition of Certain Reserves and Allowances,” for the details of the changes in our warranty reserve.</w:t>
      </w:r>
    </w:p>
    <w:p>
      <w:pPr>
        <w:spacing w:after="0" w:line="113" w:lineRule="exact"/>
        <w:rPr>
          <w:sz w:val="20"/>
          <w:szCs w:val="20"/>
          <w:color w:val="auto"/>
        </w:rPr>
      </w:pPr>
    </w:p>
    <w:p>
      <w:pPr>
        <w:ind w:right="80" w:firstLine="509"/>
        <w:spacing w:after="0" w:line="265" w:lineRule="auto"/>
        <w:rPr>
          <w:sz w:val="20"/>
          <w:szCs w:val="20"/>
          <w:color w:val="auto"/>
        </w:rPr>
      </w:pPr>
      <w:r>
        <w:rPr>
          <w:rFonts w:ascii="Arial" w:cs="Arial" w:eastAsia="Arial" w:hAnsi="Arial"/>
          <w:sz w:val="18"/>
          <w:szCs w:val="18"/>
          <w:b w:val="1"/>
          <w:bCs w:val="1"/>
          <w:color w:val="221E1F"/>
        </w:rPr>
        <w:t xml:space="preserve">Asset Retirement Obligations - </w:t>
      </w:r>
      <w:r>
        <w:rPr>
          <w:rFonts w:ascii="Arial" w:cs="Arial" w:eastAsia="Arial" w:hAnsi="Arial"/>
          <w:sz w:val="18"/>
          <w:szCs w:val="18"/>
          <w:color w:val="221E1F"/>
        </w:rPr>
        <w:t>We have certain asset retirement obligations related to contractual commitments to remove our network equipment</w:t>
      </w:r>
      <w:r>
        <w:rPr>
          <w:rFonts w:ascii="Arial" w:cs="Arial" w:eastAsia="Arial" w:hAnsi="Arial"/>
          <w:sz w:val="18"/>
          <w:szCs w:val="18"/>
          <w:b w:val="1"/>
          <w:bCs w:val="1"/>
          <w:color w:val="221E1F"/>
        </w:rPr>
        <w:t xml:space="preserve"> </w:t>
      </w:r>
      <w:r>
        <w:rPr>
          <w:rFonts w:ascii="Arial" w:cs="Arial" w:eastAsia="Arial" w:hAnsi="Arial"/>
          <w:sz w:val="18"/>
          <w:szCs w:val="18"/>
          <w:color w:val="221E1F"/>
        </w:rPr>
        <w:t>and other assets from leased cell sites upon termination of the site leases. The asset retirement obligations are classified as a noncurrent liability in our consolidated balance sheets.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6, “Composition of Certain Balance Sheet Accounts,” for the details of the changes in our asset retirement obligations.</w:t>
      </w:r>
    </w:p>
    <w:p>
      <w:pPr>
        <w:spacing w:after="0" w:line="113" w:lineRule="exact"/>
        <w:rPr>
          <w:sz w:val="20"/>
          <w:szCs w:val="20"/>
          <w:color w:val="auto"/>
        </w:rPr>
      </w:pPr>
    </w:p>
    <w:p>
      <w:pPr>
        <w:ind w:right="100" w:firstLine="509"/>
        <w:spacing w:after="0" w:line="312" w:lineRule="auto"/>
        <w:rPr>
          <w:sz w:val="20"/>
          <w:szCs w:val="20"/>
          <w:color w:val="auto"/>
        </w:rPr>
      </w:pPr>
      <w:r>
        <w:rPr>
          <w:rFonts w:ascii="Arial" w:cs="Arial" w:eastAsia="Arial" w:hAnsi="Arial"/>
          <w:sz w:val="17"/>
          <w:szCs w:val="17"/>
          <w:b w:val="1"/>
          <w:bCs w:val="1"/>
          <w:color w:val="221E1F"/>
        </w:rPr>
        <w:t xml:space="preserve">Fair Value of Financial Instruments - </w:t>
      </w:r>
      <w:r>
        <w:rPr>
          <w:rFonts w:ascii="Arial" w:cs="Arial" w:eastAsia="Arial" w:hAnsi="Arial"/>
          <w:sz w:val="17"/>
          <w:szCs w:val="17"/>
          <w:color w:val="221E1F"/>
        </w:rPr>
        <w:t>We group financial assets and financial liabilities measured at fair value into three levels of hierarchy based</w:t>
      </w:r>
      <w:r>
        <w:rPr>
          <w:rFonts w:ascii="Arial" w:cs="Arial" w:eastAsia="Arial" w:hAnsi="Arial"/>
          <w:sz w:val="17"/>
          <w:szCs w:val="17"/>
          <w:b w:val="1"/>
          <w:bCs w:val="1"/>
          <w:color w:val="221E1F"/>
        </w:rPr>
        <w:t xml:space="preserve"> </w:t>
      </w:r>
      <w:r>
        <w:rPr>
          <w:rFonts w:ascii="Arial" w:cs="Arial" w:eastAsia="Arial" w:hAnsi="Arial"/>
          <w:sz w:val="17"/>
          <w:szCs w:val="17"/>
          <w:color w:val="221E1F"/>
        </w:rPr>
        <w:t>on the markets in which the assets and liabilities are traded and the reliability of the assumptions used to determine fair value.</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13, “Fair Value of Financial Assets and Liabilities,” for further information.</w:t>
      </w:r>
    </w:p>
    <w:p>
      <w:pPr>
        <w:spacing w:after="0" w:line="113" w:lineRule="exact"/>
        <w:rPr>
          <w:sz w:val="20"/>
          <w:szCs w:val="20"/>
          <w:color w:val="auto"/>
        </w:rPr>
      </w:pPr>
    </w:p>
    <w:p>
      <w:pPr>
        <w:ind w:right="40" w:firstLine="509"/>
        <w:spacing w:after="0" w:line="297" w:lineRule="auto"/>
        <w:rPr>
          <w:sz w:val="20"/>
          <w:szCs w:val="20"/>
          <w:color w:val="auto"/>
        </w:rPr>
      </w:pPr>
      <w:r>
        <w:rPr>
          <w:rFonts w:ascii="Arial" w:cs="Arial" w:eastAsia="Arial" w:hAnsi="Arial"/>
          <w:sz w:val="16"/>
          <w:szCs w:val="16"/>
          <w:b w:val="1"/>
          <w:bCs w:val="1"/>
          <w:color w:val="221E1F"/>
        </w:rPr>
        <w:t xml:space="preserve">Derivatives - </w:t>
      </w:r>
      <w:r>
        <w:rPr>
          <w:rFonts w:ascii="Arial" w:cs="Arial" w:eastAsia="Arial" w:hAnsi="Arial"/>
          <w:sz w:val="16"/>
          <w:szCs w:val="16"/>
          <w:color w:val="000000"/>
        </w:rPr>
        <w:t>We are exposed to interest rate risk on our variable rate borrowings. We currently use interest rate caps to manage our exposure to</w:t>
      </w:r>
      <w:r>
        <w:rPr>
          <w:rFonts w:ascii="Arial" w:cs="Arial" w:eastAsia="Arial" w:hAnsi="Arial"/>
          <w:sz w:val="16"/>
          <w:szCs w:val="16"/>
          <w:b w:val="1"/>
          <w:bCs w:val="1"/>
          <w:color w:val="221E1F"/>
        </w:rPr>
        <w:t xml:space="preserve"> </w:t>
      </w:r>
      <w:r>
        <w:rPr>
          <w:rFonts w:ascii="Arial" w:cs="Arial" w:eastAsia="Arial" w:hAnsi="Arial"/>
          <w:sz w:val="16"/>
          <w:szCs w:val="16"/>
          <w:color w:val="000000"/>
        </w:rPr>
        <w:t xml:space="preserve">interest rate changes, and have designated these interest rate caps as cash flow hedges for accounting purposes. We account for these interest rate caps in accordance with ASC 815, </w:t>
      </w:r>
      <w:r>
        <w:rPr>
          <w:rFonts w:ascii="Arial" w:cs="Arial" w:eastAsia="Arial" w:hAnsi="Arial"/>
          <w:sz w:val="16"/>
          <w:szCs w:val="16"/>
          <w:i w:val="1"/>
          <w:iCs w:val="1"/>
          <w:color w:val="000000"/>
        </w:rPr>
        <w:t>Derivatives and Hedging</w:t>
      </w:r>
      <w:r>
        <w:rPr>
          <w:rFonts w:ascii="Arial" w:cs="Arial" w:eastAsia="Arial" w:hAnsi="Arial"/>
          <w:sz w:val="16"/>
          <w:szCs w:val="16"/>
          <w:color w:val="000000"/>
        </w:rPr>
        <w:t>, which requires companies to recognize all derivative instruments as either assets or liabilities at fair value in the balance sheet. We record the effective portion of changes in the fair value of our cash flow hedges to other comprehensive income (loss), net of tax, and subsequently reclassify these amounts into earnings in the period during which the hedged transaction is recognized.</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“Derivative Instruments and Hedging Activities,” for further information.</w:t>
      </w:r>
    </w:p>
    <w:p>
      <w:pPr>
        <w:spacing w:after="0" w:line="113" w:lineRule="exact"/>
        <w:rPr>
          <w:sz w:val="20"/>
          <w:szCs w:val="20"/>
          <w:color w:val="auto"/>
        </w:rPr>
      </w:pPr>
    </w:p>
    <w:p>
      <w:pPr>
        <w:ind w:right="60" w:firstLine="509"/>
        <w:spacing w:after="0" w:line="265" w:lineRule="auto"/>
        <w:rPr>
          <w:sz w:val="20"/>
          <w:szCs w:val="20"/>
          <w:color w:val="auto"/>
        </w:rPr>
      </w:pPr>
      <w:r>
        <w:rPr>
          <w:rFonts w:ascii="Arial" w:cs="Arial" w:eastAsia="Arial" w:hAnsi="Arial"/>
          <w:sz w:val="18"/>
          <w:szCs w:val="18"/>
          <w:b w:val="1"/>
          <w:bCs w:val="1"/>
          <w:color w:val="221E1F"/>
        </w:rPr>
        <w:t xml:space="preserve">Earnings (Loss) Per Share - </w:t>
      </w:r>
      <w:r>
        <w:rPr>
          <w:rFonts w:ascii="Arial" w:cs="Arial" w:eastAsia="Arial" w:hAnsi="Arial"/>
          <w:sz w:val="18"/>
          <w:szCs w:val="18"/>
          <w:color w:val="221E1F"/>
        </w:rPr>
        <w:t>We calculate basic earnings (loss) per share using the weighted-average number of common shares outstanding during</w:t>
      </w:r>
      <w:r>
        <w:rPr>
          <w:rFonts w:ascii="Arial" w:cs="Arial" w:eastAsia="Arial" w:hAnsi="Arial"/>
          <w:sz w:val="18"/>
          <w:szCs w:val="18"/>
          <w:b w:val="1"/>
          <w:bCs w:val="1"/>
          <w:color w:val="221E1F"/>
        </w:rPr>
        <w:t xml:space="preserve"> </w:t>
      </w:r>
      <w:r>
        <w:rPr>
          <w:rFonts w:ascii="Arial" w:cs="Arial" w:eastAsia="Arial" w:hAnsi="Arial"/>
          <w:sz w:val="18"/>
          <w:szCs w:val="18"/>
          <w:color w:val="221E1F"/>
        </w:rPr>
        <w:t>the period. We calculate diluted earnings (loss) per share using the weighted-average number of common shares outstanding and all dilutive potential common shares outstanding.</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3, “Earnings (Loss) Per Share,” for further information.</w:t>
      </w:r>
    </w:p>
    <w:p>
      <w:pPr>
        <w:spacing w:after="0" w:line="113" w:lineRule="exact"/>
        <w:rPr>
          <w:sz w:val="20"/>
          <w:szCs w:val="20"/>
          <w:color w:val="auto"/>
        </w:rPr>
      </w:pPr>
    </w:p>
    <w:p>
      <w:pPr>
        <w:ind w:right="180" w:firstLine="509"/>
        <w:spacing w:after="0" w:line="292" w:lineRule="auto"/>
        <w:rPr>
          <w:sz w:val="20"/>
          <w:szCs w:val="20"/>
          <w:color w:val="auto"/>
        </w:rPr>
      </w:pPr>
      <w:r>
        <w:rPr>
          <w:rFonts w:ascii="Arial" w:cs="Arial" w:eastAsia="Arial" w:hAnsi="Arial"/>
          <w:sz w:val="16"/>
          <w:szCs w:val="16"/>
          <w:b w:val="1"/>
          <w:bCs w:val="1"/>
          <w:color w:val="221E1F"/>
        </w:rPr>
        <w:t xml:space="preserve">Stock-Based Compensation Expense - </w:t>
      </w:r>
      <w:r>
        <w:rPr>
          <w:rFonts w:ascii="Arial" w:cs="Arial" w:eastAsia="Arial" w:hAnsi="Arial"/>
          <w:sz w:val="16"/>
          <w:szCs w:val="16"/>
          <w:color w:val="221E1F"/>
        </w:rPr>
        <w:t>Compensation cost is measured and recognized at fair value for all stock-based payments, including stock</w:t>
      </w:r>
      <w:r>
        <w:rPr>
          <w:rFonts w:ascii="Arial" w:cs="Arial" w:eastAsia="Arial" w:hAnsi="Arial"/>
          <w:sz w:val="16"/>
          <w:szCs w:val="16"/>
          <w:b w:val="1"/>
          <w:bCs w:val="1"/>
          <w:color w:val="221E1F"/>
        </w:rPr>
        <w:t xml:space="preserve"> </w:t>
      </w:r>
      <w:r>
        <w:rPr>
          <w:rFonts w:ascii="Arial" w:cs="Arial" w:eastAsia="Arial" w:hAnsi="Arial"/>
          <w:sz w:val="16"/>
          <w:szCs w:val="16"/>
          <w:color w:val="221E1F"/>
        </w:rPr>
        <w:t xml:space="preserve">options. For time-based vesting stock options, we estimate fair value using the Black-Scholes option-pricing model, which requires assumptions, such as expected volatility, risk-free interest rate, expected life, and dividends. Forfeitures are recognized when they occur. Restricted stock units (“RSUs”) and restricted stock are measured based on the fair market value of the underlying stock on the date of grant. For awards with a market condition (which we have used on a limited basis), we estimate fair value using the Monte Carlo Simulation model, which requires assumptions, such as volatility, risk-free interest rate, expected life and dividends. Our stock-based compensation expense is recognized over the applicable vesting period and is included in </w:t>
      </w:r>
      <w:r>
        <w:rPr>
          <w:rFonts w:ascii="Arial" w:cs="Arial" w:eastAsia="Arial" w:hAnsi="Arial"/>
          <w:sz w:val="16"/>
          <w:szCs w:val="16"/>
          <w:color w:val="000000"/>
        </w:rPr>
        <w:t>the</w:t>
      </w:r>
      <w:r>
        <w:rPr>
          <w:rFonts w:ascii="Arial" w:cs="Arial" w:eastAsia="Arial" w:hAnsi="Arial"/>
          <w:sz w:val="16"/>
          <w:szCs w:val="16"/>
          <w:color w:val="221E1F"/>
        </w:rPr>
        <w:t xml:space="preserve"> </w:t>
      </w:r>
      <w:r>
        <w:rPr>
          <w:rFonts w:ascii="Arial" w:cs="Arial" w:eastAsia="Arial" w:hAnsi="Arial"/>
          <w:sz w:val="16"/>
          <w:szCs w:val="16"/>
          <w:color w:val="000000"/>
        </w:rPr>
        <w:t>same operating expense line items in the consolidated statements of operations as the base cash compensation paid to the underlying employees</w:t>
      </w:r>
      <w:r>
        <w:rPr>
          <w:rFonts w:ascii="Arial" w:cs="Arial" w:eastAsia="Arial" w:hAnsi="Arial"/>
          <w:sz w:val="16"/>
          <w:szCs w:val="16"/>
          <w:color w:val="221E1F"/>
        </w:rPr>
        <w:t>.</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14, “Stock-Based Compensation and 401(k) Plan,” for further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left="520"/>
        <w:spacing w:after="0"/>
        <w:rPr>
          <w:sz w:val="20"/>
          <w:szCs w:val="20"/>
          <w:color w:val="auto"/>
        </w:rPr>
      </w:pPr>
      <w:r>
        <w:rPr>
          <w:rFonts w:ascii="Arial" w:cs="Arial" w:eastAsia="Arial" w:hAnsi="Arial"/>
          <w:sz w:val="18"/>
          <w:szCs w:val="18"/>
          <w:b w:val="1"/>
          <w:bCs w:val="1"/>
          <w:color w:val="221E1F"/>
        </w:rPr>
        <w:t xml:space="preserve">Leases – </w:t>
      </w:r>
      <w:r>
        <w:rPr>
          <w:rFonts w:ascii="Arial" w:cs="Arial" w:eastAsia="Arial" w:hAnsi="Arial"/>
          <w:sz w:val="18"/>
          <w:szCs w:val="18"/>
          <w:color w:val="221E1F"/>
        </w:rPr>
        <w:t>We account for leases in accordance with Accounting Standards Codification Topic 842,</w:t>
      </w:r>
      <w:r>
        <w:rPr>
          <w:rFonts w:ascii="Arial" w:cs="Arial" w:eastAsia="Arial" w:hAnsi="Arial"/>
          <w:sz w:val="18"/>
          <w:szCs w:val="18"/>
          <w:b w:val="1"/>
          <w:bCs w:val="1"/>
          <w:color w:val="221E1F"/>
        </w:rPr>
        <w:t xml:space="preserve"> </w:t>
      </w:r>
      <w:r>
        <w:rPr>
          <w:rFonts w:ascii="Arial" w:cs="Arial" w:eastAsia="Arial" w:hAnsi="Arial"/>
          <w:sz w:val="18"/>
          <w:szCs w:val="18"/>
          <w:i w:val="1"/>
          <w:iCs w:val="1"/>
          <w:color w:val="221E1F"/>
        </w:rPr>
        <w:t>Leases</w:t>
      </w:r>
      <w:r>
        <w:rPr>
          <w:rFonts w:ascii="Arial" w:cs="Arial" w:eastAsia="Arial" w:hAnsi="Arial"/>
          <w:sz w:val="18"/>
          <w:szCs w:val="18"/>
          <w:b w:val="1"/>
          <w:bCs w:val="1"/>
          <w:color w:val="221E1F"/>
        </w:rPr>
        <w:t xml:space="preserve"> </w:t>
      </w:r>
      <w:r>
        <w:rPr>
          <w:rFonts w:ascii="Arial" w:cs="Arial" w:eastAsia="Arial" w:hAnsi="Arial"/>
          <w:sz w:val="18"/>
          <w:szCs w:val="18"/>
          <w:color w:val="221E1F"/>
        </w:rPr>
        <w:t>(“ASC 842”).</w:t>
      </w:r>
    </w:p>
    <w:p>
      <w:pPr>
        <w:spacing w:after="0" w:line="12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have operating lease agreements for which w</w:t>
      </w:r>
      <w:r>
        <w:rPr>
          <w:rFonts w:ascii="Arial" w:cs="Arial" w:eastAsia="Arial" w:hAnsi="Arial"/>
          <w:sz w:val="16"/>
          <w:szCs w:val="16"/>
          <w:color w:val="221E1F"/>
        </w:rPr>
        <w:t>e have recorded lease liabilities and right-of-use assets for leases primarily related to cell sites and</w:t>
      </w:r>
      <w:r>
        <w:rPr>
          <w:rFonts w:ascii="Arial" w:cs="Arial" w:eastAsia="Arial" w:hAnsi="Arial"/>
          <w:sz w:val="16"/>
          <w:szCs w:val="16"/>
          <w:color w:val="auto"/>
        </w:rPr>
        <w:t xml:space="preserve"> </w:t>
      </w:r>
      <w:r>
        <w:rPr>
          <w:rFonts w:ascii="Arial" w:cs="Arial" w:eastAsia="Arial" w:hAnsi="Arial"/>
          <w:sz w:val="16"/>
          <w:szCs w:val="16"/>
          <w:color w:val="221E1F"/>
        </w:rPr>
        <w:t xml:space="preserve">office buildings. </w:t>
      </w:r>
      <w:r>
        <w:rPr>
          <w:rFonts w:ascii="Arial" w:cs="Arial" w:eastAsia="Arial" w:hAnsi="Arial"/>
          <w:sz w:val="16"/>
          <w:szCs w:val="16"/>
          <w:color w:val="000000"/>
        </w:rPr>
        <w:t>We determine whether a contract contains a lease at contract inception and calculate the lease liability and right-of-use asset using our</w:t>
      </w:r>
      <w:r>
        <w:rPr>
          <w:rFonts w:ascii="Arial" w:cs="Arial" w:eastAsia="Arial" w:hAnsi="Arial"/>
          <w:sz w:val="16"/>
          <w:szCs w:val="16"/>
          <w:color w:val="221E1F"/>
        </w:rPr>
        <w:t xml:space="preserve"> </w:t>
      </w:r>
      <w:r>
        <w:rPr>
          <w:rFonts w:ascii="Arial" w:cs="Arial" w:eastAsia="Arial" w:hAnsi="Arial"/>
          <w:sz w:val="16"/>
          <w:szCs w:val="16"/>
          <w:color w:val="000000"/>
        </w:rPr>
        <w:t>incremental borrowing rate. Our cell site leases generally have terms of five to ten years, with renewal options for an additional five to 25 years. For certain cell sites, the renewal options are deemed to be reasonably certain to be exercised. Our building leases have original terms of ten years, with renewal options for an additional five years. We recognize operating lease expense on a straight-line basis over the lease term. We have finance leases for computer and office equipment. Covenants within the Term Loan Facility contain certain restrictions on our ability to enter into new finance lease arrangements.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16, “Leases,” for further information.</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21E1F"/>
        </w:rPr>
        <w:t xml:space="preserve">Advertising Costs - </w:t>
      </w:r>
      <w:r>
        <w:rPr>
          <w:rFonts w:ascii="Arial" w:cs="Arial" w:eastAsia="Arial" w:hAnsi="Arial"/>
          <w:sz w:val="18"/>
          <w:szCs w:val="18"/>
          <w:color w:val="221E1F"/>
        </w:rPr>
        <w:t>Costs for advertising are expensed as incurred.</w:t>
      </w:r>
    </w:p>
    <w:p>
      <w:pPr>
        <w:spacing w:after="0" w:line="117" w:lineRule="exact"/>
        <w:rPr>
          <w:sz w:val="20"/>
          <w:szCs w:val="20"/>
          <w:color w:val="auto"/>
        </w:rPr>
      </w:pPr>
    </w:p>
    <w:p>
      <w:pPr>
        <w:ind w:right="120" w:firstLine="509"/>
        <w:spacing w:after="0" w:line="297" w:lineRule="auto"/>
        <w:rPr>
          <w:sz w:val="20"/>
          <w:szCs w:val="20"/>
          <w:color w:val="auto"/>
        </w:rPr>
      </w:pPr>
      <w:r>
        <w:rPr>
          <w:rFonts w:ascii="Arial" w:cs="Arial" w:eastAsia="Arial" w:hAnsi="Arial"/>
          <w:sz w:val="16"/>
          <w:szCs w:val="16"/>
          <w:b w:val="1"/>
          <w:bCs w:val="1"/>
          <w:color w:val="221E1F"/>
        </w:rPr>
        <w:t xml:space="preserve">Debt Issuance Costs - </w:t>
      </w:r>
      <w:r>
        <w:rPr>
          <w:rFonts w:ascii="Arial" w:cs="Arial" w:eastAsia="Arial" w:hAnsi="Arial"/>
          <w:sz w:val="16"/>
          <w:szCs w:val="16"/>
          <w:color w:val="221E1F"/>
        </w:rPr>
        <w:t>We defer loan origination fees and financing costs related to our various debt offerings as deferred financing costs.</w:t>
      </w:r>
      <w:r>
        <w:rPr>
          <w:rFonts w:ascii="Arial" w:cs="Arial" w:eastAsia="Arial" w:hAnsi="Arial"/>
          <w:sz w:val="16"/>
          <w:szCs w:val="16"/>
          <w:b w:val="1"/>
          <w:bCs w:val="1"/>
          <w:color w:val="221E1F"/>
        </w:rPr>
        <w:t xml:space="preserve"> </w:t>
      </w:r>
      <w:r>
        <w:rPr>
          <w:rFonts w:ascii="Arial" w:cs="Arial" w:eastAsia="Arial" w:hAnsi="Arial"/>
          <w:sz w:val="16"/>
          <w:szCs w:val="16"/>
          <w:color w:val="221E1F"/>
        </w:rPr>
        <w:t>Additionally, we defer fees paid directly to the lenders related to amendments of our various debt offerings as deferred financing costs. We amortize these costs over the term of the underlying debt obligation using the effective interest method and include them in interest expense in the consolidated statement of operations. The fees incurred but not paid directly to the lenders in connection with amendments are expensed as incurred to interest expense. Deferred financing costs associated with future debt issuances are written off in the period during which we determine that the debt will no longer be issued.</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9, “Long-Term Debt and Other Liabilities,” for further information.</w:t>
      </w:r>
    </w:p>
    <w:p>
      <w:pPr>
        <w:spacing w:after="0" w:line="113" w:lineRule="exact"/>
        <w:rPr>
          <w:sz w:val="20"/>
          <w:szCs w:val="20"/>
          <w:color w:val="auto"/>
        </w:rPr>
      </w:pPr>
    </w:p>
    <w:p>
      <w:pPr>
        <w:ind w:right="120" w:firstLine="509"/>
        <w:spacing w:after="0" w:line="265" w:lineRule="auto"/>
        <w:rPr>
          <w:sz w:val="20"/>
          <w:szCs w:val="20"/>
          <w:color w:val="auto"/>
        </w:rPr>
      </w:pPr>
      <w:r>
        <w:rPr>
          <w:rFonts w:ascii="Arial" w:cs="Arial" w:eastAsia="Arial" w:hAnsi="Arial"/>
          <w:sz w:val="18"/>
          <w:szCs w:val="18"/>
          <w:b w:val="1"/>
          <w:bCs w:val="1"/>
          <w:color w:val="221E1F"/>
        </w:rPr>
        <w:t xml:space="preserve">Comprehensive Income (Loss) </w:t>
      </w:r>
      <w:r>
        <w:rPr>
          <w:rFonts w:ascii="Arial" w:cs="Arial" w:eastAsia="Arial" w:hAnsi="Arial"/>
          <w:sz w:val="18"/>
          <w:szCs w:val="18"/>
          <w:color w:val="221E1F"/>
        </w:rPr>
        <w:t>- Comprehensive income for the years ended December 31, 2022 and 2021 is net income plus or minus unrealized</w:t>
      </w:r>
      <w:r>
        <w:rPr>
          <w:rFonts w:ascii="Arial" w:cs="Arial" w:eastAsia="Arial" w:hAnsi="Arial"/>
          <w:sz w:val="18"/>
          <w:szCs w:val="18"/>
          <w:b w:val="1"/>
          <w:bCs w:val="1"/>
          <w:color w:val="221E1F"/>
        </w:rPr>
        <w:t xml:space="preserve"> </w:t>
      </w:r>
      <w:r>
        <w:rPr>
          <w:rFonts w:ascii="Arial" w:cs="Arial" w:eastAsia="Arial" w:hAnsi="Arial"/>
          <w:sz w:val="18"/>
          <w:szCs w:val="18"/>
          <w:color w:val="221E1F"/>
        </w:rPr>
        <w:t>gains and losses on foreign currency translation adjustments and the changes in fair value of cash flow hedges. Comprehensive loss for the year ended December 31, 2020 is net loss plus unrealized gains on foreign currency translation adjustments.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21E1F"/>
        </w:rPr>
        <w:t>Recently Issued Accounting Pronouncements</w:t>
      </w:r>
    </w:p>
    <w:p>
      <w:pPr>
        <w:spacing w:after="0" w:line="121"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standards adopted:</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On January 1, 2022, we adopted ASU 2021-10, Government Assistance (Topic 832): Disclosures by Business Entities about Government Assistance to increase the transparency of transactions with a government accounted for by applying a grant or contribution accounting model by analogy. ASU 2021-10 requires an entity to disclose information about the nature of the transactions, including the significant terms and conditions, accounting policy used to account for the transactions, and the effect of the transactions on the financial statements. Adoption of this standard did not have a material impact on our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Basic and diluted earnings (loss) per share have been calculated using the weighted-average number of common shares outstanding for the period.</w:t>
      </w:r>
    </w:p>
    <w:p>
      <w:pPr>
        <w:spacing w:after="0" w:line="140"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shares of common stock effectively repurchased in connection with the Forward Transactions (as defined and described in Note 9, “Long-Term Debt and Other Liabilities”) are considered participating securities requiring the two-class method to calculate basic and diluted earnings per share. Net earnings will be allocated between shares of common stock and participating securities on a one-to-one basis. In periods of a net loss, the shares associated with the Forward Transactions will not receive an allocation of losses, as the counterparties to the Forward Transactions are not required to fund losses. Additionally, the calculation of weighted average shares outstanding as of December 31, 2021 and 2020 excludes approximately 0.6 million and 2.1 million shares, respectively, associated with the Forward Transactions.</w:t>
      </w:r>
    </w:p>
    <w:p>
      <w:pPr>
        <w:spacing w:after="0" w:line="68"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diluted earnings (loss) per share calculations exclude the effect of stock options, deferred stock units, restricted stock units and convertible notes when the computation is anti-dilutive. For the years ended December 31, 2022 and 2021, the weighted average number of shares excluded from the computation was 0.5 million and 5.7 million shares, respectively. As a result of the net loss for the year ended December 31, 2020, all of the outstanding shares of common stock underlying stock options, deferred stock units, restricted stock units and convertible notes were excluded from the computation of diluted shares outstanding because they were anti-dilutive.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8" w:name="page69"/>
    <w:bookmarkEnd w:id="68"/>
    <w:p>
      <w:pPr>
        <w:ind w:left="520"/>
        <w:spacing w:after="0"/>
        <w:rPr>
          <w:sz w:val="20"/>
          <w:szCs w:val="20"/>
          <w:color w:val="auto"/>
        </w:rPr>
      </w:pPr>
      <w:r>
        <w:rPr>
          <w:rFonts w:ascii="Arial" w:cs="Arial" w:eastAsia="Arial" w:hAnsi="Arial"/>
          <w:sz w:val="17"/>
          <w:szCs w:val="17"/>
          <w:color w:val="auto"/>
        </w:rPr>
        <w:t>During September 2022, we repurchased 1.5 million shares of common stock in a private transaction for an aggregate purchase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$18,345,000, or $12.23 per share (the “Repurchase”). The Repurchase decreased the weighted average shares outstanding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02" w:lineRule="exact"/>
        <w:rPr>
          <w:sz w:val="20"/>
          <w:szCs w:val="20"/>
          <w:color w:val="auto"/>
        </w:rPr>
      </w:pPr>
    </w:p>
    <w:p>
      <w:pPr>
        <w:jc w:val="both"/>
        <w:ind w:right="340" w:firstLine="509"/>
        <w:spacing w:after="0" w:line="263" w:lineRule="auto"/>
        <w:rPr>
          <w:sz w:val="20"/>
          <w:szCs w:val="20"/>
          <w:color w:val="auto"/>
        </w:rPr>
      </w:pPr>
      <w:r>
        <w:rPr>
          <w:rFonts w:ascii="Arial" w:cs="Arial" w:eastAsia="Arial" w:hAnsi="Arial"/>
          <w:sz w:val="18"/>
          <w:szCs w:val="18"/>
          <w:color w:val="auto"/>
        </w:rPr>
        <w:t>The following tables sets forth the computation of basic and diluted earnings per share for the years ended December 31, 2022, 2021 and 2020; however, for the reasons described above, the shares associated with the Forward Transactions are excluded from the computation of basic earnings per share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180"/>
              <w:spacing w:after="0" w:line="143" w:lineRule="exact"/>
              <w:rPr>
                <w:sz w:val="20"/>
                <w:szCs w:val="20"/>
                <w:color w:val="auto"/>
              </w:rPr>
            </w:pPr>
            <w:r>
              <w:rPr>
                <w:rFonts w:ascii="Arial" w:cs="Arial" w:eastAsia="Arial" w:hAnsi="Arial"/>
                <w:sz w:val="13"/>
                <w:szCs w:val="13"/>
                <w:b w:val="1"/>
                <w:bCs w:val="1"/>
                <w:color w:val="auto"/>
              </w:rPr>
              <w:t>Income</w:t>
            </w:r>
          </w:p>
        </w:tc>
        <w:tc>
          <w:tcPr>
            <w:tcW w:w="1100" w:type="dxa"/>
            <w:vAlign w:val="bottom"/>
          </w:tcPr>
          <w:p>
            <w:pPr>
              <w:jc w:val="right"/>
              <w:ind w:right="313"/>
              <w:spacing w:after="0" w:line="143" w:lineRule="exact"/>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153"/>
              <w:spacing w:after="0" w:line="143" w:lineRule="exact"/>
              <w:rPr>
                <w:sz w:val="20"/>
                <w:szCs w:val="20"/>
                <w:color w:val="auto"/>
              </w:rPr>
            </w:pPr>
            <w:r>
              <w:rPr>
                <w:rFonts w:ascii="Arial" w:cs="Arial" w:eastAsia="Arial" w:hAnsi="Arial"/>
                <w:sz w:val="13"/>
                <w:szCs w:val="13"/>
                <w:b w:val="1"/>
                <w:bCs w:val="1"/>
                <w:color w:val="auto"/>
                <w:w w:val="98"/>
              </w:rPr>
              <w:t>Per Share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540"/>
              <w:spacing w:after="0" w:line="143" w:lineRule="exact"/>
              <w:rPr>
                <w:sz w:val="20"/>
                <w:szCs w:val="20"/>
                <w:color w:val="auto"/>
              </w:rPr>
            </w:pPr>
            <w:r>
              <w:rPr>
                <w:rFonts w:ascii="Arial" w:cs="Arial" w:eastAsia="Arial" w:hAnsi="Arial"/>
                <w:sz w:val="13"/>
                <w:szCs w:val="13"/>
                <w:b w:val="1"/>
                <w:bCs w:val="1"/>
                <w:color w:val="auto"/>
              </w:rPr>
              <w:t>Income</w:t>
            </w:r>
          </w:p>
        </w:tc>
        <w:tc>
          <w:tcPr>
            <w:tcW w:w="10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7"/>
              </w:rPr>
              <w:t>Shares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jc w:val="right"/>
              <w:ind w:right="340"/>
              <w:spacing w:after="0" w:line="143" w:lineRule="exact"/>
              <w:rPr>
                <w:sz w:val="20"/>
                <w:szCs w:val="20"/>
                <w:color w:val="auto"/>
              </w:rPr>
            </w:pPr>
            <w:r>
              <w:rPr>
                <w:rFonts w:ascii="Arial" w:cs="Arial" w:eastAsia="Arial" w:hAnsi="Arial"/>
                <w:sz w:val="13"/>
                <w:szCs w:val="13"/>
                <w:b w:val="1"/>
                <w:bCs w:val="1"/>
                <w:color w:val="auto"/>
                <w:w w:val="95"/>
              </w:rPr>
              <w:t>Per Share</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(Numerator)</w:t>
            </w:r>
          </w:p>
        </w:tc>
        <w:tc>
          <w:tcPr>
            <w:tcW w:w="240" w:type="dxa"/>
            <w:vAlign w:val="bottom"/>
          </w:tcPr>
          <w:p>
            <w:pPr>
              <w:spacing w:after="0"/>
              <w:rPr>
                <w:sz w:val="15"/>
                <w:szCs w:val="15"/>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(Denominator)</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3"/>
                <w:szCs w:val="13"/>
                <w:b w:val="1"/>
                <w:bCs w:val="1"/>
                <w:color w:val="auto"/>
              </w:rPr>
              <w:t>(Numerator)</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(Denominator)</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60" w:type="dxa"/>
            <w:vAlign w:val="bottom"/>
            <w:gridSpan w:val="2"/>
            <w:shd w:val="clear" w:color="auto" w:fill="CCECFF"/>
          </w:tcPr>
          <w:p>
            <w:pPr>
              <w:ind w:left="20"/>
              <w:spacing w:after="0"/>
              <w:rPr>
                <w:sz w:val="20"/>
                <w:szCs w:val="20"/>
                <w:color w:val="auto"/>
              </w:rPr>
            </w:pPr>
            <w:r>
              <w:rPr>
                <w:rFonts w:ascii="Arial" w:cs="Arial" w:eastAsia="Arial" w:hAnsi="Arial"/>
                <w:sz w:val="13"/>
                <w:szCs w:val="13"/>
                <w:b w:val="1"/>
                <w:bCs w:val="1"/>
                <w:color w:val="auto"/>
              </w:rPr>
              <w:t>Net income from continuing operations</w:t>
            </w: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92,059</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156,589</w:t>
            </w: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60" w:type="dxa"/>
            <w:vAlign w:val="bottom"/>
            <w:gridSpan w:val="2"/>
          </w:tcPr>
          <w:p>
            <w:pPr>
              <w:ind w:left="20"/>
              <w:spacing w:after="0"/>
              <w:rPr>
                <w:sz w:val="20"/>
                <w:szCs w:val="20"/>
                <w:color w:val="auto"/>
              </w:rPr>
            </w:pPr>
            <w:r>
              <w:rPr>
                <w:rFonts w:ascii="Arial" w:cs="Arial" w:eastAsia="Arial" w:hAnsi="Arial"/>
                <w:sz w:val="13"/>
                <w:szCs w:val="13"/>
                <w:color w:val="auto"/>
              </w:rPr>
              <w:t>Less: Participation rights on Forward Transactions allocated to</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171</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auto"/>
              </w:rPr>
              <w:t>1,484</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6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0" w:type="dxa"/>
            <w:vAlign w:val="bottom"/>
            <w:shd w:val="clear" w:color="auto" w:fill="CCECFF"/>
          </w:tcPr>
          <w:p>
            <w:pPr>
              <w:spacing w:after="0"/>
              <w:rPr>
                <w:sz w:val="14"/>
                <w:szCs w:val="14"/>
                <w:color w:val="auto"/>
              </w:rPr>
            </w:pPr>
          </w:p>
        </w:tc>
        <w:tc>
          <w:tcPr>
            <w:tcW w:w="2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60" w:type="dxa"/>
            <w:vAlign w:val="bottom"/>
            <w:gridSpan w:val="2"/>
          </w:tcPr>
          <w:p>
            <w:pPr>
              <w:ind w:left="20"/>
              <w:spacing w:after="0"/>
              <w:rPr>
                <w:sz w:val="20"/>
                <w:szCs w:val="20"/>
                <w:color w:val="auto"/>
              </w:rPr>
            </w:pPr>
            <w:r>
              <w:rPr>
                <w:rFonts w:ascii="Arial" w:cs="Arial" w:eastAsia="Arial" w:hAnsi="Arial"/>
                <w:sz w:val="13"/>
                <w:szCs w:val="13"/>
                <w:b w:val="1"/>
                <w:bCs w:val="1"/>
                <w:color w:val="auto"/>
              </w:rPr>
              <w:t>Basic Earnings Per Share from Continuing Operations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CFF"/>
          </w:tcPr>
          <w:p>
            <w:pPr>
              <w:ind w:left="20"/>
              <w:spacing w:after="0"/>
              <w:rPr>
                <w:sz w:val="20"/>
                <w:szCs w:val="20"/>
                <w:color w:val="auto"/>
              </w:rPr>
            </w:pPr>
            <w:r>
              <w:rPr>
                <w:rFonts w:ascii="Arial" w:cs="Arial" w:eastAsia="Arial" w:hAnsi="Arial"/>
                <w:sz w:val="13"/>
                <w:szCs w:val="13"/>
                <w:color w:val="auto"/>
              </w:rPr>
              <w:t>Undistributed income from continuing operations</w:t>
            </w: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91,888</w:t>
            </w:r>
          </w:p>
        </w:tc>
        <w:tc>
          <w:tcPr>
            <w:tcW w:w="24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123,268</w:t>
            </w:r>
          </w:p>
        </w:tc>
        <w:tc>
          <w:tcPr>
            <w:tcW w:w="36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0.75</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155,105</w:t>
            </w:r>
          </w:p>
        </w:tc>
        <w:tc>
          <w:tcPr>
            <w:tcW w:w="22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103,400</w:t>
            </w:r>
          </w:p>
        </w:tc>
        <w:tc>
          <w:tcPr>
            <w:tcW w:w="400" w:type="dxa"/>
            <w:vAlign w:val="bottom"/>
            <w:gridSpan w:val="2"/>
            <w:shd w:val="clear" w:color="auto" w:fill="CCECFF"/>
          </w:tcPr>
          <w:p>
            <w:pPr>
              <w:jc w:val="right"/>
              <w:ind w:right="27"/>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C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00" w:type="dxa"/>
            <w:vAlign w:val="bottom"/>
            <w:tcBorders>
              <w:top w:val="single" w:sz="8" w:color="CCECFF"/>
            </w:tcBorders>
          </w:tcPr>
          <w:p>
            <w:pPr>
              <w:spacing w:after="0"/>
              <w:rPr>
                <w:sz w:val="13"/>
                <w:szCs w:val="13"/>
                <w:color w:val="auto"/>
              </w:rPr>
            </w:pPr>
          </w:p>
        </w:tc>
        <w:tc>
          <w:tcPr>
            <w:tcW w:w="2960" w:type="dxa"/>
            <w:vAlign w:val="bottom"/>
            <w:tcBorders>
              <w:top w:val="single" w:sz="8" w:color="CCECFF"/>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94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110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700" w:type="dxa"/>
            <w:vAlign w:val="bottom"/>
            <w:tcBorders>
              <w:top w:val="single" w:sz="8" w:color="CCECFF"/>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060" w:type="dxa"/>
            <w:vAlign w:val="bottom"/>
            <w:tcBorders>
              <w:top w:val="single" w:sz="8" w:color="CCECFF"/>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60" w:type="dxa"/>
            <w:vAlign w:val="bottom"/>
            <w:gridSpan w:val="2"/>
            <w:shd w:val="clear" w:color="auto" w:fill="CCECFF"/>
          </w:tcPr>
          <w:p>
            <w:pPr>
              <w:ind w:left="20"/>
              <w:spacing w:after="0"/>
              <w:rPr>
                <w:sz w:val="20"/>
                <w:szCs w:val="20"/>
                <w:color w:val="auto"/>
              </w:rPr>
            </w:pPr>
            <w:r>
              <w:rPr>
                <w:rFonts w:ascii="Arial" w:cs="Arial" w:eastAsia="Arial" w:hAnsi="Arial"/>
                <w:sz w:val="13"/>
                <w:szCs w:val="13"/>
                <w:b w:val="1"/>
                <w:bCs w:val="1"/>
                <w:color w:val="auto"/>
              </w:rPr>
              <w:t>Effect of Dilutive Securities from Continuing Operations</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1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4,881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6,674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3"/>
                <w:szCs w:val="13"/>
                <w:color w:val="auto"/>
              </w:rPr>
              <w:t>2022 Convertible Notes</w:t>
            </w:r>
          </w:p>
        </w:tc>
        <w:tc>
          <w:tcPr>
            <w:tcW w:w="120" w:type="dxa"/>
            <w:vAlign w:val="bottom"/>
            <w:tcBorders>
              <w:bottom w:val="single" w:sz="8" w:color="auto"/>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2,770</w:t>
            </w:r>
          </w:p>
        </w:tc>
        <w:tc>
          <w:tcPr>
            <w:tcW w:w="24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5,774</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9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3"/>
                <w:szCs w:val="13"/>
                <w:color w:val="auto"/>
              </w:rPr>
              <w:t>7,221</w:t>
            </w:r>
          </w:p>
        </w:tc>
        <w:tc>
          <w:tcPr>
            <w:tcW w:w="22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17,131</w:t>
            </w:r>
          </w:p>
        </w:tc>
        <w:tc>
          <w:tcPr>
            <w:tcW w:w="2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6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60" w:type="dxa"/>
            <w:vAlign w:val="bottom"/>
            <w:gridSpan w:val="2"/>
            <w:shd w:val="clear" w:color="auto" w:fill="CCECFF"/>
          </w:tcPr>
          <w:p>
            <w:pPr>
              <w:ind w:left="20"/>
              <w:spacing w:after="0"/>
              <w:rPr>
                <w:sz w:val="20"/>
                <w:szCs w:val="20"/>
                <w:color w:val="auto"/>
              </w:rPr>
            </w:pPr>
            <w:r>
              <w:rPr>
                <w:rFonts w:ascii="Arial" w:cs="Arial" w:eastAsia="Arial" w:hAnsi="Arial"/>
                <w:sz w:val="13"/>
                <w:szCs w:val="13"/>
                <w:b w:val="1"/>
                <w:bCs w:val="1"/>
                <w:color w:val="auto"/>
              </w:rPr>
              <w:t>Diluted Earnings Per Share from Continuing Operations</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760" w:type="dxa"/>
            <w:vAlign w:val="bottom"/>
            <w:gridSpan w:val="2"/>
          </w:tcPr>
          <w:p>
            <w:pPr>
              <w:ind w:left="20"/>
              <w:spacing w:after="0"/>
              <w:rPr>
                <w:sz w:val="20"/>
                <w:szCs w:val="20"/>
                <w:color w:val="auto"/>
              </w:rPr>
            </w:pPr>
            <w:r>
              <w:rPr>
                <w:rFonts w:ascii="Arial" w:cs="Arial" w:eastAsia="Arial" w:hAnsi="Arial"/>
                <w:sz w:val="13"/>
                <w:szCs w:val="13"/>
                <w:color w:val="auto"/>
              </w:rPr>
              <w:t>Undistributed income from continuing operations and assumed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0.71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gridSpan w:val="2"/>
            <w:vMerge w:val="restart"/>
          </w:tcPr>
          <w:p>
            <w:pPr>
              <w:jc w:val="right"/>
              <w:ind w:right="27"/>
              <w:spacing w:after="0"/>
              <w:rPr>
                <w:sz w:val="20"/>
                <w:szCs w:val="20"/>
                <w:color w:val="auto"/>
              </w:rPr>
            </w:pPr>
            <w:r>
              <w:rPr>
                <w:rFonts w:ascii="Arial" w:cs="Arial" w:eastAsia="Arial" w:hAnsi="Arial"/>
                <w:sz w:val="13"/>
                <w:szCs w:val="13"/>
                <w:color w:val="auto"/>
              </w:rPr>
              <w:t>$</w:t>
            </w:r>
          </w:p>
        </w:tc>
        <w:tc>
          <w:tcPr>
            <w:tcW w:w="840" w:type="dxa"/>
            <w:vAlign w:val="bottom"/>
            <w:gridSpan w:val="3"/>
            <w:vMerge w:val="restart"/>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760" w:type="dxa"/>
            <w:vAlign w:val="bottom"/>
            <w:gridSpan w:val="2"/>
          </w:tcPr>
          <w:p>
            <w:pPr>
              <w:ind w:left="20"/>
              <w:spacing w:after="0" w:line="113" w:lineRule="exact"/>
              <w:rPr>
                <w:sz w:val="20"/>
                <w:szCs w:val="20"/>
                <w:color w:val="auto"/>
              </w:rPr>
            </w:pPr>
            <w:r>
              <w:rPr>
                <w:rFonts w:ascii="Arial" w:cs="Arial" w:eastAsia="Arial" w:hAnsi="Arial"/>
                <w:sz w:val="13"/>
                <w:szCs w:val="13"/>
                <w:color w:val="auto"/>
              </w:rPr>
              <w:t>conversions</w:t>
            </w:r>
          </w:p>
        </w:tc>
        <w:tc>
          <w:tcPr>
            <w:tcW w:w="120" w:type="dxa"/>
            <w:vAlign w:val="bottom"/>
          </w:tcPr>
          <w:p>
            <w:pPr>
              <w:jc w:val="right"/>
              <w:spacing w:after="0" w:line="113"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13" w:lineRule="exact"/>
              <w:rPr>
                <w:sz w:val="20"/>
                <w:szCs w:val="20"/>
                <w:color w:val="auto"/>
              </w:rPr>
            </w:pPr>
            <w:r>
              <w:rPr>
                <w:rFonts w:ascii="Arial" w:cs="Arial" w:eastAsia="Arial" w:hAnsi="Arial"/>
                <w:sz w:val="13"/>
                <w:szCs w:val="13"/>
                <w:color w:val="auto"/>
              </w:rPr>
              <w:t>94,658</w:t>
            </w:r>
          </w:p>
        </w:tc>
        <w:tc>
          <w:tcPr>
            <w:tcW w:w="240" w:type="dxa"/>
            <w:vAlign w:val="bottom"/>
          </w:tcPr>
          <w:p>
            <w:pPr>
              <w:spacing w:after="0"/>
              <w:rPr>
                <w:sz w:val="11"/>
                <w:szCs w:val="11"/>
                <w:color w:val="auto"/>
              </w:rPr>
            </w:pPr>
          </w:p>
        </w:tc>
        <w:tc>
          <w:tcPr>
            <w:tcW w:w="1100" w:type="dxa"/>
            <w:vAlign w:val="bottom"/>
          </w:tcPr>
          <w:p>
            <w:pPr>
              <w:jc w:val="right"/>
              <w:spacing w:after="0" w:line="113" w:lineRule="exact"/>
              <w:rPr>
                <w:sz w:val="20"/>
                <w:szCs w:val="20"/>
                <w:color w:val="auto"/>
              </w:rPr>
            </w:pPr>
            <w:r>
              <w:rPr>
                <w:rFonts w:ascii="Arial" w:cs="Arial" w:eastAsia="Arial" w:hAnsi="Arial"/>
                <w:sz w:val="13"/>
                <w:szCs w:val="13"/>
                <w:color w:val="auto"/>
              </w:rPr>
              <w:t>133,923</w:t>
            </w:r>
          </w:p>
        </w:tc>
        <w:tc>
          <w:tcPr>
            <w:tcW w:w="3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40" w:type="dxa"/>
            <w:vAlign w:val="bottom"/>
            <w:gridSpan w:val="2"/>
          </w:tcPr>
          <w:p>
            <w:pPr>
              <w:jc w:val="right"/>
              <w:ind w:right="40"/>
              <w:spacing w:after="0" w:line="11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13" w:lineRule="exact"/>
              <w:rPr>
                <w:sz w:val="20"/>
                <w:szCs w:val="20"/>
                <w:color w:val="auto"/>
              </w:rPr>
            </w:pPr>
            <w:r>
              <w:rPr>
                <w:rFonts w:ascii="Arial" w:cs="Arial" w:eastAsia="Arial" w:hAnsi="Arial"/>
                <w:sz w:val="13"/>
                <w:szCs w:val="13"/>
                <w:color w:val="auto"/>
              </w:rPr>
              <w:t>162,326</w:t>
            </w:r>
          </w:p>
        </w:tc>
        <w:tc>
          <w:tcPr>
            <w:tcW w:w="220" w:type="dxa"/>
            <w:vAlign w:val="bottom"/>
          </w:tcPr>
          <w:p>
            <w:pPr>
              <w:spacing w:after="0"/>
              <w:rPr>
                <w:sz w:val="11"/>
                <w:szCs w:val="11"/>
                <w:color w:val="auto"/>
              </w:rPr>
            </w:pPr>
          </w:p>
        </w:tc>
        <w:tc>
          <w:tcPr>
            <w:tcW w:w="1060" w:type="dxa"/>
            <w:vAlign w:val="bottom"/>
          </w:tcPr>
          <w:p>
            <w:pPr>
              <w:jc w:val="right"/>
              <w:spacing w:after="0" w:line="113" w:lineRule="exact"/>
              <w:rPr>
                <w:sz w:val="20"/>
                <w:szCs w:val="20"/>
                <w:color w:val="auto"/>
              </w:rPr>
            </w:pPr>
            <w:r>
              <w:rPr>
                <w:rFonts w:ascii="Arial" w:cs="Arial" w:eastAsia="Arial" w:hAnsi="Arial"/>
                <w:sz w:val="13"/>
                <w:szCs w:val="13"/>
                <w:color w:val="auto"/>
              </w:rPr>
              <w:t>127,205</w:t>
            </w:r>
          </w:p>
        </w:tc>
        <w:tc>
          <w:tcPr>
            <w:tcW w:w="40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CFF"/>
          </w:tcPr>
          <w:p>
            <w:pPr>
              <w:spacing w:after="0"/>
              <w:rPr>
                <w:sz w:val="13"/>
                <w:szCs w:val="13"/>
                <w:color w:val="auto"/>
              </w:rPr>
            </w:pPr>
          </w:p>
        </w:tc>
        <w:tc>
          <w:tcPr>
            <w:tcW w:w="29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340" w:type="dxa"/>
            <w:vAlign w:val="bottom"/>
            <w:gridSpan w:val="2"/>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440" w:type="dxa"/>
            <w:vAlign w:val="bottom"/>
            <w:gridSpan w:val="2"/>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6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loss from discontinued operations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3"/>
                <w:szCs w:val="13"/>
                <w:color w:val="auto"/>
              </w:rPr>
              <w:t>(3,854 )</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760" w:type="dxa"/>
            <w:vAlign w:val="bottom"/>
            <w:gridSpan w:val="2"/>
            <w:shd w:val="clear" w:color="auto" w:fill="CCECFF"/>
          </w:tcPr>
          <w:p>
            <w:pPr>
              <w:ind w:left="20"/>
              <w:spacing w:after="0"/>
              <w:rPr>
                <w:sz w:val="20"/>
                <w:szCs w:val="20"/>
                <w:color w:val="auto"/>
              </w:rPr>
            </w:pPr>
            <w:r>
              <w:rPr>
                <w:rFonts w:ascii="Arial" w:cs="Arial" w:eastAsia="Arial" w:hAnsi="Arial"/>
                <w:sz w:val="13"/>
                <w:szCs w:val="13"/>
                <w:color w:val="auto"/>
              </w:rPr>
              <w:t>Less: Participation rights on Forward Transactions allocated to</w:t>
            </w:r>
          </w:p>
        </w:tc>
        <w:tc>
          <w:tcPr>
            <w:tcW w:w="120" w:type="dxa"/>
            <w:vAlign w:val="bottom"/>
            <w:shd w:val="clear" w:color="auto" w:fill="CCECFF"/>
          </w:tcPr>
          <w:p>
            <w:pPr>
              <w:spacing w:after="0"/>
              <w:rPr>
                <w:sz w:val="13"/>
                <w:szCs w:val="13"/>
                <w:color w:val="auto"/>
              </w:rPr>
            </w:pPr>
          </w:p>
        </w:tc>
        <w:tc>
          <w:tcPr>
            <w:tcW w:w="1180" w:type="dxa"/>
            <w:vAlign w:val="bottom"/>
            <w:gridSpan w:val="2"/>
            <w:vMerge w:val="restart"/>
            <w:shd w:val="clear" w:color="auto" w:fill="CCECFF"/>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40" w:type="dxa"/>
            <w:vAlign w:val="bottom"/>
            <w:gridSpan w:val="3"/>
            <w:vMerge w:val="restart"/>
            <w:shd w:val="clear" w:color="auto" w:fill="CCECFF"/>
          </w:tcPr>
          <w:p>
            <w:pPr>
              <w:jc w:val="right"/>
              <w:ind w:right="160"/>
              <w:spacing w:after="0"/>
              <w:rPr>
                <w:sz w:val="20"/>
                <w:szCs w:val="20"/>
                <w:color w:val="auto"/>
              </w:rPr>
            </w:pPr>
            <w:r>
              <w:rPr>
                <w:rFonts w:ascii="Arial" w:cs="Arial" w:eastAsia="Arial" w:hAnsi="Arial"/>
                <w:sz w:val="13"/>
                <w:szCs w:val="13"/>
                <w:color w:val="auto"/>
              </w:rPr>
              <w:t>(36 )</w:t>
            </w:r>
          </w:p>
        </w:tc>
        <w:tc>
          <w:tcPr>
            <w:tcW w:w="10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60" w:type="dxa"/>
            <w:vAlign w:val="bottom"/>
            <w:gridSpan w:val="2"/>
            <w:shd w:val="clear" w:color="auto" w:fill="CCECFF"/>
          </w:tcPr>
          <w:p>
            <w:pPr>
              <w:ind w:left="20"/>
              <w:spacing w:after="0"/>
              <w:rPr>
                <w:sz w:val="20"/>
                <w:szCs w:val="20"/>
                <w:color w:val="auto"/>
              </w:rPr>
            </w:pPr>
            <w:r>
              <w:rPr>
                <w:rFonts w:ascii="Arial" w:cs="Arial" w:eastAsia="Arial" w:hAnsi="Arial"/>
                <w:sz w:val="13"/>
                <w:szCs w:val="13"/>
                <w:color w:val="auto"/>
              </w:rPr>
              <w:t>discontinued operations</w:t>
            </w:r>
          </w:p>
        </w:tc>
        <w:tc>
          <w:tcPr>
            <w:tcW w:w="120" w:type="dxa"/>
            <w:vAlign w:val="bottom"/>
            <w:shd w:val="clear" w:color="auto" w:fill="CCECFF"/>
          </w:tcPr>
          <w:p>
            <w:pPr>
              <w:spacing w:after="0"/>
              <w:rPr>
                <w:sz w:val="13"/>
                <w:szCs w:val="13"/>
                <w:color w:val="auto"/>
              </w:rPr>
            </w:pPr>
          </w:p>
        </w:tc>
        <w:tc>
          <w:tcPr>
            <w:tcW w:w="1180" w:type="dxa"/>
            <w:vAlign w:val="bottom"/>
            <w:gridSpan w:val="2"/>
            <w:vMerge w:val="continue"/>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40" w:type="dxa"/>
            <w:vAlign w:val="bottom"/>
            <w:gridSpan w:val="3"/>
            <w:vMerge w:val="continue"/>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0" w:type="dxa"/>
            <w:vAlign w:val="bottom"/>
            <w:tcBorders>
              <w:top w:val="single" w:sz="8" w:color="CCECFF"/>
            </w:tcBorders>
          </w:tcPr>
          <w:p>
            <w:pPr>
              <w:spacing w:after="0"/>
              <w:rPr>
                <w:sz w:val="14"/>
                <w:szCs w:val="14"/>
                <w:color w:val="auto"/>
              </w:rPr>
            </w:pPr>
          </w:p>
        </w:tc>
        <w:tc>
          <w:tcPr>
            <w:tcW w:w="2960" w:type="dxa"/>
            <w:vAlign w:val="bottom"/>
            <w:tcBorders>
              <w:top w:val="single" w:sz="8" w:color="CCEC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CFF"/>
            </w:tcBorders>
          </w:tcPr>
          <w:p>
            <w:pPr>
              <w:spacing w:after="0"/>
              <w:rPr>
                <w:sz w:val="14"/>
                <w:szCs w:val="14"/>
                <w:color w:val="auto"/>
              </w:rPr>
            </w:pPr>
          </w:p>
        </w:tc>
        <w:tc>
          <w:tcPr>
            <w:tcW w:w="1100" w:type="dxa"/>
            <w:vAlign w:val="bottom"/>
            <w:tcBorders>
              <w:top w:val="single" w:sz="8" w:color="CCECFF"/>
            </w:tcBorders>
          </w:tcPr>
          <w:p>
            <w:pPr>
              <w:spacing w:after="0"/>
              <w:rPr>
                <w:sz w:val="14"/>
                <w:szCs w:val="14"/>
                <w:color w:val="auto"/>
              </w:rPr>
            </w:pPr>
          </w:p>
        </w:tc>
        <w:tc>
          <w:tcPr>
            <w:tcW w:w="24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840" w:type="dxa"/>
            <w:vAlign w:val="bottom"/>
            <w:tcBorders>
              <w:top w:val="single" w:sz="8" w:color="CCECFF"/>
            </w:tcBorders>
          </w:tcPr>
          <w:p>
            <w:pPr>
              <w:spacing w:after="0"/>
              <w:rPr>
                <w:sz w:val="14"/>
                <w:szCs w:val="14"/>
                <w:color w:val="auto"/>
              </w:rPr>
            </w:pPr>
          </w:p>
        </w:tc>
        <w:tc>
          <w:tcPr>
            <w:tcW w:w="220" w:type="dxa"/>
            <w:vAlign w:val="bottom"/>
            <w:tcBorders>
              <w:top w:val="single" w:sz="8" w:color="CCEC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CCECFF"/>
            </w:tcBorders>
          </w:tcPr>
          <w:p>
            <w:pPr>
              <w:spacing w:after="0"/>
              <w:rPr>
                <w:sz w:val="14"/>
                <w:szCs w:val="14"/>
                <w:color w:val="auto"/>
              </w:rPr>
            </w:pPr>
          </w:p>
        </w:tc>
        <w:tc>
          <w:tcPr>
            <w:tcW w:w="1060" w:type="dxa"/>
            <w:vAlign w:val="bottom"/>
            <w:tcBorders>
              <w:top w:val="single" w:sz="8" w:color="CCECFF"/>
            </w:tcBorders>
          </w:tcPr>
          <w:p>
            <w:pPr>
              <w:spacing w:after="0"/>
              <w:rPr>
                <w:sz w:val="14"/>
                <w:szCs w:val="14"/>
                <w:color w:val="auto"/>
              </w:rPr>
            </w:pPr>
          </w:p>
        </w:tc>
        <w:tc>
          <w:tcPr>
            <w:tcW w:w="22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60" w:type="dxa"/>
            <w:vAlign w:val="bottom"/>
            <w:tcBorders>
              <w:top w:val="single" w:sz="8" w:color="CCECFF"/>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680" w:type="dxa"/>
            <w:vAlign w:val="bottom"/>
            <w:tcBorders>
              <w:top w:val="single" w:sz="8" w:color="CCECFF"/>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60" w:type="dxa"/>
            <w:vAlign w:val="bottom"/>
            <w:gridSpan w:val="2"/>
            <w:shd w:val="clear" w:color="auto" w:fill="CCECFF"/>
          </w:tcPr>
          <w:p>
            <w:pPr>
              <w:ind w:left="20"/>
              <w:spacing w:after="0"/>
              <w:rPr>
                <w:sz w:val="20"/>
                <w:szCs w:val="20"/>
                <w:color w:val="auto"/>
              </w:rPr>
            </w:pPr>
            <w:r>
              <w:rPr>
                <w:rFonts w:ascii="Arial" w:cs="Arial" w:eastAsia="Arial" w:hAnsi="Arial"/>
                <w:sz w:val="13"/>
                <w:szCs w:val="13"/>
                <w:b w:val="1"/>
                <w:bCs w:val="1"/>
                <w:color w:val="auto"/>
              </w:rPr>
              <w:t>Basic Loss Per Share from Discontinued Operations</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gridSpan w:val="2"/>
          </w:tcPr>
          <w:p>
            <w:pPr>
              <w:ind w:left="20"/>
              <w:spacing w:after="0"/>
              <w:rPr>
                <w:sz w:val="20"/>
                <w:szCs w:val="20"/>
                <w:color w:val="auto"/>
              </w:rPr>
            </w:pPr>
            <w:r>
              <w:rPr>
                <w:rFonts w:ascii="Arial" w:cs="Arial" w:eastAsia="Arial" w:hAnsi="Arial"/>
                <w:sz w:val="13"/>
                <w:szCs w:val="13"/>
                <w:color w:val="auto"/>
              </w:rPr>
              <w:t>Undistributed loss from discontinued operations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123,268</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3"/>
                <w:szCs w:val="13"/>
                <w:color w:val="auto"/>
              </w:rPr>
              <w:t>(3,818 )</w:t>
            </w:r>
          </w:p>
        </w:tc>
        <w:tc>
          <w:tcPr>
            <w:tcW w:w="1060" w:type="dxa"/>
            <w:vAlign w:val="bottom"/>
          </w:tcPr>
          <w:p>
            <w:pPr>
              <w:jc w:val="right"/>
              <w:spacing w:after="0"/>
              <w:rPr>
                <w:sz w:val="20"/>
                <w:szCs w:val="20"/>
                <w:color w:val="auto"/>
              </w:rPr>
            </w:pPr>
            <w:r>
              <w:rPr>
                <w:rFonts w:ascii="Arial" w:cs="Arial" w:eastAsia="Arial" w:hAnsi="Arial"/>
                <w:sz w:val="13"/>
                <w:szCs w:val="13"/>
                <w:color w:val="auto"/>
              </w:rPr>
              <w:t>103,400</w:t>
            </w:r>
          </w:p>
        </w:tc>
        <w:tc>
          <w:tcPr>
            <w:tcW w:w="4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940" w:type="dxa"/>
            <w:vAlign w:val="bottom"/>
            <w:gridSpan w:val="4"/>
          </w:tcPr>
          <w:p>
            <w:pPr>
              <w:jc w:val="right"/>
              <w:ind w:right="40"/>
              <w:spacing w:after="0"/>
              <w:rPr>
                <w:sz w:val="20"/>
                <w:szCs w:val="20"/>
                <w:color w:val="auto"/>
              </w:rPr>
            </w:pPr>
            <w:r>
              <w:rPr>
                <w:rFonts w:ascii="Arial" w:cs="Arial" w:eastAsia="Arial" w:hAnsi="Arial"/>
                <w:sz w:val="13"/>
                <w:szCs w:val="13"/>
                <w:color w:val="auto"/>
              </w:rPr>
              <w:t>(0.04 )</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CFF"/>
          </w:tcPr>
          <w:p>
            <w:pPr>
              <w:spacing w:after="0"/>
              <w:rPr>
                <w:sz w:val="13"/>
                <w:szCs w:val="13"/>
                <w:color w:val="auto"/>
              </w:rPr>
            </w:pPr>
          </w:p>
        </w:tc>
        <w:tc>
          <w:tcPr>
            <w:tcW w:w="29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60" w:type="dxa"/>
            <w:vAlign w:val="bottom"/>
            <w:gridSpan w:val="2"/>
          </w:tcPr>
          <w:p>
            <w:pPr>
              <w:ind w:left="20"/>
              <w:spacing w:after="0"/>
              <w:rPr>
                <w:sz w:val="20"/>
                <w:szCs w:val="20"/>
                <w:color w:val="auto"/>
              </w:rPr>
            </w:pPr>
            <w:r>
              <w:rPr>
                <w:rFonts w:ascii="Arial" w:cs="Arial" w:eastAsia="Arial" w:hAnsi="Arial"/>
                <w:sz w:val="13"/>
                <w:szCs w:val="13"/>
                <w:b w:val="1"/>
                <w:bCs w:val="1"/>
                <w:color w:val="auto"/>
              </w:rPr>
              <w:t>Effect of Dilutive Securities from Discontinued Operations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gridSpan w:val="2"/>
            <w:shd w:val="clear" w:color="auto" w:fill="CCECFF"/>
          </w:tcPr>
          <w:p>
            <w:pPr>
              <w:ind w:left="20"/>
              <w:spacing w:after="0"/>
              <w:rPr>
                <w:sz w:val="20"/>
                <w:szCs w:val="20"/>
                <w:color w:val="auto"/>
              </w:rPr>
            </w:pPr>
            <w:r>
              <w:rPr>
                <w:rFonts w:ascii="Arial" w:cs="Arial" w:eastAsia="Arial" w:hAnsi="Arial"/>
                <w:sz w:val="13"/>
                <w:szCs w:val="13"/>
                <w:color w:val="auto"/>
              </w:rPr>
              <w:t>Stock-based compensation</w:t>
            </w:r>
          </w:p>
        </w:tc>
        <w:tc>
          <w:tcPr>
            <w:tcW w:w="12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4,881</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3,615</w:t>
            </w:r>
          </w:p>
        </w:tc>
        <w:tc>
          <w:tcPr>
            <w:tcW w:w="2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6,674</w:t>
            </w:r>
          </w:p>
        </w:tc>
        <w:tc>
          <w:tcPr>
            <w:tcW w:w="2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gridSpan w:val="2"/>
          </w:tcPr>
          <w:p>
            <w:pPr>
              <w:ind w:left="20"/>
              <w:spacing w:after="0"/>
              <w:rPr>
                <w:sz w:val="20"/>
                <w:szCs w:val="20"/>
                <w:color w:val="auto"/>
              </w:rPr>
            </w:pPr>
            <w:r>
              <w:rPr>
                <w:rFonts w:ascii="Arial" w:cs="Arial" w:eastAsia="Arial" w:hAnsi="Arial"/>
                <w:sz w:val="13"/>
                <w:szCs w:val="13"/>
                <w:color w:val="auto"/>
              </w:rPr>
              <w:t>2022 Convertible Notes</w:t>
            </w:r>
          </w:p>
        </w:tc>
        <w:tc>
          <w:tcPr>
            <w:tcW w:w="1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5,774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17,131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shd w:val="clear" w:color="auto" w:fill="CCECFF"/>
          </w:tcPr>
          <w:p>
            <w:pPr>
              <w:spacing w:after="0"/>
              <w:rPr>
                <w:sz w:val="14"/>
                <w:szCs w:val="14"/>
                <w:color w:val="auto"/>
              </w:rPr>
            </w:pPr>
          </w:p>
        </w:tc>
        <w:tc>
          <w:tcPr>
            <w:tcW w:w="29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0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700" w:type="dxa"/>
            <w:vAlign w:val="bottom"/>
            <w:tcBorders>
              <w:top w:val="single" w:sz="8" w:color="auto"/>
            </w:tcBorders>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60" w:type="dxa"/>
            <w:vAlign w:val="bottom"/>
            <w:gridSpan w:val="2"/>
          </w:tcPr>
          <w:p>
            <w:pPr>
              <w:ind w:left="20"/>
              <w:spacing w:after="0"/>
              <w:rPr>
                <w:sz w:val="20"/>
                <w:szCs w:val="20"/>
                <w:color w:val="auto"/>
              </w:rPr>
            </w:pPr>
            <w:r>
              <w:rPr>
                <w:rFonts w:ascii="Arial" w:cs="Arial" w:eastAsia="Arial" w:hAnsi="Arial"/>
                <w:sz w:val="13"/>
                <w:szCs w:val="13"/>
                <w:b w:val="1"/>
                <w:bCs w:val="1"/>
                <w:color w:val="auto"/>
              </w:rPr>
              <w:t>Diluted Loss Per Share from Discontinued Operations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760" w:type="dxa"/>
            <w:vAlign w:val="bottom"/>
            <w:gridSpan w:val="2"/>
            <w:shd w:val="clear" w:color="auto" w:fill="CCECFF"/>
          </w:tcPr>
          <w:p>
            <w:pPr>
              <w:ind w:left="20"/>
              <w:spacing w:after="0"/>
              <w:rPr>
                <w:sz w:val="20"/>
                <w:szCs w:val="20"/>
                <w:color w:val="auto"/>
              </w:rPr>
            </w:pPr>
            <w:r>
              <w:rPr>
                <w:rFonts w:ascii="Arial" w:cs="Arial" w:eastAsia="Arial" w:hAnsi="Arial"/>
                <w:sz w:val="13"/>
                <w:szCs w:val="13"/>
                <w:color w:val="auto"/>
              </w:rPr>
              <w:t>Undistributed loss from discontinued operations and assumed</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40" w:type="dxa"/>
            <w:vAlign w:val="bottom"/>
            <w:vMerge w:val="restart"/>
            <w:shd w:val="clear" w:color="auto" w:fill="CCECFF"/>
          </w:tcPr>
          <w:p>
            <w:pPr>
              <w:spacing w:after="0"/>
              <w:rPr>
                <w:sz w:val="13"/>
                <w:szCs w:val="13"/>
                <w:color w:val="auto"/>
              </w:rPr>
            </w:pPr>
          </w:p>
        </w:tc>
        <w:tc>
          <w:tcPr>
            <w:tcW w:w="1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220" w:type="dxa"/>
            <w:vAlign w:val="bottom"/>
            <w:vMerge w:val="restart"/>
            <w:shd w:val="clear" w:color="auto" w:fill="CCECFF"/>
          </w:tcPr>
          <w:p>
            <w:pPr>
              <w:spacing w:after="0"/>
              <w:rPr>
                <w:sz w:val="13"/>
                <w:szCs w:val="13"/>
                <w:color w:val="auto"/>
              </w:rPr>
            </w:pPr>
          </w:p>
        </w:tc>
        <w:tc>
          <w:tcPr>
            <w:tcW w:w="180" w:type="dxa"/>
            <w:vAlign w:val="bottom"/>
            <w:vMerge w:val="restart"/>
            <w:shd w:val="clear" w:color="auto" w:fill="CCECFF"/>
          </w:tcPr>
          <w:p>
            <w:pPr>
              <w:jc w:val="right"/>
              <w:ind w:right="27"/>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60" w:type="dxa"/>
            <w:vAlign w:val="bottom"/>
            <w:tcBorders>
              <w:bottom w:val="single" w:sz="8" w:color="CCECFF"/>
            </w:tcBorders>
            <w:gridSpan w:val="2"/>
            <w:shd w:val="clear" w:color="auto" w:fill="CCECFF"/>
          </w:tcPr>
          <w:p>
            <w:pPr>
              <w:ind w:left="20"/>
              <w:spacing w:after="0" w:line="113" w:lineRule="exact"/>
              <w:rPr>
                <w:sz w:val="20"/>
                <w:szCs w:val="20"/>
                <w:color w:val="auto"/>
              </w:rPr>
            </w:pPr>
            <w:r>
              <w:rPr>
                <w:rFonts w:ascii="Arial" w:cs="Arial" w:eastAsia="Arial" w:hAnsi="Arial"/>
                <w:sz w:val="13"/>
                <w:szCs w:val="13"/>
                <w:color w:val="auto"/>
              </w:rPr>
              <w:t>conversions</w:t>
            </w:r>
          </w:p>
        </w:tc>
        <w:tc>
          <w:tcPr>
            <w:tcW w:w="120" w:type="dxa"/>
            <w:vAlign w:val="bottom"/>
            <w:tcBorders>
              <w:bottom w:val="single" w:sz="8" w:color="CCECFF"/>
            </w:tcBorders>
            <w:shd w:val="clear" w:color="auto" w:fill="CCECFF"/>
          </w:tcPr>
          <w:p>
            <w:pPr>
              <w:jc w:val="right"/>
              <w:spacing w:after="0" w:line="113"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CCECFF"/>
            </w:tcBorders>
            <w:gridSpan w:val="2"/>
            <w:shd w:val="clear" w:color="auto" w:fill="CCECFF"/>
          </w:tcPr>
          <w:p>
            <w:pPr>
              <w:jc w:val="right"/>
              <w:ind w:right="260"/>
              <w:spacing w:after="0" w:line="113"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CCECFF"/>
            </w:tcBorders>
            <w:shd w:val="clear" w:color="auto" w:fill="CCECFF"/>
          </w:tcPr>
          <w:p>
            <w:pPr>
              <w:jc w:val="right"/>
              <w:spacing w:after="0" w:line="113" w:lineRule="exact"/>
              <w:rPr>
                <w:sz w:val="20"/>
                <w:szCs w:val="20"/>
                <w:color w:val="auto"/>
              </w:rPr>
            </w:pPr>
            <w:r>
              <w:rPr>
                <w:rFonts w:ascii="Arial" w:cs="Arial" w:eastAsia="Arial" w:hAnsi="Arial"/>
                <w:sz w:val="13"/>
                <w:szCs w:val="13"/>
                <w:color w:val="auto"/>
              </w:rPr>
              <w:t>133,923</w:t>
            </w:r>
          </w:p>
        </w:tc>
        <w:tc>
          <w:tcPr>
            <w:tcW w:w="240" w:type="dxa"/>
            <w:vAlign w:val="bottom"/>
            <w:tcBorders>
              <w:bottom w:val="single" w:sz="8" w:color="CCECFF"/>
            </w:tcBorders>
            <w:vMerge w:val="continue"/>
            <w:shd w:val="clear" w:color="auto" w:fill="CCECFF"/>
          </w:tcPr>
          <w:p>
            <w:pPr>
              <w:spacing w:after="0"/>
              <w:rPr>
                <w:sz w:val="14"/>
                <w:szCs w:val="14"/>
                <w:color w:val="auto"/>
              </w:rPr>
            </w:pPr>
          </w:p>
        </w:tc>
        <w:tc>
          <w:tcPr>
            <w:tcW w:w="120" w:type="dxa"/>
            <w:vAlign w:val="bottom"/>
            <w:tcBorders>
              <w:bottom w:val="single" w:sz="8" w:color="auto"/>
            </w:tcBorders>
            <w:vMerge w:val="continue"/>
            <w:shd w:val="clear" w:color="auto" w:fill="CCECFF"/>
          </w:tcPr>
          <w:p>
            <w:pPr>
              <w:spacing w:after="0"/>
              <w:rPr>
                <w:sz w:val="14"/>
                <w:szCs w:val="14"/>
                <w:color w:val="auto"/>
              </w:rPr>
            </w:pPr>
          </w:p>
        </w:tc>
        <w:tc>
          <w:tcPr>
            <w:tcW w:w="840" w:type="dxa"/>
            <w:vAlign w:val="bottom"/>
            <w:tcBorders>
              <w:bottom w:val="single" w:sz="8" w:color="auto"/>
            </w:tcBorders>
            <w:vMerge w:val="continue"/>
            <w:shd w:val="clear" w:color="auto" w:fill="CCECFF"/>
          </w:tcPr>
          <w:p>
            <w:pPr>
              <w:spacing w:after="0"/>
              <w:rPr>
                <w:sz w:val="14"/>
                <w:szCs w:val="14"/>
                <w:color w:val="auto"/>
              </w:rPr>
            </w:pPr>
          </w:p>
        </w:tc>
        <w:tc>
          <w:tcPr>
            <w:tcW w:w="340" w:type="dxa"/>
            <w:vAlign w:val="bottom"/>
            <w:tcBorders>
              <w:bottom w:val="single" w:sz="8" w:color="CCECFF"/>
            </w:tcBorders>
            <w:gridSpan w:val="2"/>
            <w:shd w:val="clear" w:color="auto" w:fill="CCECFF"/>
          </w:tcPr>
          <w:p>
            <w:pPr>
              <w:jc w:val="right"/>
              <w:ind w:right="40"/>
              <w:spacing w:after="0" w:line="113"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CCECFF"/>
            </w:tcBorders>
            <w:gridSpan w:val="3"/>
            <w:shd w:val="clear" w:color="auto" w:fill="CCECFF"/>
          </w:tcPr>
          <w:p>
            <w:pPr>
              <w:jc w:val="right"/>
              <w:ind w:right="160"/>
              <w:spacing w:after="0" w:line="113" w:lineRule="exact"/>
              <w:rPr>
                <w:sz w:val="20"/>
                <w:szCs w:val="20"/>
                <w:color w:val="auto"/>
              </w:rPr>
            </w:pPr>
            <w:r>
              <w:rPr>
                <w:rFonts w:ascii="Arial" w:cs="Arial" w:eastAsia="Arial" w:hAnsi="Arial"/>
                <w:sz w:val="13"/>
                <w:szCs w:val="13"/>
                <w:color w:val="auto"/>
              </w:rPr>
              <w:t>(203 )</w:t>
            </w:r>
          </w:p>
        </w:tc>
        <w:tc>
          <w:tcPr>
            <w:tcW w:w="1060" w:type="dxa"/>
            <w:vAlign w:val="bottom"/>
            <w:tcBorders>
              <w:bottom w:val="single" w:sz="8" w:color="CCECFF"/>
            </w:tcBorders>
            <w:shd w:val="clear" w:color="auto" w:fill="CCECFF"/>
          </w:tcPr>
          <w:p>
            <w:pPr>
              <w:jc w:val="right"/>
              <w:spacing w:after="0" w:line="113" w:lineRule="exact"/>
              <w:rPr>
                <w:sz w:val="20"/>
                <w:szCs w:val="20"/>
                <w:color w:val="auto"/>
              </w:rPr>
            </w:pPr>
            <w:r>
              <w:rPr>
                <w:rFonts w:ascii="Arial" w:cs="Arial" w:eastAsia="Arial" w:hAnsi="Arial"/>
                <w:sz w:val="13"/>
                <w:szCs w:val="13"/>
                <w:color w:val="auto"/>
              </w:rPr>
              <w:t>127,205</w:t>
            </w:r>
          </w:p>
        </w:tc>
        <w:tc>
          <w:tcPr>
            <w:tcW w:w="220" w:type="dxa"/>
            <w:vAlign w:val="bottom"/>
            <w:tcBorders>
              <w:bottom w:val="single" w:sz="8" w:color="CCECFF"/>
            </w:tcBorders>
            <w:vMerge w:val="continue"/>
            <w:shd w:val="clear" w:color="auto" w:fill="CCECFF"/>
          </w:tcPr>
          <w:p>
            <w:pPr>
              <w:spacing w:after="0"/>
              <w:rPr>
                <w:sz w:val="14"/>
                <w:szCs w:val="14"/>
                <w:color w:val="auto"/>
              </w:rPr>
            </w:pPr>
          </w:p>
        </w:tc>
        <w:tc>
          <w:tcPr>
            <w:tcW w:w="180" w:type="dxa"/>
            <w:vAlign w:val="bottom"/>
            <w:tcBorders>
              <w:bottom w:val="single" w:sz="8" w:color="auto"/>
            </w:tcBorders>
            <w:vMerge w:val="continue"/>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vMerge w:val="continue"/>
            <w:shd w:val="clear" w:color="auto" w:fill="CCECFF"/>
          </w:tcPr>
          <w:p>
            <w:pPr>
              <w:spacing w:after="0"/>
              <w:rPr>
                <w:sz w:val="14"/>
                <w:szCs w:val="14"/>
                <w:color w:val="auto"/>
              </w:rPr>
            </w:pPr>
          </w:p>
        </w:tc>
        <w:tc>
          <w:tcPr>
            <w:tcW w:w="100" w:type="dxa"/>
            <w:vAlign w:val="bottom"/>
            <w:tcBorders>
              <w:bottom w:val="single" w:sz="8" w:color="CCECFF"/>
            </w:tcBorders>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3"/>
                <w:szCs w:val="13"/>
                <w:b w:val="1"/>
                <w:bCs w:val="1"/>
                <w:color w:val="auto"/>
              </w:rPr>
              <w:t>Earnings per share - basic</w:t>
            </w:r>
          </w:p>
        </w:tc>
        <w:tc>
          <w:tcPr>
            <w:tcW w:w="120" w:type="dxa"/>
            <w:vAlign w:val="bottom"/>
            <w:tcBorders>
              <w:bottom w:val="single" w:sz="8" w:color="CCECFF"/>
            </w:tcBorders>
            <w:shd w:val="clear" w:color="auto" w:fill="CCECFF"/>
          </w:tcPr>
          <w:p>
            <w:pPr>
              <w:spacing w:after="0"/>
              <w:rPr>
                <w:sz w:val="17"/>
                <w:szCs w:val="17"/>
                <w:color w:val="auto"/>
              </w:rPr>
            </w:pPr>
          </w:p>
        </w:tc>
        <w:tc>
          <w:tcPr>
            <w:tcW w:w="9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110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0.75</w:t>
            </w:r>
          </w:p>
        </w:tc>
        <w:tc>
          <w:tcPr>
            <w:tcW w:w="22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CCECFF"/>
            </w:tcBorders>
            <w:shd w:val="clear" w:color="auto" w:fill="CCECFF"/>
          </w:tcPr>
          <w:p>
            <w:pPr>
              <w:spacing w:after="0"/>
              <w:rPr>
                <w:sz w:val="17"/>
                <w:szCs w:val="17"/>
                <w:color w:val="auto"/>
              </w:rPr>
            </w:pPr>
          </w:p>
        </w:tc>
        <w:tc>
          <w:tcPr>
            <w:tcW w:w="70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CCECFF"/>
            </w:tcBorders>
            <w:shd w:val="clear" w:color="auto" w:fill="CCECFF"/>
          </w:tcPr>
          <w:p>
            <w:pPr>
              <w:spacing w:after="0"/>
              <w:rPr>
                <w:sz w:val="17"/>
                <w:szCs w:val="17"/>
                <w:color w:val="auto"/>
              </w:rPr>
            </w:pPr>
          </w:p>
        </w:tc>
        <w:tc>
          <w:tcPr>
            <w:tcW w:w="106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auto"/>
            </w:tcBorders>
            <w:shd w:val="clear" w:color="auto" w:fill="CCECFF"/>
          </w:tcPr>
          <w:p>
            <w:pPr>
              <w:jc w:val="right"/>
              <w:ind w:right="2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gridSpan w:val="3"/>
            <w:shd w:val="clear" w:color="auto" w:fill="CCEC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 per share - diluted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Year Ended December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31,</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2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from continuing operations</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0"/>
                <w:szCs w:val="20"/>
                <w:color w:val="auto"/>
              </w:rPr>
            </w:pPr>
          </w:p>
        </w:tc>
        <w:tc>
          <w:tcPr>
            <w:tcW w:w="15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(48,559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96"/>
              </w:rPr>
              <w:t>Net loss from discontinued operations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(201,477 )</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00" w:type="dxa"/>
            <w:vAlign w:val="bottom"/>
          </w:tcPr>
          <w:p>
            <w:pPr>
              <w:spacing w:after="0"/>
              <w:rPr>
                <w:sz w:val="21"/>
                <w:szCs w:val="21"/>
                <w:color w:val="auto"/>
              </w:rPr>
            </w:pPr>
          </w:p>
        </w:tc>
        <w:tc>
          <w:tcPr>
            <w:tcW w:w="2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5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(250,036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4260" w:type="dxa"/>
            <w:vAlign w:val="bottom"/>
            <w:gridSpan w:val="4"/>
          </w:tcPr>
          <w:p>
            <w:pPr>
              <w:ind w:left="180"/>
              <w:spacing w:after="0"/>
              <w:rPr>
                <w:sz w:val="20"/>
                <w:szCs w:val="20"/>
                <w:color w:val="auto"/>
              </w:rPr>
            </w:pPr>
            <w:r>
              <w:rPr>
                <w:rFonts w:ascii="Arial" w:cs="Arial" w:eastAsia="Arial" w:hAnsi="Arial"/>
                <w:sz w:val="18"/>
                <w:szCs w:val="18"/>
                <w:color w:val="auto"/>
                <w:w w:val="95"/>
              </w:rPr>
              <w:t>Less: Participation rights of the Forward Transactions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3"/>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800" w:type="dxa"/>
            <w:vAlign w:val="bottom"/>
          </w:tcPr>
          <w:p>
            <w:pPr>
              <w:spacing w:after="0"/>
              <w:rPr>
                <w:sz w:val="24"/>
                <w:szCs w:val="24"/>
                <w:color w:val="auto"/>
              </w:rPr>
            </w:pPr>
          </w:p>
        </w:tc>
        <w:tc>
          <w:tcPr>
            <w:tcW w:w="2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Undistributed losses</w:t>
            </w:r>
          </w:p>
        </w:tc>
        <w:tc>
          <w:tcPr>
            <w:tcW w:w="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(250,036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5360" w:type="dxa"/>
            <w:vAlign w:val="bottom"/>
            <w:gridSpan w:val="5"/>
          </w:tcPr>
          <w:p>
            <w:pPr>
              <w:ind w:left="180"/>
              <w:spacing w:after="0"/>
              <w:rPr>
                <w:sz w:val="20"/>
                <w:szCs w:val="20"/>
                <w:color w:val="auto"/>
              </w:rPr>
            </w:pPr>
            <w:r>
              <w:rPr>
                <w:rFonts w:ascii="Arial" w:cs="Arial" w:eastAsia="Arial" w:hAnsi="Arial"/>
                <w:sz w:val="18"/>
                <w:szCs w:val="18"/>
                <w:color w:val="auto"/>
                <w:w w:val="99"/>
              </w:rPr>
              <w:t>Weighted-average common shares outstanding-basic and diluted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82,266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-4392295</wp:posOffset>
            </wp:positionV>
            <wp:extent cx="2465705"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65705" cy="13716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-3921760</wp:posOffset>
            </wp:positionV>
            <wp:extent cx="76835" cy="1200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-3921760</wp:posOffset>
            </wp:positionV>
            <wp:extent cx="76835"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-3921760</wp:posOffset>
            </wp:positionV>
            <wp:extent cx="68580" cy="1200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-3921760</wp:posOffset>
            </wp:positionV>
            <wp:extent cx="68580"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-3065145</wp:posOffset>
            </wp:positionV>
            <wp:extent cx="76835"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-3065145</wp:posOffset>
            </wp:positionV>
            <wp:extent cx="68580" cy="120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-1840865</wp:posOffset>
            </wp:positionV>
            <wp:extent cx="246570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65705" cy="13716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-1592580</wp:posOffset>
            </wp:positionV>
            <wp:extent cx="76835"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-1592580</wp:posOffset>
            </wp:positionV>
            <wp:extent cx="68580"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-171450</wp:posOffset>
            </wp:positionV>
            <wp:extent cx="1301750"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01750" cy="20574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5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loss attributable to common stock per share-basic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-115570</wp:posOffset>
            </wp:positionV>
            <wp:extent cx="6130925"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30925" cy="154305"/>
                    </a:xfrm>
                    <a:prstGeom prst="rect">
                      <a:avLst/>
                    </a:prstGeom>
                    <a:noFill/>
                  </pic:spPr>
                </pic:pic>
              </a:graphicData>
            </a:graphic>
          </wp:anchor>
        </w:drawing>
      </w:r>
    </w:p>
    <w:p>
      <w:pPr>
        <w:spacing w:after="0" w:line="3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Net loss from continuing operations</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Net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-130175</wp:posOffset>
            </wp:positionV>
            <wp:extent cx="6130925"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30925" cy="162560"/>
                    </a:xfrm>
                    <a:prstGeom prst="rect">
                      <a:avLst/>
                    </a:prstGeom>
                    <a:noFill/>
                  </pic:spPr>
                </pic:pic>
              </a:graphicData>
            </a:graphic>
          </wp:anchor>
        </w:drawing>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(0.59 )</w:t>
            </w:r>
          </w:p>
        </w:tc>
      </w:tr>
      <w:tr>
        <w:trPr>
          <w:trHeight w:val="250"/>
        </w:trPr>
        <w:tc>
          <w:tcPr>
            <w:tcW w:w="8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(2.45 )</w:t>
            </w:r>
          </w:p>
        </w:tc>
      </w:tr>
      <w:tr>
        <w:trPr>
          <w:trHeight w:val="236"/>
        </w:trPr>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jc w:val="right"/>
              <w:spacing w:after="0"/>
              <w:rPr>
                <w:sz w:val="20"/>
                <w:szCs w:val="20"/>
                <w:color w:val="auto"/>
              </w:rPr>
            </w:pPr>
            <w:r>
              <w:rPr>
                <w:rFonts w:ascii="Arial" w:cs="Arial" w:eastAsia="Arial" w:hAnsi="Arial"/>
                <w:sz w:val="18"/>
                <w:szCs w:val="18"/>
                <w:color w:val="auto"/>
                <w:highlight w:val="white"/>
                <w:w w:val="99"/>
              </w:rPr>
              <w:t>)</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449" w:right="339" w:bottom="1440" w:gutter="0" w:footer="0" w:header="0"/>
          <w:type w:val="continuous"/>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4.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As of December 31, 2022, the aggregate amount of the transaction price in our customer contracts allocated to unsatisfied performance obligations was approximately $102 million. We have excluded from this amount consideration from contracts that have an original duration of one year or less. Approximately $80 million primarily represents connectivity and entertainment service revenues which are recognized as services are provided, which is expected to occur through the remaining term of the contract. The remaining $22 million of such amount represents future equipment revenue that is expected to be recognized primarily within the next two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our revenue disaggregated by category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6"/>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Connectivity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291,444</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255,786</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209,160</w:t>
            </w:r>
          </w:p>
        </w:tc>
        <w:tc>
          <w:tcPr>
            <w:tcW w:w="80" w:type="dxa"/>
            <w:vAlign w:val="bottom"/>
          </w:tcPr>
          <w:p>
            <w:pPr>
              <w:spacing w:after="0"/>
              <w:rPr>
                <w:sz w:val="20"/>
                <w:szCs w:val="20"/>
                <w:color w:val="auto"/>
              </w:rPr>
            </w:pPr>
          </w:p>
        </w:tc>
      </w:tr>
      <w:tr>
        <w:trPr>
          <w:trHeight w:val="243"/>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Entertainment and other</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8"/>
        </w:trPr>
        <w:tc>
          <w:tcPr>
            <w:tcW w:w="5260" w:type="dxa"/>
            <w:vAlign w:val="bottom"/>
          </w:tcPr>
          <w:p>
            <w:pPr>
              <w:spacing w:after="0"/>
              <w:rPr>
                <w:sz w:val="20"/>
                <w:szCs w:val="20"/>
                <w:color w:val="auto"/>
              </w:rPr>
            </w:pPr>
            <w:r>
              <w:rPr>
                <w:rFonts w:ascii="Arial" w:cs="Arial" w:eastAsia="Arial" w:hAnsi="Arial"/>
                <w:sz w:val="18"/>
                <w:szCs w:val="18"/>
                <w:b w:val="1"/>
                <w:bCs w:val="1"/>
                <w:color w:val="auto"/>
              </w:rPr>
              <w:t>Total service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296,329</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259,583</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211,987</w:t>
            </w:r>
          </w:p>
        </w:tc>
        <w:tc>
          <w:tcPr>
            <w:tcW w:w="80" w:type="dxa"/>
            <w:vAlign w:val="bottom"/>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Equipment revenue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ATG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91,152</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61,780</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45,200</w:t>
            </w:r>
          </w:p>
        </w:tc>
        <w:tc>
          <w:tcPr>
            <w:tcW w:w="80" w:type="dxa"/>
            <w:vAlign w:val="bottom"/>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Satellite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11,048</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11,746</w:t>
            </w:r>
          </w:p>
        </w:tc>
        <w:tc>
          <w:tcPr>
            <w:tcW w:w="80" w:type="dxa"/>
            <w:vAlign w:val="bottom"/>
            <w:shd w:val="clear" w:color="auto" w:fill="CFF0FC"/>
          </w:tcPr>
          <w:p>
            <w:pPr>
              <w:spacing w:after="0"/>
              <w:rPr>
                <w:sz w:val="21"/>
                <w:szCs w:val="21"/>
                <w:color w:val="auto"/>
              </w:rPr>
            </w:pP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20"/>
                <w:szCs w:val="20"/>
                <w:color w:val="auto"/>
              </w:rPr>
            </w:pPr>
          </w:p>
        </w:tc>
      </w:tr>
      <w:tr>
        <w:trPr>
          <w:trHeight w:val="278"/>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equipment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107,738</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76,133</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57,731</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Customer type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Aircraft owner/operator/service provider</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296,329</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259,583</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211,987</w:t>
            </w:r>
          </w:p>
        </w:tc>
        <w:tc>
          <w:tcPr>
            <w:tcW w:w="80" w:type="dxa"/>
            <w:vAlign w:val="bottom"/>
            <w:shd w:val="clear" w:color="auto" w:fill="CFF0FC"/>
          </w:tcPr>
          <w:p>
            <w:pPr>
              <w:spacing w:after="0"/>
              <w:rPr>
                <w:sz w:val="21"/>
                <w:szCs w:val="21"/>
                <w:color w:val="auto"/>
              </w:rPr>
            </w:pP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OEM and aftermarket dealer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107,738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76,133</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57,731</w:t>
            </w:r>
          </w:p>
        </w:tc>
        <w:tc>
          <w:tcPr>
            <w:tcW w:w="80" w:type="dxa"/>
            <w:vAlign w:val="bottom"/>
          </w:tcPr>
          <w:p>
            <w:pPr>
              <w:spacing w:after="0"/>
              <w:rPr>
                <w:sz w:val="20"/>
                <w:szCs w:val="20"/>
                <w:color w:val="auto"/>
              </w:rPr>
            </w:pPr>
          </w:p>
        </w:tc>
      </w:tr>
      <w:tr>
        <w:trPr>
          <w:trHeight w:val="278"/>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404,067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335,716</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269,718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-1643380</wp:posOffset>
            </wp:positionV>
            <wp:extent cx="5969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-1643380</wp:posOffset>
            </wp:positionV>
            <wp:extent cx="51435"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-1643380</wp:posOffset>
            </wp:positionV>
            <wp:extent cx="51435"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-675640</wp:posOffset>
            </wp:positionV>
            <wp:extent cx="1678305"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78305" cy="17970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-24765</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current and non-current contract asset balances totaled $19.9 million and $17.8 million as of December 31, 2022 and 2021,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represent the aggregate amount of revenue recognized in excess of billings primarily for certain sales programs.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current and non-current deferred revenue balances totaled $3.4 million and $1.8 million as of December 31, 2022 and 2021,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includes, among other things, fees paid for equipment and subscription connectivity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2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No customer accounted for more than 10% of total revenue for the years ended December 31, 2022, 2021 and 2020 and no customer accounted for more than 10% of accounts receivable as of December 31, 2022 or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as of December 31, 2022 and 2021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1580" w:type="dxa"/>
            <w:vAlign w:val="bottom"/>
          </w:tcPr>
          <w:p>
            <w:pPr>
              <w:spacing w:after="0"/>
              <w:rPr>
                <w:sz w:val="16"/>
                <w:szCs w:val="16"/>
                <w:color w:val="auto"/>
              </w:rPr>
            </w:pPr>
          </w:p>
        </w:tc>
      </w:tr>
      <w:tr>
        <w:trPr>
          <w:trHeight w:val="169"/>
        </w:trPr>
        <w:tc>
          <w:tcPr>
            <w:tcW w:w="1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1580" w:type="dxa"/>
            <w:vAlign w:val="bottom"/>
          </w:tcPr>
          <w:p>
            <w:pPr>
              <w:spacing w:after="0"/>
              <w:rPr>
                <w:sz w:val="14"/>
                <w:szCs w:val="14"/>
                <w:color w:val="auto"/>
              </w:rPr>
            </w:pPr>
          </w:p>
        </w:tc>
      </w:tr>
      <w:tr>
        <w:trPr>
          <w:trHeight w:val="236"/>
        </w:trPr>
        <w:tc>
          <w:tcPr>
            <w:tcW w:w="1580" w:type="dxa"/>
            <w:vAlign w:val="bottom"/>
          </w:tcPr>
          <w:p>
            <w:pPr>
              <w:spacing w:after="0"/>
              <w:rPr>
                <w:sz w:val="20"/>
                <w:szCs w:val="20"/>
                <w:color w:val="auto"/>
              </w:rPr>
            </w:pPr>
          </w:p>
        </w:tc>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Work-in-process component parts</w:t>
            </w:r>
          </w:p>
        </w:tc>
        <w:tc>
          <w:tcPr>
            <w:tcW w:w="1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34,840</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21,570</w:t>
            </w:r>
          </w:p>
        </w:tc>
        <w:tc>
          <w:tcPr>
            <w:tcW w:w="1580" w:type="dxa"/>
            <w:vAlign w:val="bottom"/>
          </w:tcPr>
          <w:p>
            <w:pPr>
              <w:spacing w:after="0"/>
              <w:rPr>
                <w:sz w:val="20"/>
                <w:szCs w:val="20"/>
                <w:color w:val="auto"/>
              </w:rPr>
            </w:pPr>
          </w:p>
        </w:tc>
      </w:tr>
      <w:tr>
        <w:trPr>
          <w:trHeight w:val="236"/>
        </w:trPr>
        <w:tc>
          <w:tcPr>
            <w:tcW w:w="158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4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14,653</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12,406</w:t>
            </w:r>
          </w:p>
        </w:tc>
        <w:tc>
          <w:tcPr>
            <w:tcW w:w="1580" w:type="dxa"/>
            <w:vAlign w:val="bottom"/>
          </w:tcPr>
          <w:p>
            <w:pPr>
              <w:spacing w:after="0"/>
              <w:rPr>
                <w:sz w:val="20"/>
                <w:szCs w:val="20"/>
                <w:color w:val="auto"/>
              </w:rPr>
            </w:pPr>
          </w:p>
        </w:tc>
      </w:tr>
      <w:tr>
        <w:trPr>
          <w:trHeight w:val="276"/>
        </w:trPr>
        <w:tc>
          <w:tcPr>
            <w:tcW w:w="1580" w:type="dxa"/>
            <w:vAlign w:val="bottom"/>
          </w:tcPr>
          <w:p>
            <w:pPr>
              <w:spacing w:after="0"/>
              <w:rPr>
                <w:sz w:val="24"/>
                <w:szCs w:val="24"/>
                <w:color w:val="auto"/>
              </w:rPr>
            </w:pPr>
          </w:p>
        </w:tc>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inventory</w:t>
            </w:r>
          </w:p>
        </w:tc>
        <w:tc>
          <w:tcPr>
            <w:tcW w:w="14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49,493</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33,976</w:t>
            </w:r>
          </w:p>
        </w:tc>
        <w:tc>
          <w:tcPr>
            <w:tcW w:w="1580" w:type="dxa"/>
            <w:vAlign w:val="bottom"/>
          </w:tcPr>
          <w:p>
            <w:pPr>
              <w:spacing w:after="0"/>
              <w:rPr>
                <w:sz w:val="24"/>
                <w:szCs w:val="24"/>
                <w:color w:val="auto"/>
              </w:rPr>
            </w:pPr>
          </w:p>
        </w:tc>
      </w:tr>
      <w:tr>
        <w:trPr>
          <w:trHeight w:val="634"/>
        </w:trPr>
        <w:tc>
          <w:tcPr>
            <w:tcW w:w="1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68</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01"/>
        </w:trPr>
        <w:tc>
          <w:tcPr>
            <w:tcW w:w="158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-513080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-495935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-513080</wp:posOffset>
            </wp:positionV>
            <wp:extent cx="425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-495935</wp:posOffset>
            </wp:positionV>
            <wp:extent cx="425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6. Composition of Certain Balance Sheet Accounts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as of December 31, 2022 and 2021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caps and receivable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28,496</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FF0FC"/>
          </w:tcPr>
          <w:p>
            <w:pPr>
              <w:spacing w:after="0"/>
              <w:rPr>
                <w:sz w:val="20"/>
                <w:szCs w:val="20"/>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Contract assets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4,533</w:t>
            </w: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Prepaid inventories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80" w:type="dxa"/>
            <w:vAlign w:val="bottom"/>
            <w:shd w:val="clear" w:color="auto" w:fill="CFF0FC"/>
          </w:tcPr>
          <w:p>
            <w:pPr>
              <w:spacing w:after="0"/>
              <w:rPr>
                <w:sz w:val="21"/>
                <w:szCs w:val="21"/>
                <w:color w:val="auto"/>
              </w:rPr>
            </w:pPr>
          </w:p>
        </w:tc>
      </w:tr>
      <w:tr>
        <w:trPr>
          <w:trHeight w:val="243"/>
        </w:trPr>
        <w:tc>
          <w:tcPr>
            <w:tcW w:w="5340" w:type="dxa"/>
            <w:vAlign w:val="bottom"/>
          </w:tcPr>
          <w:p>
            <w:pPr>
              <w:spacing w:after="0" w:line="243" w:lineRule="exact"/>
              <w:rPr>
                <w:sz w:val="20"/>
                <w:szCs w:val="20"/>
                <w:color w:val="auto"/>
              </w:rPr>
            </w:pPr>
            <w:r>
              <w:rPr>
                <w:rFonts w:ascii="Arial" w:cs="Arial" w:eastAsia="Arial" w:hAnsi="Arial"/>
                <w:sz w:val="18"/>
                <w:szCs w:val="18"/>
                <w:color w:val="auto"/>
              </w:rPr>
              <w:t xml:space="preserve">Insurance receivable </w:t>
            </w:r>
            <w:r>
              <w:rPr>
                <w:rFonts w:ascii="Arial" w:cs="Arial" w:eastAsia="Arial" w:hAnsi="Arial"/>
                <w:sz w:val="24"/>
                <w:szCs w:val="24"/>
                <w:i w:val="1"/>
                <w:iCs w:val="1"/>
                <w:color w:val="auto"/>
                <w:vertAlign w:val="superscript"/>
              </w:rPr>
              <w:t>(1)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17,300</w:t>
            </w:r>
          </w:p>
        </w:tc>
        <w:tc>
          <w:tcPr>
            <w:tcW w:w="80" w:type="dxa"/>
            <w:vAlign w:val="bottom"/>
          </w:tcPr>
          <w:p>
            <w:pPr>
              <w:spacing w:after="0"/>
              <w:rPr>
                <w:sz w:val="21"/>
                <w:szCs w:val="21"/>
                <w:color w:val="auto"/>
              </w:rPr>
            </w:pPr>
          </w:p>
        </w:tc>
      </w:tr>
      <w:tr>
        <w:trPr>
          <w:trHeight w:val="24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 allowance receivables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80" w:type="dxa"/>
            <w:vAlign w:val="bottom"/>
            <w:shd w:val="clear" w:color="auto" w:fill="CFF0FC"/>
          </w:tcPr>
          <w:p>
            <w:pPr>
              <w:spacing w:after="0"/>
              <w:rPr>
                <w:sz w:val="21"/>
                <w:szCs w:val="21"/>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80" w:type="dxa"/>
            <w:vAlign w:val="bottom"/>
          </w:tcPr>
          <w:p>
            <w:pPr>
              <w:spacing w:after="0"/>
              <w:rPr>
                <w:sz w:val="20"/>
                <w:szCs w:val="20"/>
                <w:color w:val="auto"/>
              </w:rPr>
            </w:pPr>
          </w:p>
        </w:tc>
      </w:tr>
      <w:tr>
        <w:trPr>
          <w:trHeight w:val="27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45,100</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32,295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-24765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4" w:lineRule="exact"/>
        <w:rPr>
          <w:sz w:val="20"/>
          <w:szCs w:val="20"/>
          <w:color w:val="auto"/>
        </w:rPr>
      </w:pPr>
    </w:p>
    <w:p>
      <w:pPr>
        <w:jc w:val="center"/>
        <w:ind w:left="520" w:right="3039" w:hanging="4"/>
        <w:spacing w:after="0" w:line="601" w:lineRule="auto"/>
        <w:tabs>
          <w:tab w:leader="none" w:pos="1029" w:val="left"/>
        </w:tabs>
        <w:numPr>
          <w:ilvl w:val="0"/>
          <w:numId w:val="37"/>
        </w:numPr>
        <w:rPr>
          <w:rFonts w:ascii="Arial" w:cs="Arial" w:eastAsia="Arial" w:hAnsi="Arial"/>
          <w:sz w:val="16"/>
          <w:szCs w:val="16"/>
          <w:i w:val="1"/>
          <w:iCs w:val="1"/>
          <w:color w:val="auto"/>
        </w:rPr>
      </w:pPr>
      <w:r>
        <w:rPr>
          <w:rFonts w:ascii="Arial" w:cs="Arial" w:eastAsia="Arial" w:hAnsi="Arial"/>
          <w:sz w:val="16"/>
          <w:szCs w:val="16"/>
          <w:color w:val="auto"/>
        </w:rPr>
        <w:t>See Note 17, “Commitments and Contingencies,” for additional information. Property and equipment as of December 31, 2022 and 2021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furniture, fixtures and other</w:t>
            </w:r>
          </w:p>
        </w:tc>
        <w:tc>
          <w:tcPr>
            <w:tcW w:w="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17,242</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12,759</w:t>
            </w:r>
          </w:p>
        </w:tc>
        <w:tc>
          <w:tcPr>
            <w:tcW w:w="80" w:type="dxa"/>
            <w:vAlign w:val="bottom"/>
            <w:shd w:val="clear" w:color="auto" w:fill="CFF0FC"/>
          </w:tcPr>
          <w:p>
            <w:pPr>
              <w:spacing w:after="0"/>
              <w:rPr>
                <w:sz w:val="20"/>
                <w:szCs w:val="20"/>
                <w:color w:val="auto"/>
              </w:rPr>
            </w:pPr>
          </w:p>
        </w:tc>
      </w:tr>
      <w:tr>
        <w:trPr>
          <w:trHeight w:val="236"/>
        </w:trPr>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15,357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13,545</w:t>
            </w:r>
          </w:p>
        </w:tc>
        <w:tc>
          <w:tcPr>
            <w:tcW w:w="80" w:type="dxa"/>
            <w:vAlign w:val="bottom"/>
          </w:tcPr>
          <w:p>
            <w:pPr>
              <w:spacing w:after="0"/>
              <w:rPr>
                <w:sz w:val="20"/>
                <w:szCs w:val="20"/>
                <w:color w:val="auto"/>
              </w:rPr>
            </w:pPr>
          </w:p>
        </w:tc>
      </w:tr>
      <w:tr>
        <w:trPr>
          <w:trHeight w:val="243"/>
        </w:trPr>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Network equipment</w:t>
            </w: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179,363</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142,601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211,962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168,905</w:t>
            </w:r>
          </w:p>
        </w:tc>
        <w:tc>
          <w:tcPr>
            <w:tcW w:w="80" w:type="dxa"/>
            <w:vAlign w:val="bottom"/>
          </w:tcPr>
          <w:p>
            <w:pPr>
              <w:spacing w:after="0"/>
              <w:rPr>
                <w:sz w:val="19"/>
                <w:szCs w:val="19"/>
                <w:color w:val="auto"/>
              </w:rPr>
            </w:pPr>
          </w:p>
        </w:tc>
      </w:tr>
      <w:tr>
        <w:trPr>
          <w:trHeight w:val="249"/>
        </w:trPr>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(107,367 )</w:t>
            </w: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(105,233 )</w:t>
            </w:r>
          </w:p>
        </w:tc>
      </w:tr>
      <w:tr>
        <w:trPr>
          <w:trHeight w:val="236"/>
        </w:trPr>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104,595</w:t>
            </w:r>
          </w:p>
        </w:tc>
        <w:tc>
          <w:tcPr>
            <w:tcW w:w="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63,672</w:t>
            </w:r>
          </w:p>
        </w:tc>
        <w:tc>
          <w:tcPr>
            <w:tcW w:w="80" w:type="dxa"/>
            <w:vAlign w:val="bottom"/>
            <w:tcBorders>
              <w:top w:val="single" w:sz="8" w:color="CFF0FC"/>
            </w:tcBorders>
          </w:tcPr>
          <w:p>
            <w:pPr>
              <w:spacing w:after="0"/>
              <w:rPr>
                <w:sz w:val="20"/>
                <w:szCs w:val="20"/>
                <w:color w:val="auto"/>
              </w:rPr>
            </w:pPr>
          </w:p>
        </w:tc>
      </w:tr>
      <w:tr>
        <w:trPr>
          <w:trHeight w:val="20"/>
        </w:trPr>
        <w:tc>
          <w:tcPr>
            <w:tcW w:w="650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5"/>
        </w:trPr>
        <w:tc>
          <w:tcPr>
            <w:tcW w:w="6780" w:type="dxa"/>
            <w:vAlign w:val="bottom"/>
            <w:gridSpan w:val="5"/>
          </w:tcPr>
          <w:p>
            <w:pPr>
              <w:jc w:val="right"/>
              <w:ind w:right="90"/>
              <w:spacing w:after="0"/>
              <w:rPr>
                <w:sz w:val="20"/>
                <w:szCs w:val="20"/>
                <w:color w:val="auto"/>
              </w:rPr>
            </w:pPr>
            <w:r>
              <w:rPr>
                <w:rFonts w:ascii="Arial" w:cs="Arial" w:eastAsia="Arial" w:hAnsi="Arial"/>
                <w:sz w:val="18"/>
                <w:szCs w:val="18"/>
                <w:color w:val="auto"/>
                <w:w w:val="89"/>
              </w:rPr>
              <w:t>Other non-current assets as of December 31, 2022 and 2021 were as follows (</w:t>
            </w:r>
            <w:r>
              <w:rPr>
                <w:rFonts w:ascii="Arial" w:cs="Arial" w:eastAsia="Arial" w:hAnsi="Arial"/>
                <w:sz w:val="18"/>
                <w:szCs w:val="18"/>
                <w:i w:val="1"/>
                <w:iCs w:val="1"/>
                <w:color w:val="auto"/>
                <w:w w:val="89"/>
              </w:rPr>
              <w:t>in thousands</w:t>
            </w:r>
            <w:r>
              <w:rPr>
                <w:rFonts w:ascii="Arial" w:cs="Arial" w:eastAsia="Arial" w:hAnsi="Arial"/>
                <w:sz w:val="18"/>
                <w:szCs w:val="18"/>
                <w:color w:val="auto"/>
                <w:w w:val="89"/>
              </w:rPr>
              <w:t>):</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rate caps</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25,578</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11,359</w:t>
            </w:r>
          </w:p>
        </w:tc>
        <w:tc>
          <w:tcPr>
            <w:tcW w:w="80" w:type="dxa"/>
            <w:vAlign w:val="bottom"/>
            <w:shd w:val="clear" w:color="auto" w:fill="CFF0FC"/>
          </w:tcPr>
          <w:p>
            <w:pPr>
              <w:spacing w:after="0"/>
              <w:rPr>
                <w:sz w:val="20"/>
                <w:szCs w:val="20"/>
                <w:color w:val="auto"/>
              </w:rPr>
            </w:pPr>
          </w:p>
        </w:tc>
      </w:tr>
      <w:tr>
        <w:trPr>
          <w:trHeight w:val="236"/>
        </w:trPr>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Contract assets, net of allowances of $501 and $455, respectively</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13,376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13,217</w:t>
            </w:r>
          </w:p>
        </w:tc>
        <w:tc>
          <w:tcPr>
            <w:tcW w:w="80" w:type="dxa"/>
            <w:vAlign w:val="bottom"/>
          </w:tcPr>
          <w:p>
            <w:pPr>
              <w:spacing w:after="0"/>
              <w:rPr>
                <w:sz w:val="20"/>
                <w:szCs w:val="20"/>
                <w:color w:val="auto"/>
              </w:rPr>
            </w:pPr>
          </w:p>
        </w:tc>
      </w:tr>
      <w:tr>
        <w:trPr>
          <w:trHeight w:val="249"/>
        </w:trPr>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 deferred financing costs</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1,445</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80" w:type="dxa"/>
            <w:vAlign w:val="bottom"/>
            <w:shd w:val="clear" w:color="auto" w:fill="CFF0FC"/>
          </w:tcPr>
          <w:p>
            <w:pPr>
              <w:spacing w:after="0"/>
              <w:rPr>
                <w:sz w:val="21"/>
                <w:szCs w:val="21"/>
                <w:color w:val="auto"/>
              </w:rPr>
            </w:pPr>
          </w:p>
        </w:tc>
      </w:tr>
      <w:tr>
        <w:trPr>
          <w:trHeight w:val="236"/>
        </w:trPr>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2,956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20"/>
                <w:szCs w:val="20"/>
                <w:color w:val="auto"/>
              </w:rPr>
            </w:pPr>
          </w:p>
        </w:tc>
      </w:tr>
      <w:tr>
        <w:trPr>
          <w:trHeight w:val="27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non-current assets</w:t>
            </w: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43,355</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28,425</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72"/>
        </w:trPr>
        <w:tc>
          <w:tcPr>
            <w:tcW w:w="6500" w:type="dxa"/>
            <w:vAlign w:val="bottom"/>
            <w:gridSpan w:val="3"/>
          </w:tcPr>
          <w:p>
            <w:pPr>
              <w:spacing w:after="0"/>
              <w:rPr>
                <w:sz w:val="20"/>
                <w:szCs w:val="20"/>
                <w:color w:val="auto"/>
              </w:rPr>
            </w:pPr>
            <w:r>
              <w:rPr>
                <w:rFonts w:ascii="Arial" w:cs="Arial" w:eastAsia="Arial" w:hAnsi="Arial"/>
                <w:sz w:val="18"/>
                <w:szCs w:val="18"/>
                <w:color w:val="auto"/>
                <w:w w:val="95"/>
              </w:rPr>
              <w:t>Accrued liabilities as of December 31, 2022 and 2021 were as follows (</w:t>
            </w:r>
            <w:r>
              <w:rPr>
                <w:rFonts w:ascii="Arial" w:cs="Arial" w:eastAsia="Arial" w:hAnsi="Arial"/>
                <w:sz w:val="18"/>
                <w:szCs w:val="18"/>
                <w:i w:val="1"/>
                <w:iCs w:val="1"/>
                <w:color w:val="auto"/>
                <w:w w:val="95"/>
              </w:rPr>
              <w:t>in thousands</w:t>
            </w:r>
            <w:r>
              <w:rPr>
                <w:rFonts w:ascii="Arial" w:cs="Arial" w:eastAsia="Arial" w:hAnsi="Arial"/>
                <w:sz w:val="18"/>
                <w:szCs w:val="18"/>
                <w:color w:val="auto"/>
                <w:w w:val="95"/>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19,235</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13,791</w:t>
            </w:r>
          </w:p>
        </w:tc>
        <w:tc>
          <w:tcPr>
            <w:tcW w:w="80" w:type="dxa"/>
            <w:vAlign w:val="bottom"/>
            <w:shd w:val="clear" w:color="auto" w:fill="CFF0FC"/>
          </w:tcPr>
          <w:p>
            <w:pPr>
              <w:spacing w:after="0"/>
              <w:rPr>
                <w:sz w:val="20"/>
                <w:szCs w:val="20"/>
                <w:color w:val="auto"/>
              </w:rPr>
            </w:pPr>
          </w:p>
        </w:tc>
      </w:tr>
      <w:tr>
        <w:trPr>
          <w:trHeight w:val="236"/>
        </w:trPr>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9,878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6,231</w:t>
            </w:r>
          </w:p>
        </w:tc>
        <w:tc>
          <w:tcPr>
            <w:tcW w:w="80" w:type="dxa"/>
            <w:vAlign w:val="bottom"/>
          </w:tcPr>
          <w:p>
            <w:pPr>
              <w:spacing w:after="0"/>
              <w:rPr>
                <w:sz w:val="20"/>
                <w:szCs w:val="20"/>
                <w:color w:val="auto"/>
              </w:rPr>
            </w:pPr>
          </w:p>
        </w:tc>
      </w:tr>
      <w:tr>
        <w:trPr>
          <w:trHeight w:val="249"/>
        </w:trPr>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9,094</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7,444</w:t>
            </w:r>
          </w:p>
        </w:tc>
        <w:tc>
          <w:tcPr>
            <w:tcW w:w="80" w:type="dxa"/>
            <w:vAlign w:val="bottom"/>
            <w:shd w:val="clear" w:color="auto" w:fill="CFF0FC"/>
          </w:tcPr>
          <w:p>
            <w:pPr>
              <w:spacing w:after="0"/>
              <w:rPr>
                <w:sz w:val="21"/>
                <w:szCs w:val="21"/>
                <w:color w:val="auto"/>
              </w:rPr>
            </w:pPr>
          </w:p>
        </w:tc>
      </w:tr>
      <w:tr>
        <w:trPr>
          <w:trHeight w:val="236"/>
        </w:trPr>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Network equipment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8,748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20"/>
                <w:szCs w:val="20"/>
                <w:color w:val="auto"/>
              </w:rPr>
            </w:pPr>
          </w:p>
        </w:tc>
      </w:tr>
      <w:tr>
        <w:trPr>
          <w:trHeight w:val="249"/>
        </w:trPr>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Warranty reserve</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w:t>
            </w:r>
          </w:p>
        </w:tc>
        <w:tc>
          <w:tcPr>
            <w:tcW w:w="80" w:type="dxa"/>
            <w:vAlign w:val="bottom"/>
            <w:shd w:val="clear" w:color="auto" w:fill="CFF0FC"/>
          </w:tcPr>
          <w:p>
            <w:pPr>
              <w:spacing w:after="0"/>
              <w:rPr>
                <w:sz w:val="21"/>
                <w:szCs w:val="21"/>
                <w:color w:val="auto"/>
              </w:rPr>
            </w:pPr>
          </w:p>
        </w:tc>
      </w:tr>
      <w:tr>
        <w:trPr>
          <w:trHeight w:val="236"/>
        </w:trPr>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Taxes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2,282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1,997</w:t>
            </w:r>
          </w:p>
        </w:tc>
        <w:tc>
          <w:tcPr>
            <w:tcW w:w="80" w:type="dxa"/>
            <w:vAlign w:val="bottom"/>
          </w:tcPr>
          <w:p>
            <w:pPr>
              <w:spacing w:after="0"/>
              <w:rPr>
                <w:sz w:val="20"/>
                <w:szCs w:val="20"/>
                <w:color w:val="auto"/>
              </w:rPr>
            </w:pPr>
          </w:p>
        </w:tc>
      </w:tr>
      <w:tr>
        <w:trPr>
          <w:trHeight w:val="249"/>
        </w:trPr>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320" w:type="dxa"/>
            <w:vAlign w:val="bottom"/>
            <w:shd w:val="clear" w:color="auto" w:fill="CFF0FC"/>
          </w:tcPr>
          <w:p>
            <w:pPr>
              <w:spacing w:after="0" w:line="249" w:lineRule="exact"/>
              <w:rPr>
                <w:sz w:val="20"/>
                <w:szCs w:val="20"/>
                <w:color w:val="auto"/>
              </w:rPr>
            </w:pPr>
            <w:r>
              <w:rPr>
                <w:rFonts w:ascii="Arial" w:cs="Arial" w:eastAsia="Arial" w:hAnsi="Arial"/>
                <w:sz w:val="18"/>
                <w:szCs w:val="18"/>
                <w:color w:val="auto"/>
              </w:rPr>
              <w:t xml:space="preserve">Litigation settlement accrual </w:t>
            </w:r>
            <w:r>
              <w:rPr>
                <w:rFonts w:ascii="Arial" w:cs="Arial" w:eastAsia="Arial" w:hAnsi="Arial"/>
                <w:sz w:val="24"/>
                <w:szCs w:val="24"/>
                <w:i w:val="1"/>
                <w:iCs w:val="1"/>
                <w:color w:val="auto"/>
                <w:vertAlign w:val="superscript"/>
              </w:rPr>
              <w:t>(1)</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17,300</w:t>
            </w:r>
          </w:p>
        </w:tc>
        <w:tc>
          <w:tcPr>
            <w:tcW w:w="80" w:type="dxa"/>
            <w:vAlign w:val="bottom"/>
            <w:shd w:val="clear" w:color="auto" w:fill="CFF0FC"/>
          </w:tcPr>
          <w:p>
            <w:pPr>
              <w:spacing w:after="0"/>
              <w:rPr>
                <w:sz w:val="21"/>
                <w:szCs w:val="21"/>
                <w:color w:val="auto"/>
              </w:rPr>
            </w:pPr>
          </w:p>
        </w:tc>
      </w:tr>
      <w:tr>
        <w:trPr>
          <w:trHeight w:val="236"/>
        </w:trPr>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80" w:type="dxa"/>
            <w:vAlign w:val="bottom"/>
          </w:tcPr>
          <w:p>
            <w:pPr>
              <w:spacing w:after="0"/>
              <w:rPr>
                <w:sz w:val="20"/>
                <w:szCs w:val="20"/>
                <w:color w:val="auto"/>
              </w:rPr>
            </w:pPr>
          </w:p>
        </w:tc>
      </w:tr>
      <w:tr>
        <w:trPr>
          <w:trHeight w:val="27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60,056</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59,868</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32"/>
        </w:trPr>
        <w:tc>
          <w:tcPr>
            <w:tcW w:w="360" w:type="dxa"/>
            <w:vAlign w:val="bottom"/>
          </w:tcPr>
          <w:p>
            <w:pPr>
              <w:spacing w:after="0"/>
              <w:rPr>
                <w:sz w:val="20"/>
                <w:szCs w:val="20"/>
                <w:color w:val="auto"/>
              </w:rPr>
            </w:pPr>
            <w:r>
              <w:rPr>
                <w:rFonts w:ascii="Arial" w:cs="Arial" w:eastAsia="Arial" w:hAnsi="Arial"/>
                <w:sz w:val="18"/>
                <w:szCs w:val="18"/>
                <w:i w:val="1"/>
                <w:iCs w:val="1"/>
                <w:color w:val="auto"/>
              </w:rPr>
              <w:t>(1)</w:t>
            </w:r>
          </w:p>
        </w:tc>
        <w:tc>
          <w:tcPr>
            <w:tcW w:w="6140" w:type="dxa"/>
            <w:vAlign w:val="bottom"/>
            <w:gridSpan w:val="2"/>
          </w:tcPr>
          <w:p>
            <w:pPr>
              <w:ind w:left="140"/>
              <w:spacing w:after="0"/>
              <w:rPr>
                <w:sz w:val="20"/>
                <w:szCs w:val="20"/>
                <w:color w:val="auto"/>
              </w:rPr>
            </w:pPr>
            <w:r>
              <w:rPr>
                <w:rFonts w:ascii="Arial" w:cs="Arial" w:eastAsia="Arial" w:hAnsi="Arial"/>
                <w:sz w:val="18"/>
                <w:szCs w:val="18"/>
                <w:color w:val="auto"/>
                <w:w w:val="99"/>
              </w:rPr>
              <w:t>See Note 17, “Commitments and Contingencies,” for additional information.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-4383405</wp:posOffset>
            </wp:positionV>
            <wp:extent cx="51435"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-4383405</wp:posOffset>
            </wp:positionV>
            <wp:extent cx="42545"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-4066540</wp:posOffset>
            </wp:positionV>
            <wp:extent cx="51435"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-4066540</wp:posOffset>
            </wp:positionV>
            <wp:extent cx="42545"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-2422525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-2405380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-2422525</wp:posOffset>
            </wp:positionV>
            <wp:extent cx="425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-2405380</wp:posOffset>
            </wp:positionV>
            <wp:extent cx="425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-307340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-290830</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-307340</wp:posOffset>
            </wp:positionV>
            <wp:extent cx="425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-290830</wp:posOffset>
            </wp:positionV>
            <wp:extent cx="425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non-current liabilities as of December 31, 2022 and 2021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71" w:name="page72"/>
    <w:bookmarkEnd w:id="71"/>
    <w:tbl>
      <w:tblPr>
        <w:tblLayout w:type="fixed"/>
        <w:tblInd w:w="170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obligations</w:t>
            </w:r>
          </w:p>
        </w:tc>
        <w:tc>
          <w:tcPr>
            <w:tcW w:w="72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6,032</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80" w:type="dxa"/>
            <w:vAlign w:val="bottom"/>
            <w:shd w:val="clear" w:color="auto" w:fill="CFF0FC"/>
          </w:tcPr>
          <w:p>
            <w:pPr>
              <w:spacing w:after="0"/>
              <w:rPr>
                <w:sz w:val="20"/>
                <w:szCs w:val="20"/>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1,579</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20"/>
                <w:szCs w:val="20"/>
                <w:color w:val="auto"/>
              </w:rPr>
            </w:pPr>
          </w:p>
        </w:tc>
      </w:tr>
      <w:tr>
        <w:trPr>
          <w:trHeight w:val="27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non-current liabilities</w:t>
            </w:r>
          </w:p>
        </w:tc>
        <w:tc>
          <w:tcPr>
            <w:tcW w:w="720" w:type="dxa"/>
            <w:vAlign w:val="bottom"/>
            <w:tcBorders>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7,611</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-24765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Changes in our non-current asset retirement obligations for the years ended December 31, 2022 and 2021 consist of the following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53"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6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Asset</w:t>
            </w:r>
          </w:p>
        </w:tc>
      </w:tr>
      <w:tr>
        <w:trPr>
          <w:trHeight w:val="175"/>
        </w:trPr>
        <w:tc>
          <w:tcPr>
            <w:tcW w:w="6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Retirement</w:t>
            </w:r>
          </w:p>
        </w:tc>
      </w:tr>
      <w:tr>
        <w:trPr>
          <w:trHeight w:val="185"/>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Obligation</w:t>
            </w:r>
          </w:p>
        </w:tc>
      </w:tr>
      <w:tr>
        <w:trPr>
          <w:trHeight w:val="23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Balance – January 1, 2021</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4,401</w:t>
            </w:r>
          </w:p>
        </w:tc>
        <w:tc>
          <w:tcPr>
            <w:tcW w:w="80" w:type="dxa"/>
            <w:vAlign w:val="bottom"/>
            <w:shd w:val="clear" w:color="auto" w:fill="CFF0FC"/>
          </w:tcPr>
          <w:p>
            <w:pPr>
              <w:spacing w:after="0"/>
              <w:rPr>
                <w:sz w:val="20"/>
                <w:szCs w:val="20"/>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Liabilities incurred</w:t>
            </w:r>
          </w:p>
        </w:tc>
        <w:tc>
          <w:tcPr>
            <w:tcW w:w="2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5"/>
        </w:trPr>
        <w:tc>
          <w:tcPr>
            <w:tcW w:w="6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Liabilities settled</w:t>
            </w:r>
          </w:p>
        </w:tc>
        <w:tc>
          <w:tcPr>
            <w:tcW w:w="2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0"/>
                <w:szCs w:val="20"/>
                <w:color w:val="auto"/>
              </w:rPr>
            </w:pPr>
          </w:p>
        </w:tc>
      </w:tr>
      <w:tr>
        <w:trPr>
          <w:trHeight w:val="249"/>
        </w:trPr>
        <w:tc>
          <w:tcPr>
            <w:tcW w:w="6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 exchange rate adjustments</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6"/>
        </w:trPr>
        <w:tc>
          <w:tcPr>
            <w:tcW w:w="64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 December 31, 2021</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80" w:type="dxa"/>
            <w:vAlign w:val="bottom"/>
            <w:tcBorders>
              <w:top w:val="single" w:sz="8" w:color="CFF0FC"/>
            </w:tcBorders>
          </w:tcPr>
          <w:p>
            <w:pPr>
              <w:spacing w:after="0"/>
              <w:rPr>
                <w:sz w:val="20"/>
                <w:szCs w:val="20"/>
                <w:color w:val="auto"/>
              </w:rPr>
            </w:pPr>
          </w:p>
        </w:tc>
      </w:tr>
      <w:tr>
        <w:trPr>
          <w:trHeight w:val="249"/>
        </w:trPr>
        <w:tc>
          <w:tcPr>
            <w:tcW w:w="6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Liabilities incurred</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FF0FC"/>
          </w:tcPr>
          <w:p>
            <w:pPr>
              <w:spacing w:after="0"/>
              <w:rPr>
                <w:sz w:val="21"/>
                <w:szCs w:val="21"/>
                <w:color w:val="auto"/>
              </w:rPr>
            </w:pPr>
          </w:p>
        </w:tc>
      </w:tr>
      <w:tr>
        <w:trPr>
          <w:trHeight w:val="236"/>
        </w:trPr>
        <w:tc>
          <w:tcPr>
            <w:tcW w:w="6420" w:type="dxa"/>
            <w:vAlign w:val="bottom"/>
          </w:tcPr>
          <w:p>
            <w:pPr>
              <w:ind w:left="180"/>
              <w:spacing w:after="0"/>
              <w:rPr>
                <w:sz w:val="20"/>
                <w:szCs w:val="20"/>
                <w:color w:val="auto"/>
              </w:rPr>
            </w:pPr>
            <w:r>
              <w:rPr>
                <w:rFonts w:ascii="Arial" w:cs="Arial" w:eastAsia="Arial" w:hAnsi="Arial"/>
                <w:sz w:val="18"/>
                <w:szCs w:val="18"/>
                <w:color w:val="auto"/>
              </w:rPr>
              <w:t>Liabilities settled</w:t>
            </w: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(43 )</w:t>
            </w:r>
          </w:p>
        </w:tc>
      </w:tr>
      <w:tr>
        <w:trPr>
          <w:trHeight w:val="249"/>
        </w:trPr>
        <w:tc>
          <w:tcPr>
            <w:tcW w:w="6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 expense</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FF0FC"/>
          </w:tcPr>
          <w:p>
            <w:pPr>
              <w:spacing w:after="0"/>
              <w:rPr>
                <w:sz w:val="21"/>
                <w:szCs w:val="21"/>
                <w:color w:val="auto"/>
              </w:rPr>
            </w:pPr>
          </w:p>
        </w:tc>
      </w:tr>
      <w:tr>
        <w:trPr>
          <w:trHeight w:val="236"/>
        </w:trPr>
        <w:tc>
          <w:tcPr>
            <w:tcW w:w="6420" w:type="dxa"/>
            <w:vAlign w:val="bottom"/>
          </w:tcPr>
          <w:p>
            <w:pPr>
              <w:ind w:left="180"/>
              <w:spacing w:after="0"/>
              <w:rPr>
                <w:sz w:val="20"/>
                <w:szCs w:val="20"/>
                <w:color w:val="auto"/>
              </w:rPr>
            </w:pPr>
            <w:r>
              <w:rPr>
                <w:rFonts w:ascii="Arial" w:cs="Arial" w:eastAsia="Arial" w:hAnsi="Arial"/>
                <w:sz w:val="18"/>
                <w:szCs w:val="18"/>
                <w:color w:val="auto"/>
              </w:rPr>
              <w:t>Foreign exchange rate adjustments</w:t>
            </w: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76"/>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2022</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-967105</wp:posOffset>
            </wp:positionV>
            <wp:extent cx="42545" cy="162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Composition of Certain Reserves and Allowances</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b w:val="1"/>
          <w:bCs w:val="1"/>
          <w:color w:val="auto"/>
        </w:rPr>
        <w:t xml:space="preserve">Credit Losses </w:t>
      </w:r>
      <w:r>
        <w:rPr>
          <w:rFonts w:ascii="Arial" w:cs="Arial" w:eastAsia="Arial" w:hAnsi="Arial"/>
          <w:sz w:val="17"/>
          <w:szCs w:val="17"/>
          <w:color w:val="auto"/>
        </w:rPr>
        <w:t>— We regularly evaluate our accounts receivable and contract assets for expected credit losses. Our expected loss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methodology for accounts receivable is developed using historical collection experience, current and future economic and market conditions, and a review of the current status of each customer’s trade accounts receivables. Due to the short-term nature of such receivables, the estimated amount of accounts receivable that may not be collected is based on the aging of the accounts receivable balances and the financial condition of customers. Additionally, specific allowance amounts are established to record the appropriate provision for customers that have a higher probability of default. Our monitoring activities include timely account reconciliation, dispute resolution, payment confirmation, consideration of each customer’s financial condition and macroeconomic conditions. Balances are written off when determined to be uncollectible. We apply a similar methodology to our current and non-current contract asset balances. However, due to the inherent additional risk associated with a long-term receivable, an additional provision for credit loss is applied to contract asset balances that will diminish over time as the contract nears its expiration date.</w:t>
      </w:r>
    </w:p>
    <w:p>
      <w:pPr>
        <w:spacing w:after="0" w:line="7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Estimates are used to determine the expected loss allowances. Such allowances are based on management’s assessment of anticipated payment, taking into account available historical and current information as well as management’s assessment of potential future developments. We are continuously monitoring our assumptions used to determine our expected credit losses, including the impact of COVID-19, which could cause us to record additional material credit losses in future periods.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our allowances for credit losses for the years ended December 31, 2022 and 2021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5"/>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r>
      <w:tr>
        <w:trPr>
          <w:trHeight w:val="175"/>
        </w:trPr>
        <w:tc>
          <w:tcPr>
            <w:tcW w:w="77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Accounts</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75"/>
              <w:spacing w:after="0"/>
              <w:rPr>
                <w:sz w:val="20"/>
                <w:szCs w:val="20"/>
                <w:color w:val="auto"/>
              </w:rPr>
            </w:pPr>
            <w:r>
              <w:rPr>
                <w:rFonts w:ascii="Arial" w:cs="Arial" w:eastAsia="Arial" w:hAnsi="Arial"/>
                <w:sz w:val="14"/>
                <w:szCs w:val="14"/>
                <w:b w:val="1"/>
                <w:bCs w:val="1"/>
                <w:color w:val="auto"/>
                <w:w w:val="94"/>
              </w:rPr>
              <w:t>non-current</w:t>
            </w:r>
          </w:p>
        </w:tc>
        <w:tc>
          <w:tcPr>
            <w:tcW w:w="100" w:type="dxa"/>
            <w:vAlign w:val="bottom"/>
          </w:tcPr>
          <w:p>
            <w:pPr>
              <w:spacing w:after="0"/>
              <w:rPr>
                <w:sz w:val="15"/>
                <w:szCs w:val="15"/>
                <w:color w:val="auto"/>
              </w:rPr>
            </w:pPr>
          </w:p>
        </w:tc>
      </w:tr>
      <w:tr>
        <w:trPr>
          <w:trHeight w:val="185"/>
        </w:trPr>
        <w:tc>
          <w:tcPr>
            <w:tcW w:w="77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Receivable</w:t>
            </w:r>
          </w:p>
        </w:tc>
        <w:tc>
          <w:tcPr>
            <w:tcW w:w="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77"/>
              </w:rPr>
              <w:t>assets</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2021</w:t>
            </w:r>
          </w:p>
        </w:tc>
        <w:tc>
          <w:tcPr>
            <w:tcW w:w="1140" w:type="dxa"/>
            <w:vAlign w:val="bottom"/>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1,044</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120"/>
              <w:spacing w:after="0"/>
              <w:rPr>
                <w:sz w:val="20"/>
                <w:szCs w:val="20"/>
                <w:color w:val="auto"/>
              </w:rPr>
            </w:pPr>
            <w:r>
              <w:rPr>
                <w:rFonts w:ascii="Arial" w:cs="Arial" w:eastAsia="Arial" w:hAnsi="Arial"/>
                <w:sz w:val="18"/>
                <w:szCs w:val="18"/>
                <w:color w:val="auto"/>
              </w:rPr>
              <w:t>Provision for expected credit losses</w:t>
            </w:r>
          </w:p>
        </w:tc>
        <w:tc>
          <w:tcPr>
            <w:tcW w:w="1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 charged against the allowances</w:t>
            </w:r>
          </w:p>
        </w:tc>
        <w:tc>
          <w:tcPr>
            <w:tcW w:w="1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(371 )</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1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2"/>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1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120"/>
              <w:spacing w:after="0"/>
              <w:rPr>
                <w:sz w:val="20"/>
                <w:szCs w:val="20"/>
                <w:color w:val="auto"/>
              </w:rPr>
            </w:pPr>
            <w:r>
              <w:rPr>
                <w:rFonts w:ascii="Arial" w:cs="Arial" w:eastAsia="Arial" w:hAnsi="Arial"/>
                <w:sz w:val="18"/>
                <w:szCs w:val="18"/>
                <w:color w:val="auto"/>
              </w:rPr>
              <w:t>Provision for expected credit losses</w:t>
            </w:r>
          </w:p>
        </w:tc>
        <w:tc>
          <w:tcPr>
            <w:tcW w:w="1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 charged against the allowances</w:t>
            </w:r>
          </w:p>
        </w:tc>
        <w:tc>
          <w:tcPr>
            <w:tcW w:w="1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(326 )</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1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1,778</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0" w:firstLine="509"/>
        <w:spacing w:after="0" w:line="260" w:lineRule="auto"/>
        <w:rPr>
          <w:sz w:val="20"/>
          <w:szCs w:val="20"/>
          <w:color w:val="auto"/>
        </w:rPr>
      </w:pPr>
      <w:r>
        <w:rPr>
          <w:rFonts w:ascii="Arial" w:cs="Arial" w:eastAsia="Arial" w:hAnsi="Arial"/>
          <w:sz w:val="18"/>
          <w:szCs w:val="18"/>
          <w:b w:val="1"/>
          <w:bCs w:val="1"/>
          <w:color w:val="auto"/>
        </w:rPr>
        <w:t xml:space="preserve">Warranties </w:t>
      </w:r>
      <w:r>
        <w:rPr>
          <w:rFonts w:ascii="Arial" w:cs="Arial" w:eastAsia="Arial" w:hAnsi="Arial"/>
          <w:sz w:val="18"/>
          <w:szCs w:val="18"/>
          <w:color w:val="auto"/>
        </w:rPr>
        <w:t>— We provide warranties on parts and labor related to our products. Our warranty terms range from two to five years. Warranty</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consolidated balance sheets.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2" w:name="page73"/>
    <w:bookmarkEnd w:id="72"/>
    <w:p>
      <w:pPr>
        <w:ind w:left="380"/>
        <w:spacing w:after="0"/>
        <w:rPr>
          <w:sz w:val="20"/>
          <w:szCs w:val="20"/>
          <w:color w:val="auto"/>
        </w:rPr>
      </w:pPr>
      <w:r>
        <w:rPr>
          <w:rFonts w:ascii="Arial" w:cs="Arial" w:eastAsia="Arial" w:hAnsi="Arial"/>
          <w:sz w:val="18"/>
          <w:szCs w:val="18"/>
          <w:color w:val="auto"/>
        </w:rPr>
        <w:t>Changes in our warranty reserve for the years ended December 31, 2022 and 2021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Warranty</w:t>
            </w:r>
          </w:p>
        </w:tc>
      </w:tr>
      <w:tr>
        <w:trPr>
          <w:trHeight w:val="185"/>
        </w:trPr>
        <w:tc>
          <w:tcPr>
            <w:tcW w:w="9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Reserve</w:t>
            </w:r>
          </w:p>
        </w:tc>
      </w:tr>
      <w:tr>
        <w:trPr>
          <w:trHeight w:val="23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January 1, 2021</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FF0FC"/>
          </w:tcPr>
          <w:p>
            <w:pPr>
              <w:spacing w:after="0"/>
              <w:rPr>
                <w:sz w:val="20"/>
                <w:szCs w:val="20"/>
                <w:color w:val="auto"/>
              </w:rPr>
            </w:pPr>
          </w:p>
        </w:tc>
      </w:tr>
      <w:tr>
        <w:trPr>
          <w:trHeight w:val="236"/>
        </w:trPr>
        <w:tc>
          <w:tcPr>
            <w:tcW w:w="9240" w:type="dxa"/>
            <w:vAlign w:val="bottom"/>
          </w:tcPr>
          <w:p>
            <w:pPr>
              <w:ind w:left="200"/>
              <w:spacing w:after="0"/>
              <w:rPr>
                <w:sz w:val="20"/>
                <w:szCs w:val="20"/>
                <w:color w:val="auto"/>
              </w:rPr>
            </w:pPr>
            <w:r>
              <w:rPr>
                <w:rFonts w:ascii="Arial" w:cs="Arial" w:eastAsia="Arial" w:hAnsi="Arial"/>
                <w:sz w:val="18"/>
                <w:szCs w:val="18"/>
                <w:color w:val="auto"/>
              </w:rPr>
              <w:t>Accruals for warranties issued</w:t>
            </w: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r>
      <w:tr>
        <w:trPr>
          <w:trHeight w:val="243"/>
        </w:trPr>
        <w:tc>
          <w:tcPr>
            <w:tcW w:w="9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Settlements and adjustments to warranties</w:t>
            </w:r>
          </w:p>
        </w:tc>
        <w:tc>
          <w:tcPr>
            <w:tcW w:w="3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(76 )</w:t>
            </w:r>
          </w:p>
        </w:tc>
      </w:tr>
      <w:tr>
        <w:trPr>
          <w:trHeight w:val="236"/>
        </w:trPr>
        <w:tc>
          <w:tcPr>
            <w:tcW w:w="9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 December 31, 2021</w:t>
            </w:r>
          </w:p>
        </w:tc>
        <w:tc>
          <w:tcPr>
            <w:tcW w:w="3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top w:val="single" w:sz="8" w:color="CFF0FC"/>
            </w:tcBorders>
          </w:tcPr>
          <w:p>
            <w:pPr>
              <w:spacing w:after="0"/>
              <w:rPr>
                <w:sz w:val="20"/>
                <w:szCs w:val="20"/>
                <w:color w:val="auto"/>
              </w:rPr>
            </w:pPr>
          </w:p>
        </w:tc>
      </w:tr>
      <w:tr>
        <w:trPr>
          <w:trHeight w:val="249"/>
        </w:trPr>
        <w:tc>
          <w:tcPr>
            <w:tcW w:w="9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Accruals for warranties issued</w:t>
            </w:r>
          </w:p>
        </w:tc>
        <w:tc>
          <w:tcPr>
            <w:tcW w:w="3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0"/>
              <w:spacing w:after="0"/>
              <w:rPr>
                <w:sz w:val="20"/>
                <w:szCs w:val="20"/>
                <w:color w:val="auto"/>
              </w:rPr>
            </w:pPr>
            <w:r>
              <w:rPr>
                <w:rFonts w:ascii="Arial" w:cs="Arial" w:eastAsia="Arial" w:hAnsi="Arial"/>
                <w:sz w:val="18"/>
                <w:szCs w:val="18"/>
                <w:color w:val="auto"/>
              </w:rPr>
              <w:t>Settlements and adjustments to warranties</w:t>
            </w:r>
          </w:p>
        </w:tc>
        <w:tc>
          <w:tcPr>
            <w:tcW w:w="36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(1,733 )</w:t>
            </w: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 December 31, 2022</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62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121" w:lineRule="exact"/>
        <w:rPr>
          <w:sz w:val="20"/>
          <w:szCs w:val="20"/>
          <w:color w:val="auto"/>
        </w:rPr>
      </w:pPr>
    </w:p>
    <w:p>
      <w:pPr>
        <w:ind w:right="160" w:firstLine="509"/>
        <w:spacing w:after="0" w:line="269" w:lineRule="auto"/>
        <w:rPr>
          <w:sz w:val="20"/>
          <w:szCs w:val="20"/>
          <w:color w:val="auto"/>
        </w:rPr>
      </w:pPr>
      <w:r>
        <w:rPr>
          <w:rFonts w:ascii="Arial" w:cs="Arial" w:eastAsia="Arial" w:hAnsi="Arial"/>
          <w:sz w:val="17"/>
          <w:szCs w:val="17"/>
          <w:color w:val="auto"/>
        </w:rPr>
        <w:t>Our intangible assets are comprised of indefinite- and finite-lived intangible assets and goodwill. We own the rights to 3 MHz of ATG spectrum in the nationwide 800 MHz Commercial Air-Ground Radiotelephone band (the “3 MHz FCC License”), which is used in the operation of our ATG network, and the license for 1 MHz of ATG spectrum in the nationwide 800MHz Commercial Air-Ground Radiotelephone band (the “1 MHz FCC License”) acquired as part of our acquisition of LiveTV Airfone, LLC. Together we refer to the 3 MHz FCC License and the 1 MHz FCC License as the “FCC Licenses.” The FCC Licenses were originally issued with 10-year terms and we have renewed both licenses for subsequent 10-year terms. Such licenses are subject to further renewal by the FCC, and renewals of licenses held by others have occurred routinely and at nominal cost. Moreover, we have determined that there are currently no legal, regulatory, contractual, competitive, economic, or other factors that limit the useful life of the FCC Licenses. As a result, the FCC Licenses are treated as indefinite-lived intangible assets which we do not amortize. We reevaluate the useful life of the FCC Licenses each year to determine whether events and circumstances continue to support an indefinite useful life. Our annual impairment assessment of the FCC Licenses for 2022, 2021 and 2020 indicated no impairment.</w:t>
      </w:r>
    </w:p>
    <w:p>
      <w:pPr>
        <w:spacing w:after="0" w:line="74"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Our software relates to the development of internal use software which is used to run our network and support our service offerings. Software also includes software embedded in the equipment that we sell to our customers.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goodwill balance was $0.6 million as of December 31, 2022 and 2021.</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Our intangible assets, other than goodwill, as of December 31, 2022 and 2021 were as follows (</w:t>
      </w:r>
      <w:r>
        <w:rPr>
          <w:rFonts w:ascii="Arial" w:cs="Arial" w:eastAsia="Arial" w:hAnsi="Arial"/>
          <w:sz w:val="18"/>
          <w:szCs w:val="18"/>
          <w:i w:val="1"/>
          <w:iCs w:val="1"/>
          <w:color w:val="auto"/>
        </w:rPr>
        <w:t>in thousands, except for weighted average remaining</w:t>
      </w:r>
      <w:r>
        <w:rPr>
          <w:rFonts w:ascii="Arial" w:cs="Arial" w:eastAsia="Arial" w:hAnsi="Arial"/>
          <w:sz w:val="18"/>
          <w:szCs w:val="18"/>
          <w:color w:val="auto"/>
        </w:rPr>
        <w:t xml:space="preserve"> </w:t>
      </w:r>
      <w:r>
        <w:rPr>
          <w:rFonts w:ascii="Arial" w:cs="Arial" w:eastAsia="Arial" w:hAnsi="Arial"/>
          <w:sz w:val="18"/>
          <w:szCs w:val="18"/>
          <w:i w:val="1"/>
          <w:iCs w:val="1"/>
          <w:color w:val="auto"/>
        </w:rPr>
        <w:t>useful life</w:t>
      </w:r>
      <w:r>
        <w:rPr>
          <w:rFonts w:ascii="Arial" w:cs="Arial" w:eastAsia="Arial" w:hAnsi="Arial"/>
          <w:sz w:val="18"/>
          <w:szCs w:val="18"/>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4"/>
            <w:vMerge w:val="restart"/>
          </w:tcPr>
          <w:p>
            <w:pPr>
              <w:jc w:val="right"/>
              <w:ind w:right="220"/>
              <w:spacing w:after="0"/>
              <w:rPr>
                <w:sz w:val="20"/>
                <w:szCs w:val="20"/>
                <w:color w:val="auto"/>
              </w:rPr>
            </w:pPr>
            <w:r>
              <w:rPr>
                <w:rFonts w:ascii="Arial" w:cs="Arial" w:eastAsia="Arial" w:hAnsi="Arial"/>
                <w:sz w:val="13"/>
                <w:szCs w:val="13"/>
                <w:b w:val="1"/>
                <w:bCs w:val="1"/>
                <w:color w:val="auto"/>
                <w:w w:val="91"/>
              </w:rPr>
              <w:t>As of December 31, 2022</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vMerge w:val="restart"/>
          </w:tcPr>
          <w:p>
            <w:pPr>
              <w:jc w:val="right"/>
              <w:spacing w:after="0"/>
              <w:rPr>
                <w:sz w:val="20"/>
                <w:szCs w:val="20"/>
                <w:color w:val="auto"/>
              </w:rPr>
            </w:pPr>
            <w:r>
              <w:rPr>
                <w:rFonts w:ascii="Arial" w:cs="Arial" w:eastAsia="Arial" w:hAnsi="Arial"/>
                <w:sz w:val="13"/>
                <w:szCs w:val="13"/>
                <w:b w:val="1"/>
                <w:bCs w:val="1"/>
                <w:color w:val="auto"/>
              </w:rPr>
              <w:t>As of December 31, 2021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4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13"/>
                <w:szCs w:val="13"/>
                <w:color w:val="auto"/>
              </w:rPr>
            </w:pPr>
          </w:p>
        </w:tc>
        <w:tc>
          <w:tcPr>
            <w:tcW w:w="800" w:type="dxa"/>
            <w:vAlign w:val="bottom"/>
          </w:tcPr>
          <w:p>
            <w:pPr>
              <w:jc w:val="center"/>
              <w:ind w:right="84"/>
              <w:spacing w:after="0"/>
              <w:rPr>
                <w:sz w:val="20"/>
                <w:szCs w:val="20"/>
                <w:color w:val="auto"/>
              </w:rPr>
            </w:pPr>
            <w:r>
              <w:rPr>
                <w:rFonts w:ascii="Arial" w:cs="Arial" w:eastAsia="Arial" w:hAnsi="Arial"/>
                <w:sz w:val="13"/>
                <w:szCs w:val="13"/>
                <w:b w:val="1"/>
                <w:bCs w:val="1"/>
                <w:color w:val="auto"/>
                <w:w w:val="85"/>
              </w:rPr>
              <w:t>Gross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64"/>
              <w:spacing w:after="0"/>
              <w:rPr>
                <w:sz w:val="20"/>
                <w:szCs w:val="20"/>
                <w:color w:val="auto"/>
              </w:rPr>
            </w:pPr>
            <w:r>
              <w:rPr>
                <w:rFonts w:ascii="Arial" w:cs="Arial" w:eastAsia="Arial" w:hAnsi="Arial"/>
                <w:sz w:val="13"/>
                <w:szCs w:val="13"/>
                <w:b w:val="1"/>
                <w:bCs w:val="1"/>
                <w:color w:val="auto"/>
                <w:w w:val="85"/>
              </w:rPr>
              <w:t>Net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46"/>
              <w:spacing w:after="0"/>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64"/>
              <w:spacing w:after="0"/>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Useful Life</w:t>
            </w:r>
          </w:p>
        </w:tc>
        <w:tc>
          <w:tcPr>
            <w:tcW w:w="160" w:type="dxa"/>
            <w:vAlign w:val="bottom"/>
          </w:tcPr>
          <w:p>
            <w:pPr>
              <w:spacing w:after="0"/>
              <w:rPr>
                <w:sz w:val="14"/>
                <w:szCs w:val="14"/>
                <w:color w:val="auto"/>
              </w:rPr>
            </w:pPr>
          </w:p>
        </w:tc>
        <w:tc>
          <w:tcPr>
            <w:tcW w:w="800" w:type="dxa"/>
            <w:vAlign w:val="bottom"/>
          </w:tcPr>
          <w:p>
            <w:pPr>
              <w:jc w:val="center"/>
              <w:ind w:right="64"/>
              <w:spacing w:after="0"/>
              <w:rPr>
                <w:sz w:val="20"/>
                <w:szCs w:val="20"/>
                <w:color w:val="auto"/>
              </w:rPr>
            </w:pPr>
            <w:r>
              <w:rPr>
                <w:rFonts w:ascii="Arial" w:cs="Arial" w:eastAsia="Arial" w:hAnsi="Arial"/>
                <w:sz w:val="13"/>
                <w:szCs w:val="13"/>
                <w:b w:val="1"/>
                <w:bCs w:val="1"/>
                <w:color w:val="auto"/>
                <w:w w:val="93"/>
              </w:rPr>
              <w:t>Carrying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4"/>
                <w:szCs w:val="14"/>
                <w:color w:val="auto"/>
              </w:rPr>
            </w:pPr>
          </w:p>
        </w:tc>
        <w:tc>
          <w:tcPr>
            <w:tcW w:w="680" w:type="dxa"/>
            <w:vAlign w:val="bottom"/>
          </w:tcPr>
          <w:p>
            <w:pPr>
              <w:jc w:val="center"/>
              <w:ind w:right="64"/>
              <w:spacing w:after="0"/>
              <w:rPr>
                <w:sz w:val="20"/>
                <w:szCs w:val="20"/>
                <w:color w:val="auto"/>
              </w:rPr>
            </w:pPr>
            <w:r>
              <w:rPr>
                <w:rFonts w:ascii="Arial" w:cs="Arial" w:eastAsia="Arial" w:hAnsi="Arial"/>
                <w:sz w:val="13"/>
                <w:szCs w:val="13"/>
                <w:b w:val="1"/>
                <w:bCs w:val="1"/>
                <w:color w:val="auto"/>
                <w:w w:val="93"/>
              </w:rPr>
              <w:t>Carrying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26"/>
              <w:spacing w:after="0"/>
              <w:rPr>
                <w:sz w:val="20"/>
                <w:szCs w:val="20"/>
                <w:color w:val="auto"/>
              </w:rPr>
            </w:pPr>
            <w:r>
              <w:rPr>
                <w:rFonts w:ascii="Arial" w:cs="Arial" w:eastAsia="Arial" w:hAnsi="Arial"/>
                <w:sz w:val="13"/>
                <w:szCs w:val="13"/>
                <w:b w:val="1"/>
                <w:bCs w:val="1"/>
                <w:color w:val="auto"/>
                <w:w w:val="93"/>
              </w:rPr>
              <w:t>Carrying</w:t>
            </w:r>
          </w:p>
        </w:tc>
        <w:tc>
          <w:tcPr>
            <w:tcW w:w="22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4"/>
                <w:szCs w:val="14"/>
                <w:color w:val="auto"/>
              </w:rPr>
            </w:pPr>
          </w:p>
        </w:tc>
        <w:tc>
          <w:tcPr>
            <w:tcW w:w="700" w:type="dxa"/>
            <w:vAlign w:val="bottom"/>
          </w:tcPr>
          <w:p>
            <w:pPr>
              <w:jc w:val="center"/>
              <w:ind w:right="64"/>
              <w:spacing w:after="0"/>
              <w:rPr>
                <w:sz w:val="20"/>
                <w:szCs w:val="20"/>
                <w:color w:val="auto"/>
              </w:rPr>
            </w:pPr>
            <w:r>
              <w:rPr>
                <w:rFonts w:ascii="Arial" w:cs="Arial" w:eastAsia="Arial" w:hAnsi="Arial"/>
                <w:sz w:val="13"/>
                <w:szCs w:val="13"/>
                <w:b w:val="1"/>
                <w:bCs w:val="1"/>
                <w:color w:val="auto"/>
                <w:w w:val="89"/>
              </w:rPr>
              <w:t>Carrying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 years)</w:t>
            </w:r>
          </w:p>
        </w:tc>
        <w:tc>
          <w:tcPr>
            <w:tcW w:w="160" w:type="dxa"/>
            <w:vAlign w:val="bottom"/>
          </w:tcPr>
          <w:p>
            <w:pPr>
              <w:spacing w:after="0"/>
              <w:rPr>
                <w:sz w:val="14"/>
                <w:szCs w:val="14"/>
                <w:color w:val="auto"/>
              </w:rPr>
            </w:pPr>
          </w:p>
        </w:tc>
        <w:tc>
          <w:tcPr>
            <w:tcW w:w="800" w:type="dxa"/>
            <w:vAlign w:val="bottom"/>
          </w:tcPr>
          <w:p>
            <w:pPr>
              <w:jc w:val="center"/>
              <w:ind w:right="84"/>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8"/>
              </w:rPr>
              <w:t>Amortization</w:t>
            </w:r>
          </w:p>
        </w:tc>
        <w:tc>
          <w:tcPr>
            <w:tcW w:w="14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6"/>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14"/>
                <w:szCs w:val="14"/>
                <w:color w:val="auto"/>
              </w:rPr>
            </w:pPr>
          </w:p>
        </w:tc>
        <w:tc>
          <w:tcPr>
            <w:tcW w:w="700" w:type="dxa"/>
            <w:vAlign w:val="bottom"/>
          </w:tcPr>
          <w:p>
            <w:pPr>
              <w:jc w:val="center"/>
              <w:ind w:right="64"/>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Pr>
          <w:p>
            <w:pPr>
              <w:ind w:left="120"/>
              <w:spacing w:after="0"/>
              <w:rPr>
                <w:sz w:val="20"/>
                <w:szCs w:val="20"/>
                <w:color w:val="auto"/>
              </w:rPr>
            </w:pPr>
            <w:r>
              <w:rPr>
                <w:rFonts w:ascii="Arial" w:cs="Arial" w:eastAsia="Arial" w:hAnsi="Arial"/>
                <w:sz w:val="16"/>
                <w:szCs w:val="16"/>
                <w:color w:val="auto"/>
              </w:rPr>
              <w:t>Software</w:t>
            </w:r>
          </w:p>
        </w:tc>
        <w:tc>
          <w:tcPr>
            <w:tcW w:w="102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59,932</w:t>
            </w:r>
          </w:p>
        </w:tc>
        <w:tc>
          <w:tcPr>
            <w:tcW w:w="4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(43,950 )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15,982</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54,128</w:t>
            </w:r>
          </w:p>
        </w:tc>
        <w:tc>
          <w:tcPr>
            <w:tcW w:w="400" w:type="dxa"/>
            <w:vAlign w:val="bottom"/>
            <w:gridSpan w:val="2"/>
          </w:tcPr>
          <w:p>
            <w:pPr>
              <w:jc w:val="right"/>
              <w:ind w:right="37"/>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(39,289 )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intangible assets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40" w:type="dxa"/>
            <w:vAlign w:val="bottom"/>
          </w:tcPr>
          <w:p>
            <w:pPr>
              <w:ind w:left="120"/>
              <w:spacing w:after="0"/>
              <w:rPr>
                <w:sz w:val="20"/>
                <w:szCs w:val="20"/>
                <w:color w:val="auto"/>
              </w:rPr>
            </w:pPr>
            <w:r>
              <w:rPr>
                <w:rFonts w:ascii="Arial" w:cs="Arial" w:eastAsia="Arial" w:hAnsi="Arial"/>
                <w:sz w:val="16"/>
                <w:szCs w:val="16"/>
                <w:color w:val="auto"/>
              </w:rPr>
              <w:t>Service customer relationships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(8,081 )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(8,081 )</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OEM and dealer relationships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(6,724 )</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(6,724 )</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4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440" w:type="dxa"/>
            <w:vAlign w:val="bottom"/>
          </w:tcPr>
          <w:p>
            <w:pPr>
              <w:ind w:left="120"/>
              <w:spacing w:after="0"/>
              <w:rPr>
                <w:sz w:val="20"/>
                <w:szCs w:val="20"/>
                <w:color w:val="auto"/>
              </w:rPr>
            </w:pPr>
            <w:r>
              <w:rPr>
                <w:rFonts w:ascii="Arial" w:cs="Arial" w:eastAsia="Arial" w:hAnsi="Arial"/>
                <w:sz w:val="16"/>
                <w:szCs w:val="16"/>
                <w:color w:val="auto"/>
              </w:rPr>
              <w:t>Total amortized intangible assets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75,361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(58,755 )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70,745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(54,094 )</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Unamortized intangible assets:</w:t>
            </w: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120"/>
              <w:spacing w:after="0"/>
              <w:rPr>
                <w:sz w:val="20"/>
                <w:szCs w:val="20"/>
                <w:color w:val="auto"/>
              </w:rPr>
            </w:pPr>
            <w:r>
              <w:rPr>
                <w:rFonts w:ascii="Arial" w:cs="Arial" w:eastAsia="Arial" w:hAnsi="Arial"/>
                <w:sz w:val="16"/>
                <w:szCs w:val="16"/>
                <w:color w:val="auto"/>
              </w:rPr>
              <w:t>FCC Licenses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32,283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32,283</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32,283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intangible assets</w:t>
            </w: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107,644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(58,755 )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48,889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103,028</w:t>
            </w:r>
          </w:p>
        </w:tc>
        <w:tc>
          <w:tcPr>
            <w:tcW w:w="400" w:type="dxa"/>
            <w:vAlign w:val="bottom"/>
            <w:gridSpan w:val="2"/>
            <w:shd w:val="clear" w:color="auto" w:fill="CFF0FC"/>
          </w:tcPr>
          <w:p>
            <w:pPr>
              <w:jc w:val="right"/>
              <w:ind w:right="37"/>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(54,094 )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-624205</wp:posOffset>
            </wp:positionV>
            <wp:extent cx="76835"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-624205</wp:posOffset>
            </wp:positionV>
            <wp:extent cx="7683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-624205</wp:posOffset>
            </wp:positionV>
            <wp:extent cx="6858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-624205</wp:posOffset>
            </wp:positionV>
            <wp:extent cx="6858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-624205</wp:posOffset>
            </wp:positionV>
            <wp:extent cx="6858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-24765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-7620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expense for the years ended December 31, 2022, 2021 and 2020 was $4.7 million, $7.5 million and $6.3 million, respectively.</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each of the next five years and thereafter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378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5"/>
                <w:szCs w:val="15"/>
                <w:color w:val="auto"/>
              </w:rPr>
            </w:pPr>
          </w:p>
        </w:tc>
      </w:tr>
      <w:tr>
        <w:trPr>
          <w:trHeight w:val="185"/>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6"/>
                <w:szCs w:val="16"/>
                <w:color w:val="auto"/>
              </w:rPr>
            </w:pPr>
          </w:p>
        </w:tc>
      </w:tr>
      <w:tr>
        <w:trPr>
          <w:trHeight w:val="236"/>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w:t>
            </w:r>
          </w:p>
        </w:tc>
        <w:tc>
          <w:tcPr>
            <w:tcW w:w="20" w:type="dxa"/>
            <w:vAlign w:val="bottom"/>
            <w:shd w:val="clear" w:color="auto" w:fill="CFF0FC"/>
          </w:tcPr>
          <w:p>
            <w:pPr>
              <w:spacing w:after="0"/>
              <w:rPr>
                <w:sz w:val="20"/>
                <w:szCs w:val="20"/>
                <w:color w:val="auto"/>
              </w:rPr>
            </w:pPr>
          </w:p>
        </w:tc>
      </w:tr>
      <w:tr>
        <w:trPr>
          <w:trHeight w:val="236"/>
        </w:trPr>
        <w:tc>
          <w:tcPr>
            <w:tcW w:w="248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2,369</w:t>
            </w:r>
          </w:p>
        </w:tc>
        <w:tc>
          <w:tcPr>
            <w:tcW w:w="20" w:type="dxa"/>
            <w:vAlign w:val="bottom"/>
          </w:tcPr>
          <w:p>
            <w:pPr>
              <w:spacing w:after="0"/>
              <w:rPr>
                <w:sz w:val="20"/>
                <w:szCs w:val="20"/>
                <w:color w:val="auto"/>
              </w:rPr>
            </w:pPr>
          </w:p>
        </w:tc>
      </w:tr>
      <w:tr>
        <w:trPr>
          <w:trHeight w:val="249"/>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20" w:type="dxa"/>
            <w:vAlign w:val="bottom"/>
            <w:shd w:val="clear" w:color="auto" w:fill="CFF0FC"/>
          </w:tcPr>
          <w:p>
            <w:pPr>
              <w:spacing w:after="0"/>
              <w:rPr>
                <w:sz w:val="21"/>
                <w:szCs w:val="21"/>
                <w:color w:val="auto"/>
              </w:rPr>
            </w:pPr>
          </w:p>
        </w:tc>
      </w:tr>
      <w:tr>
        <w:trPr>
          <w:trHeight w:val="236"/>
        </w:trPr>
        <w:tc>
          <w:tcPr>
            <w:tcW w:w="248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2,094</w:t>
            </w:r>
          </w:p>
        </w:tc>
        <w:tc>
          <w:tcPr>
            <w:tcW w:w="20" w:type="dxa"/>
            <w:vAlign w:val="bottom"/>
          </w:tcPr>
          <w:p>
            <w:pPr>
              <w:spacing w:after="0"/>
              <w:rPr>
                <w:sz w:val="20"/>
                <w:szCs w:val="20"/>
                <w:color w:val="auto"/>
              </w:rPr>
            </w:pPr>
          </w:p>
        </w:tc>
      </w:tr>
      <w:tr>
        <w:trPr>
          <w:trHeight w:val="249"/>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20" w:type="dxa"/>
            <w:vAlign w:val="bottom"/>
            <w:shd w:val="clear" w:color="auto" w:fill="CFF0FC"/>
          </w:tcPr>
          <w:p>
            <w:pPr>
              <w:spacing w:after="0"/>
              <w:rPr>
                <w:sz w:val="21"/>
                <w:szCs w:val="2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5,574</w:t>
            </w:r>
          </w:p>
        </w:tc>
        <w:tc>
          <w:tcPr>
            <w:tcW w:w="20" w:type="dxa"/>
            <w:vAlign w:val="bottom"/>
          </w:tcPr>
          <w:p>
            <w:pPr>
              <w:spacing w:after="0"/>
              <w:rPr>
                <w:sz w:val="20"/>
                <w:szCs w:val="20"/>
                <w:color w:val="auto"/>
              </w:rPr>
            </w:pPr>
          </w:p>
        </w:tc>
      </w:tr>
    </w:tbl>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future amortization expense could differ from the estimated amount as the result of future investments and other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9. Long-Term Debt and Other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as of December 31, 2022 and 2021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166"/>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5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Term Loan Facility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711,263</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718,057</w:t>
            </w:r>
          </w:p>
        </w:tc>
        <w:tc>
          <w:tcPr>
            <w:tcW w:w="80" w:type="dxa"/>
            <w:vAlign w:val="bottom"/>
            <w:shd w:val="clear" w:color="auto" w:fill="CFF0FC"/>
          </w:tcPr>
          <w:p>
            <w:pPr>
              <w:spacing w:after="0"/>
              <w:rPr>
                <w:sz w:val="20"/>
                <w:szCs w:val="20"/>
                <w:color w:val="auto"/>
              </w:rPr>
            </w:pPr>
          </w:p>
        </w:tc>
      </w:tr>
      <w:tr>
        <w:trPr>
          <w:trHeight w:val="236"/>
        </w:trPr>
        <w:tc>
          <w:tcPr>
            <w:tcW w:w="5320" w:type="dxa"/>
            <w:vAlign w:val="bottom"/>
          </w:tcPr>
          <w:p>
            <w:pPr>
              <w:spacing w:after="0"/>
              <w:rPr>
                <w:sz w:val="20"/>
                <w:szCs w:val="20"/>
                <w:color w:val="auto"/>
              </w:rPr>
            </w:pPr>
            <w:r>
              <w:rPr>
                <w:rFonts w:ascii="Arial" w:cs="Arial" w:eastAsia="Arial" w:hAnsi="Arial"/>
                <w:sz w:val="18"/>
                <w:szCs w:val="18"/>
                <w:color w:val="auto"/>
              </w:rPr>
              <w:t>2022 Convertible Notes</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102,788</w:t>
            </w:r>
          </w:p>
        </w:tc>
        <w:tc>
          <w:tcPr>
            <w:tcW w:w="80" w:type="dxa"/>
            <w:vAlign w:val="bottom"/>
          </w:tcPr>
          <w:p>
            <w:pPr>
              <w:spacing w:after="0"/>
              <w:rPr>
                <w:sz w:val="20"/>
                <w:szCs w:val="20"/>
                <w:color w:val="auto"/>
              </w:rPr>
            </w:pPr>
          </w:p>
        </w:tc>
      </w:tr>
      <w:tr>
        <w:trPr>
          <w:trHeight w:val="242"/>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711,263</w:t>
            </w: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820,845</w:t>
            </w:r>
          </w:p>
        </w:tc>
        <w:tc>
          <w:tcPr>
            <w:tcW w:w="80" w:type="dxa"/>
            <w:vAlign w:val="bottom"/>
            <w:shd w:val="clear" w:color="auto" w:fill="CFF0FC"/>
          </w:tcPr>
          <w:p>
            <w:pPr>
              <w:spacing w:after="0"/>
              <w:rPr>
                <w:sz w:val="21"/>
                <w:szCs w:val="2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Less: deferred financing costs</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(13,840 )</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(16,465 )</w:t>
            </w: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(7,250 )</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(109,620 )</w:t>
            </w:r>
          </w:p>
        </w:tc>
      </w:tr>
      <w:tr>
        <w:trPr>
          <w:trHeight w:val="236"/>
        </w:trPr>
        <w:tc>
          <w:tcPr>
            <w:tcW w:w="53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690,173</w:t>
            </w: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694,760</w:t>
            </w:r>
          </w:p>
        </w:tc>
        <w:tc>
          <w:tcPr>
            <w:tcW w:w="80" w:type="dxa"/>
            <w:vAlign w:val="bottom"/>
            <w:tcBorders>
              <w:top w:val="single" w:sz="8" w:color="CFF0FC"/>
            </w:tcBorders>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-187960</wp:posOffset>
            </wp:positionV>
            <wp:extent cx="51435"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2021 Credit Agreement</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“Term Loan Facility”) in an aggregate principal amount of $725.0 million, issued with a discount of 0.5%, and (ii) a revolving credit facility (the “Revolving Facility” and together with the Term Loan Facility, the “Facilities”) of up to $100.0 million, which includes a letter of credit sub-facility.</w:t>
      </w:r>
    </w:p>
    <w:p>
      <w:pPr>
        <w:spacing w:after="0" w:line="8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secured overnight financing rate as administered by the Federal Reserve Bank of New York (“SOFR”), plus a credit spread adjustment based on the Alternative Reference Rates Committee recommended spread adjustment.</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75" w:lineRule="exact"/>
        <w:rPr>
          <w:sz w:val="20"/>
          <w:szCs w:val="20"/>
          <w:color w:val="auto"/>
        </w:rPr>
      </w:pPr>
    </w:p>
    <w:p>
      <w:pPr>
        <w:jc w:val="both"/>
        <w:ind w:right="460" w:firstLine="509"/>
        <w:spacing w:after="0" w:line="286" w:lineRule="auto"/>
        <w:rPr>
          <w:sz w:val="20"/>
          <w:szCs w:val="20"/>
          <w:color w:val="auto"/>
        </w:rPr>
      </w:pPr>
      <w:r>
        <w:rPr>
          <w:rFonts w:ascii="Arial" w:cs="Arial" w:eastAsia="Arial" w:hAnsi="Arial"/>
          <w:sz w:val="17"/>
          <w:szCs w:val="17"/>
          <w:color w:val="auto"/>
        </w:rPr>
        <w:t>The Term Loan Facility bears annual interest at a floating rate measured by reference to, at GIH’s option, either (i) an adjusted term SOFR rate (subject to a floor of 0.75%) plus an applicable margin of 3.75% and a credit spread adjustment based on the Alternative Reference Rates Committee recommended spread adjustments or (ii) an alternate base rate plus an applicable margin of 2.75%.</w:t>
      </w:r>
    </w:p>
    <w:p>
      <w:pPr>
        <w:spacing w:after="0" w:line="56"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based on the Alternative Reference Rates Committee recommended spread adjustments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w:t>
      </w:r>
    </w:p>
    <w:p>
      <w:pPr>
        <w:spacing w:after="0" w:line="83"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Facilities may be prepaid at GIH’s option at any time without premium or penalty (other than customary breakage costs), subject to minimum principal payment amount requirements.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Subject to certain exceptions and de minimis thresholds, the Term Loan Facility is subject to mandatory prepayments in an amount equal to:</w:t>
      </w:r>
    </w:p>
    <w:p>
      <w:pPr>
        <w:spacing w:after="0" w:line="128" w:lineRule="exact"/>
        <w:rPr>
          <w:sz w:val="20"/>
          <w:szCs w:val="20"/>
          <w:color w:val="auto"/>
        </w:rPr>
      </w:pPr>
    </w:p>
    <w:p>
      <w:pPr>
        <w:ind w:left="1020" w:right="38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of the net cash proceeds of certain debt offerings; and</w:t>
      </w:r>
    </w:p>
    <w:p>
      <w:pPr>
        <w:spacing w:after="0" w:line="116"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50% of annual excess cash flow (as defined in the 2021 Credit Agreement), subject to reduction to 25% and 0% if specified senior secured first lien net leverage ratio targets are met.</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Federal Communications Commission; investments, loans, advances, guarantees or acquisitions; asset sales; dividends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4" w:name="page75"/>
    <w:bookmarkEnd w:id="74"/>
    <w:p>
      <w:pPr>
        <w:jc w:val="both"/>
        <w:ind w:right="260"/>
        <w:spacing w:after="0" w:line="263" w:lineRule="auto"/>
        <w:rPr>
          <w:sz w:val="20"/>
          <w:szCs w:val="20"/>
          <w:color w:val="auto"/>
        </w:rPr>
      </w:pPr>
      <w:r>
        <w:rPr>
          <w:rFonts w:ascii="Arial" w:cs="Arial" w:eastAsia="Arial" w:hAnsi="Arial"/>
          <w:sz w:val="18"/>
          <w:szCs w:val="18"/>
          <w:color w:val="auto"/>
        </w:rPr>
        <w:t>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spacing w:after="0" w:line="75"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7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75"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The proceeds of the Term Loan Facility were used, together with cash on hand, (i) to redeem in full and pay the outstanding principal amount of the 2024 Senior Secured Notes (as defined below) together with accrued and unpaid interest and redemption premiums and to pay fees associated with the termination of the ABL Credit Agreement (as defined below and, together with the redemption of the 2024 Senior Secured Notes, the “Refinancing”), and</w:t>
      </w:r>
    </w:p>
    <w:p>
      <w:pPr>
        <w:spacing w:after="0" w:line="2" w:lineRule="exact"/>
        <w:rPr>
          <w:sz w:val="20"/>
          <w:szCs w:val="20"/>
          <w:color w:val="auto"/>
        </w:rPr>
      </w:pPr>
    </w:p>
    <w:p>
      <w:pPr>
        <w:ind w:right="340" w:firstLine="8"/>
        <w:spacing w:after="0" w:line="260"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pay fees and expenses incurred in connection with the Refinancing and the Facilities. The Revolving Facility is available for working capital and general corporate purposes of GIH and its subsidiaries and was undrawn as of December 31, 2022 and 2021.</w:t>
      </w:r>
    </w:p>
    <w:p>
      <w:pPr>
        <w:spacing w:after="0" w:line="76"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As of December 31, 2022 and 2021, the outstanding principal amount of the Term Loan Facility was $714.1 million and $721.4 million, respectively, the unaccreted debt discount was $2.8 million and $3.3 million, respectively, and the net carrying amount was $711.3 million and $718.1 million, respectively.</w:t>
      </w:r>
    </w:p>
    <w:p>
      <w:pPr>
        <w:spacing w:after="0" w:line="75"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We paid approximately $19.7 million of loan origination and financing costs related to the Facilities which are being accounted for as deferred financing costs on our consolidated balance sheets and are amortized over the terms of the Facilities. Total amortization expense was $2.6 million and $1.8 million, respectively, for the years ended December 31, 2022 and 2021 and is included in Interest expense in our consolidated statements of operations. As of December 31, 2022 and 2021, the balance of unamortized deferred financing costs related to the Facilities was $15.3 million and $17.9 million, respectively.</w:t>
      </w:r>
    </w:p>
    <w:p>
      <w:pPr>
        <w:spacing w:after="0" w:line="83"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w:t>
      </w:r>
    </w:p>
    <w:p>
      <w:pPr>
        <w:spacing w:after="0" w:line="8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 January 2021, $1.0 million aggregate principal amount of 2022 Convertible Notes was converted by holders and settled through the issuance of 166,666 shares of common stock.</w:t>
      </w:r>
    </w:p>
    <w:p>
      <w:pPr>
        <w:spacing w:after="0" w:line="62"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On March 17, 2021, Gogo entered into separate, privately negotiated exchange agreements (the “March 2021 Exchange Agreements”) with certain holders of the 2022 Convertible Notes. Pursuant to the March 2021 Exchange Agreements, such holders exchanged a total of $28,235,000 aggregate principal amount of 2022 Convertible Notes for 5,121,811 shares of our common stock on March 24, 2021. The negotiated exchange rate under the March 2021 Exchange Agreements was 181.40 shares of common stock per $1,000 principal amount of the 2022 Convertible Notes, which resulted in a loss on settlement of $4.4 million, which is included in Loss on extinguishment of debt and settlement of convertible notes in our consolidated statements of operations for the year ended December 31, 2021.</w:t>
      </w:r>
    </w:p>
    <w:p>
      <w:pPr>
        <w:spacing w:after="0" w:line="68"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On April 1, 2021, Gogo entered into a privately negotiated exchange agreement (the “GTCR Exchange Agreement”) with an affiliate of funds managed by GTCR LLC (“GTCR”). Pursuant to the GTCR Exchange Agreement, GTCR exchanged $105,726,000 aggregate principal amount of 2022 Convertible Notes for 19,064,529 shares of our common stock on April 9, 2021. The negotiated exchange rate under the GTCR Exchange Agreement was 180.32 shares of common stock per $1,000 principal amount of 2022 Convertible Notes, which resulted in a loss on settlement of $14.6 million, which is included in Loss on extinguishment of debt and settlement of convertible notes in our consolidated statements of operations for the year ended December 31, 2021.</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5" w:name="page76"/>
    <w:bookmarkEnd w:id="75"/>
    <w:p>
      <w:pPr>
        <w:ind w:right="60" w:firstLine="509"/>
        <w:spacing w:after="0" w:line="277" w:lineRule="auto"/>
        <w:rPr>
          <w:sz w:val="20"/>
          <w:szCs w:val="20"/>
          <w:color w:val="auto"/>
        </w:rPr>
      </w:pPr>
      <w:r>
        <w:rPr>
          <w:rFonts w:ascii="Arial" w:cs="Arial" w:eastAsia="Arial" w:hAnsi="Arial"/>
          <w:sz w:val="18"/>
          <w:szCs w:val="18"/>
          <w:color w:val="auto"/>
        </w:rPr>
        <w:t>As of December 31, 2021, the outstanding principal amount of the 2022 Convertible Notes was $102.8 million and was classified as Current portion of long-term debt in the consolidated balance sheets.</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May 2022, the remaining $102,788,000 aggregate principal amount of 2022 Convertible Notes was converted by holders into 17,131,332 shares of common stock. Thorndale Farm Private Equity Fund 2, LLC, an entity affiliated with our Chairman and Chief Executive Officer, held $8,000,000 aggregate principal amount of 2022 Convertible Notes that was converted into 1,333,333 shares of common stock. As of December 31, 2022, there were no outstanding 2022 Convertible Notes.</w:t>
      </w:r>
    </w:p>
    <w:p>
      <w:pPr>
        <w:spacing w:after="0" w:line="77"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We incurred approximately $8.1 million of issuance costs related to the issuance of the 2022 Convertible Notes that were amortized over the term of the 2022 Convertible Notes using the effective interest method. Total amortization expense was $0.4 million, $1.4 million and $1.8 million, respectively, for the years ended December 31, 2022, 2021 and 2020. Amortization expense is included in Interest expense in the consolidated statements of operations. As of December 31, 2021, the balance of unamortized deferred financing costs related to the 2022 Convertible Notes was $0.4 million and was included as a reduction to the carrying amount of the debt in our consolidated balance sheets. See Note 11, “Interest Costs,” for additional information.</w:t>
      </w:r>
    </w:p>
    <w:p>
      <w:pPr>
        <w:spacing w:after="0" w:line="52"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The 2022 Convertible Notes had an initial conversion rate of 166.6667 shares of common stock per $1,000 principal amount of 2022 Convertible Notes, which was equivalent to an initial conversion price of approximately $6.00 per share of our common stock. Prior to conversion, the shares of common stock subject to conversion were considered in the diluted earnings per share calculations under the if-converted method if their impact was dilutive.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Forward Transactions</w:t>
      </w:r>
    </w:p>
    <w:p>
      <w:pPr>
        <w:spacing w:after="0" w:line="117" w:lineRule="exact"/>
        <w:rPr>
          <w:sz w:val="20"/>
          <w:szCs w:val="20"/>
          <w:color w:val="auto"/>
        </w:rPr>
      </w:pPr>
    </w:p>
    <w:p>
      <w:pPr>
        <w:ind w:right="300" w:firstLine="509"/>
        <w:spacing w:after="0" w:line="256" w:lineRule="auto"/>
        <w:rPr>
          <w:sz w:val="20"/>
          <w:szCs w:val="20"/>
          <w:color w:val="auto"/>
        </w:rPr>
      </w:pPr>
      <w:r>
        <w:rPr>
          <w:rFonts w:ascii="Arial" w:cs="Arial" w:eastAsia="Arial" w:hAnsi="Arial"/>
          <w:sz w:val="18"/>
          <w:szCs w:val="18"/>
          <w:color w:val="auto"/>
        </w:rPr>
        <w:t>In connection with the issuance of our 3.75% Convertible Senior Notes due 2020 (the “2020 Convertible Notes”), we paid approximately $140.0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83"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As a result of the Forward Transactions, total shareholders’ equity within our consolidated balance sheets was reduced by approximately $140.0 million. In March, 2020, approximately 5.1 million shares of common stock were delivered to us in connection with the Forward Transactions. In April 2021, approximately 1.5 million shares of common stock were delivered to us in connection with the Amended and Restated Forward Transaction. In May 2022, the approximately 0.6 million shares that were remaining under the Amended and Restated Forward Transactions were delivered to us. As of December 31, 2022, there were no prepaid forward stock repurchase transactions outstanding.</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2024 Senior Secured Notes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On April 25, 2019, GIH and Gogo Finance Co. Inc. (a wholly owned subsidiary of GIH) (“Gogo Finance” and, together with GIH, the “Issuers”) issued $905.0 million aggregate principal amount of 9.875% senior secured notes due 2024 (the “2024 Senior Secured Notes”), at a price equal to 99.512% of their face value, under an indenture, dated as of April 25, 2019, among the Issuers, Gogo, the subsidiary guarantors party thereto and U.S. Bank National Association, as trustee.</w:t>
      </w:r>
    </w:p>
    <w:p>
      <w:pPr>
        <w:spacing w:after="0" w:line="77" w:lineRule="exact"/>
        <w:rPr>
          <w:sz w:val="20"/>
          <w:szCs w:val="20"/>
          <w:color w:val="auto"/>
        </w:rPr>
      </w:pPr>
    </w:p>
    <w:p>
      <w:pPr>
        <w:ind w:right="140" w:firstLine="509"/>
        <w:spacing w:after="0" w:line="341" w:lineRule="auto"/>
        <w:rPr>
          <w:sz w:val="20"/>
          <w:szCs w:val="20"/>
          <w:color w:val="auto"/>
        </w:rPr>
      </w:pPr>
      <w:r>
        <w:rPr>
          <w:rFonts w:ascii="Arial" w:cs="Arial" w:eastAsia="Arial" w:hAnsi="Arial"/>
          <w:sz w:val="16"/>
          <w:szCs w:val="16"/>
          <w:color w:val="auto"/>
        </w:rPr>
        <w:t>On May 7, 2019, the Issuers issued an additional $20.0 million of 2024 Senior Secured notes, which were issued at a price equal to 100.5% of their face value, and $50.0 million of 2024 Senior Secured Notes on November 13, 2020, which were issued at a price equal to 103.5% of their face value.</w:t>
      </w:r>
    </w:p>
    <w:p>
      <w:pPr>
        <w:spacing w:after="0" w:line="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2024 Senior Secured Notes were guaranteed on a senior secured basis by Gogo and all of GIH’s existing and future restricted subsidiaries (other than Gogo Finance), subject to certain exceptions. The 2024 Senior Secured Notes and the related guarantees were secured by certain liens on the Company’s collateral, which were released upon the closing of the Transaction.</w:t>
      </w:r>
    </w:p>
    <w:p>
      <w:pPr>
        <w:spacing w:after="0" w:line="75"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We paid approximately $22.6 million of origination fees and financing costs related to the issuance of the 2024 Senior Secured Notes, which were accounted for as deferred financing costs on our consolidated balance sheets and were being amortized over the contractual term of the 2024 Senior Secured Notes using the effective interest method. Total amortization expense was $1.4 million and $3.7 million, respectively, for the years ended December 31, 2021 and 2020. Amortization expense is included in Interest expense in the consolidated statements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ind w:right="40" w:firstLine="509"/>
        <w:spacing w:after="0" w:line="256" w:lineRule="auto"/>
        <w:rPr>
          <w:sz w:val="20"/>
          <w:szCs w:val="20"/>
          <w:color w:val="auto"/>
        </w:rPr>
      </w:pPr>
      <w:r>
        <w:rPr>
          <w:rFonts w:ascii="Arial" w:cs="Arial" w:eastAsia="Arial" w:hAnsi="Arial"/>
          <w:sz w:val="18"/>
          <w:szCs w:val="18"/>
          <w:color w:val="auto"/>
        </w:rPr>
        <w:t>The 2024 Senior Secured Notes were redeemed on May 1, 2021 (the “Redemption Date”) at a redemption price equal to 104.938% of the principal amount of the 2024 Senior Secured Notes redeemed, plus accrued and unpaid interest to (but not including) the Redemption Date. The make-whole premium paid in connection with the redemption was $48.1 million. We wrote off the remaining unamortized deferred financing costs of $15.2 million and the remaining debt discount of $1.3 million, which together are included in Loss on extinguishment of debt and settlement of convertible notes in our consolidated statements of operations for the year ended December 31, 2021.</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ABL Credit Facility</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On August 26, 2019, Gogo, GIH and Gogo Finance entered into a credit agreement (the “ABL Credit Agreement”) with the other loan parties party thereto, the lenders party thereto, JPMorgan Chase Bank, N.A., as administrative agent, and Morgan Stanley Senior Funding, Inc., as syndication agent, which provided for an asset-based revolving credit facility (the “ABL Credit Facility”) of up to $30.0 million, subject to borrowing base availability, and includes letter of credit and swingline sub-facilities. The obligations under the ABL Credit Agreement were guaranteed by Gogo and all of its existing and future subsidiaries, subject to certain exceptions and secured by collateral of the Company. On April 30, 2021, the ABL Credit Agreement and all commitments thereunder were terminated. As a result of the termination, the remaining unamortized deferred financing costs of $0.3 million were written off as of May 1, 2021 and included in Loss on extinguishment of debt and settlement of convertible notes in our consolidated statements of operations for the year ended December 31, 2021.</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2020 Convertible Notes</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March 2015, we issued $361.9 million aggregate principal amount of 3.75% Convertible Senior Notes due 2020 (the “2020 Convertible Notes”) in a private offering to qualified institutional buyers, pursuant to Rule 144A under the Securities Act. In 2018 and 2019, we repurchased a total of $359.4 million aggregate principal amount of the 2020 Convertible Notes, and on March 1, 2020, the remaining $2.5 million aggregate principal amount of the 2020 Convertible Notes matured.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121" w:lineRule="exact"/>
        <w:rPr>
          <w:sz w:val="20"/>
          <w:szCs w:val="20"/>
          <w:color w:val="auto"/>
        </w:rPr>
      </w:pPr>
    </w:p>
    <w:p>
      <w:pPr>
        <w:jc w:val="both"/>
        <w:ind w:right="380" w:firstLine="509"/>
        <w:spacing w:after="0" w:line="311" w:lineRule="auto"/>
        <w:rPr>
          <w:sz w:val="20"/>
          <w:szCs w:val="20"/>
          <w:color w:val="auto"/>
        </w:rPr>
      </w:pPr>
      <w:r>
        <w:rPr>
          <w:rFonts w:ascii="Arial" w:cs="Arial" w:eastAsia="Arial" w:hAnsi="Arial"/>
          <w:sz w:val="16"/>
          <w:szCs w:val="16"/>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4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three-month USD LIBOR rate increases beyond the applicable strike rate. The notional amounts of the interest rate caps periodically decrease over the life of the caps.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notional amounts, strike rates and end dates of the cap agreements are as follows </w:t>
      </w:r>
      <w:r>
        <w:rPr>
          <w:rFonts w:ascii="Arial" w:cs="Arial" w:eastAsia="Arial" w:hAnsi="Arial"/>
          <w:sz w:val="18"/>
          <w:szCs w:val="18"/>
          <w:i w:val="1"/>
          <w:iCs w:val="1"/>
          <w:color w:val="auto"/>
        </w:rPr>
        <w:t>(notional amounts 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Start Date</w:t>
            </w:r>
          </w:p>
        </w:tc>
        <w:tc>
          <w:tcPr>
            <w:tcW w:w="12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End Date</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ind w:right="535"/>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4"/>
                <w:szCs w:val="14"/>
                <w:color w:val="auto"/>
              </w:rPr>
            </w:pPr>
          </w:p>
        </w:tc>
        <w:tc>
          <w:tcPr>
            <w:tcW w:w="1960" w:type="dxa"/>
            <w:vAlign w:val="bottom"/>
            <w:gridSpan w:val="2"/>
            <w:vMerge w:val="restart"/>
          </w:tcPr>
          <w:p>
            <w:pPr>
              <w:jc w:val="right"/>
              <w:ind w:right="630"/>
              <w:spacing w:after="0"/>
              <w:rPr>
                <w:sz w:val="20"/>
                <w:szCs w:val="20"/>
                <w:color w:val="auto"/>
              </w:rPr>
            </w:pPr>
            <w:r>
              <w:rPr>
                <w:rFonts w:ascii="Arial" w:cs="Arial" w:eastAsia="Arial" w:hAnsi="Arial"/>
                <w:sz w:val="14"/>
                <w:szCs w:val="14"/>
                <w:b w:val="1"/>
                <w:bCs w:val="1"/>
                <w:color w:val="auto"/>
              </w:rPr>
              <w:t>Strike Rate</w:t>
            </w:r>
          </w:p>
        </w:tc>
        <w:tc>
          <w:tcPr>
            <w:tcW w:w="0" w:type="dxa"/>
            <w:vAlign w:val="bottom"/>
          </w:tcPr>
          <w:p>
            <w:pPr>
              <w:spacing w:after="0"/>
              <w:rPr>
                <w:sz w:val="1"/>
                <w:szCs w:val="1"/>
                <w:color w:val="auto"/>
              </w:rPr>
            </w:pPr>
          </w:p>
        </w:tc>
      </w:tr>
      <w:tr>
        <w:trPr>
          <w:trHeight w:val="185"/>
        </w:trPr>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515"/>
              <w:spacing w:after="0"/>
              <w:rPr>
                <w:sz w:val="20"/>
                <w:szCs w:val="20"/>
                <w:color w:val="auto"/>
              </w:rPr>
            </w:pPr>
            <w:r>
              <w:rPr>
                <w:rFonts w:ascii="Arial" w:cs="Arial" w:eastAsia="Arial" w:hAnsi="Arial"/>
                <w:sz w:val="14"/>
                <w:szCs w:val="14"/>
                <w:b w:val="1"/>
                <w:bCs w:val="1"/>
                <w:color w:val="auto"/>
              </w:rPr>
              <w:t>Amounts</w:t>
            </w:r>
          </w:p>
        </w:tc>
        <w:tc>
          <w:tcPr>
            <w:tcW w:w="2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7/31/2021</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7/31/2023</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20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7/31/2023</w:t>
            </w:r>
          </w:p>
        </w:tc>
        <w:tc>
          <w:tcPr>
            <w:tcW w:w="18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7/31/2024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525,000</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0.75 %</w:t>
            </w:r>
          </w:p>
        </w:tc>
        <w:tc>
          <w:tcPr>
            <w:tcW w:w="0" w:type="dxa"/>
            <w:vAlign w:val="bottom"/>
          </w:tcPr>
          <w:p>
            <w:pPr>
              <w:spacing w:after="0"/>
              <w:rPr>
                <w:sz w:val="1"/>
                <w:szCs w:val="1"/>
                <w:color w:val="auto"/>
              </w:rPr>
            </w:pPr>
          </w:p>
        </w:tc>
      </w:tr>
      <w:tr>
        <w:trPr>
          <w:trHeight w:val="243"/>
        </w:trPr>
        <w:tc>
          <w:tcPr>
            <w:tcW w:w="1720" w:type="dxa"/>
            <w:vAlign w:val="bottom"/>
          </w:tcPr>
          <w:p>
            <w:pPr>
              <w:jc w:val="center"/>
              <w:spacing w:after="0"/>
              <w:rPr>
                <w:sz w:val="20"/>
                <w:szCs w:val="20"/>
                <w:color w:val="auto"/>
              </w:rPr>
            </w:pPr>
            <w:r>
              <w:rPr>
                <w:rFonts w:ascii="Arial" w:cs="Arial" w:eastAsia="Arial" w:hAnsi="Arial"/>
                <w:sz w:val="18"/>
                <w:szCs w:val="18"/>
                <w:color w:val="auto"/>
                <w:w w:val="89"/>
              </w:rPr>
              <w:t>7/31/2024</w:t>
            </w:r>
          </w:p>
        </w:tc>
        <w:tc>
          <w:tcPr>
            <w:tcW w:w="18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7/31/2025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350,000</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3"/>
        </w:trPr>
        <w:tc>
          <w:tcPr>
            <w:tcW w:w="1720" w:type="dxa"/>
            <w:vAlign w:val="bottom"/>
          </w:tcPr>
          <w:p>
            <w:pPr>
              <w:jc w:val="center"/>
              <w:spacing w:after="0"/>
              <w:rPr>
                <w:sz w:val="20"/>
                <w:szCs w:val="20"/>
                <w:color w:val="auto"/>
              </w:rPr>
            </w:pPr>
            <w:r>
              <w:rPr>
                <w:rFonts w:ascii="Arial" w:cs="Arial" w:eastAsia="Arial" w:hAnsi="Arial"/>
                <w:sz w:val="18"/>
                <w:szCs w:val="18"/>
                <w:color w:val="auto"/>
                <w:w w:val="89"/>
              </w:rPr>
              <w:t>7/31/2025</w:t>
            </w:r>
          </w:p>
        </w:tc>
        <w:tc>
          <w:tcPr>
            <w:tcW w:w="18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7/31/2026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250,000</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43"/>
        </w:trPr>
        <w:tc>
          <w:tcPr>
            <w:tcW w:w="1720" w:type="dxa"/>
            <w:vAlign w:val="bottom"/>
          </w:tcPr>
          <w:p>
            <w:pPr>
              <w:jc w:val="center"/>
              <w:spacing w:after="0"/>
              <w:rPr>
                <w:sz w:val="20"/>
                <w:szCs w:val="20"/>
                <w:color w:val="auto"/>
              </w:rPr>
            </w:pPr>
            <w:r>
              <w:rPr>
                <w:rFonts w:ascii="Arial" w:cs="Arial" w:eastAsia="Arial" w:hAnsi="Arial"/>
                <w:sz w:val="18"/>
                <w:szCs w:val="18"/>
                <w:color w:val="auto"/>
                <w:w w:val="89"/>
              </w:rPr>
              <w:t>7/31/2026</w:t>
            </w:r>
          </w:p>
        </w:tc>
        <w:tc>
          <w:tcPr>
            <w:tcW w:w="18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7/31/2027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200,000</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-761365</wp:posOffset>
            </wp:positionV>
            <wp:extent cx="477774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77740" cy="15430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-453390</wp:posOffset>
            </wp:positionV>
            <wp:extent cx="477774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77740" cy="15430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-144780</wp:posOffset>
            </wp:positionV>
            <wp:extent cx="477774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77740" cy="154305"/>
                    </a:xfrm>
                    <a:prstGeom prst="rect">
                      <a:avLst/>
                    </a:prstGeom>
                    <a:noFill/>
                  </pic:spPr>
                </pic:pic>
              </a:graphicData>
            </a:graphic>
          </wp:anchor>
        </w:drawing>
      </w:r>
    </w:p>
    <w:p>
      <w:pPr>
        <w:spacing w:after="0" w:line="8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No gains or losses of our cash flow hedges were considered to be ineffective and reclassified from other comprehensive income (loss) to earnings for the years ended December 31, 2022 and 2021. We estimate that approximately $1.5 million currently recorded in accumulated other comprehensive income (loss) will be recognized in earnings over the next 12 months. We assess the effectiveness of the hedge on an ongoing basis. Cash flows from interest rate caps are classified in the consolidated statement of cash flows as investing activities from continuing operations.</w:t>
      </w:r>
    </w:p>
    <w:p>
      <w:pPr>
        <w:spacing w:after="0" w:line="5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For the year ended December 31, 2022, we recorded an unrealized gain on the interest rate caps of $28.4 million, net of tax of $9.3 million. For the year ended December 31, 2021, we recorded an unrealized gain on the interest rate caps of $2.7 million, net of tax of $0.9 million. Unrealized gains and losses on interest rate caps exclude amortization of the purchase price paid for the interest rate caps.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7" w:name="page78"/>
    <w:bookmarkEnd w:id="77"/>
    <w:p>
      <w:pPr>
        <w:ind w:right="140" w:firstLine="509"/>
        <w:spacing w:after="0" w:line="259" w:lineRule="auto"/>
        <w:rPr>
          <w:sz w:val="20"/>
          <w:szCs w:val="20"/>
          <w:color w:val="auto"/>
        </w:rPr>
      </w:pPr>
      <w:r>
        <w:rPr>
          <w:rFonts w:ascii="Arial" w:cs="Arial" w:eastAsia="Arial" w:hAnsi="Arial"/>
          <w:sz w:val="18"/>
          <w:szCs w:val="18"/>
          <w:color w:val="auto"/>
        </w:rPr>
        <w:t xml:space="preserve">When derivatives are used, we are exposed to credit loss in the event of non-performance by the counterparties; however, non-performance is not anticipated.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77" w:lineRule="exact"/>
        <w:rPr>
          <w:sz w:val="20"/>
          <w:szCs w:val="20"/>
          <w:color w:val="auto"/>
        </w:rPr>
      </w:pPr>
    </w:p>
    <w:p>
      <w:pPr>
        <w:ind w:right="260" w:firstLine="509"/>
        <w:spacing w:after="0" w:line="258" w:lineRule="auto"/>
        <w:rPr>
          <w:sz w:val="20"/>
          <w:szCs w:val="20"/>
          <w:color w:val="auto"/>
        </w:rPr>
      </w:pPr>
      <w:r>
        <w:rPr>
          <w:rFonts w:ascii="Arial" w:cs="Arial" w:eastAsia="Arial" w:hAnsi="Arial"/>
          <w:sz w:val="18"/>
          <w:szCs w:val="18"/>
          <w:color w:val="auto"/>
        </w:rPr>
        <w:t>The following table presents the fair value of our interest rate derivatives included in the consolidated balance sheets for the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4620" w:type="dxa"/>
            <w:vAlign w:val="bottom"/>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interest rate caps</w:t>
            </w:r>
          </w:p>
        </w:tc>
        <w:tc>
          <w:tcPr>
            <w:tcW w:w="4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24,459</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FF0FC"/>
          </w:tcPr>
          <w:p>
            <w:pPr>
              <w:spacing w:after="0"/>
              <w:rPr>
                <w:sz w:val="20"/>
                <w:szCs w:val="20"/>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Non-current portion of interest rate caps</w:t>
            </w:r>
          </w:p>
        </w:tc>
        <w:tc>
          <w:tcPr>
            <w:tcW w:w="4620" w:type="dxa"/>
            <w:vAlign w:val="bottom"/>
          </w:tcPr>
          <w:p>
            <w:pPr>
              <w:ind w:left="58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25,578</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11,359</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 Costs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is a summary of our interest costs for the years ended December 31, 2022,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costs charged to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62,390</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105,988</w:t>
            </w:r>
          </w:p>
        </w:tc>
        <w:tc>
          <w:tcPr>
            <w:tcW w:w="80" w:type="dxa"/>
            <w:vAlign w:val="bottom"/>
            <w:shd w:val="clear" w:color="auto" w:fill="CFF0FC"/>
          </w:tcPr>
          <w:p>
            <w:pPr>
              <w:spacing w:after="0"/>
              <w:rPr>
                <w:sz w:val="20"/>
                <w:szCs w:val="20"/>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5,892</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 of debt discount</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13,907</w:t>
            </w:r>
          </w:p>
        </w:tc>
        <w:tc>
          <w:tcPr>
            <w:tcW w:w="80" w:type="dxa"/>
            <w:vAlign w:val="bottom"/>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Amortization of the purchase price of interest rate caps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3"/>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rate cap benefit</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(8,329 )</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6"/>
        </w:trPr>
        <w:tc>
          <w:tcPr>
            <w:tcW w:w="52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38,872</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67,472</w:t>
            </w: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125,787</w:t>
            </w:r>
          </w:p>
        </w:tc>
        <w:tc>
          <w:tcPr>
            <w:tcW w:w="80" w:type="dxa"/>
            <w:vAlign w:val="bottom"/>
            <w:tcBorders>
              <w:top w:val="single" w:sz="8" w:color="CFF0FC"/>
            </w:tcBorders>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costs capitalized to property and equipment</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Interest costs capitalized to software</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20"/>
                <w:szCs w:val="20"/>
                <w:color w:val="auto"/>
              </w:rPr>
            </w:pPr>
          </w:p>
        </w:tc>
      </w:tr>
      <w:tr>
        <w:trPr>
          <w:trHeight w:val="27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costs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40,264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67,787</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126,672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-658495</wp:posOffset>
            </wp:positionV>
            <wp:extent cx="59690"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-658495</wp:posOffset>
            </wp:positionV>
            <wp:extent cx="51435"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-658495</wp:posOffset>
            </wp:positionV>
            <wp:extent cx="51435"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-24765</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59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 and Preferred Stock</w:t>
      </w:r>
    </w:p>
    <w:p>
      <w:pPr>
        <w:spacing w:after="0" w:line="12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b w:val="1"/>
          <w:bCs w:val="1"/>
          <w:i w:val="1"/>
          <w:iCs w:val="1"/>
          <w:color w:val="221E1F"/>
        </w:rPr>
        <w:t xml:space="preserve">Common Stock – </w:t>
      </w:r>
      <w:r>
        <w:rPr>
          <w:rFonts w:ascii="Arial" w:cs="Arial" w:eastAsia="Arial" w:hAnsi="Arial"/>
          <w:sz w:val="18"/>
          <w:szCs w:val="18"/>
          <w:color w:val="221E1F"/>
        </w:rPr>
        <w:t>We have one class of common stock outstanding as of December 31, 2022 and 2021. Our common stock is junior to our preferred</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E1F"/>
        </w:rPr>
        <w:t xml:space="preserve">stock, if and when issued. </w:t>
      </w:r>
      <w:r>
        <w:rPr>
          <w:rFonts w:ascii="Arial" w:cs="Arial" w:eastAsia="Arial" w:hAnsi="Arial"/>
          <w:sz w:val="18"/>
          <w:szCs w:val="18"/>
          <w:color w:val="000000"/>
        </w:rPr>
        <w:t>Our Third Amended and Restated Certificate of Incorporation authorizes a total of 500,000,000 shares of common stock with a</w:t>
      </w:r>
      <w:r>
        <w:rPr>
          <w:rFonts w:ascii="Arial" w:cs="Arial" w:eastAsia="Arial" w:hAnsi="Arial"/>
          <w:sz w:val="18"/>
          <w:szCs w:val="18"/>
          <w:color w:val="221E1F"/>
        </w:rPr>
        <w:t xml:space="preserve"> </w:t>
      </w:r>
      <w:r>
        <w:rPr>
          <w:rFonts w:ascii="Arial" w:cs="Arial" w:eastAsia="Arial" w:hAnsi="Arial"/>
          <w:sz w:val="18"/>
          <w:szCs w:val="18"/>
          <w:color w:val="000000"/>
        </w:rPr>
        <w:t>par value of $0.0001 per share.</w:t>
      </w:r>
    </w:p>
    <w:p>
      <w:pPr>
        <w:spacing w:after="0" w:line="75"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b w:val="1"/>
          <w:bCs w:val="1"/>
          <w:i w:val="1"/>
          <w:iCs w:val="1"/>
          <w:color w:val="221E1F"/>
        </w:rPr>
        <w:t xml:space="preserve">Preferred Stock </w:t>
      </w:r>
      <w:r>
        <w:rPr>
          <w:rFonts w:ascii="Arial" w:cs="Arial" w:eastAsia="Arial" w:hAnsi="Arial"/>
          <w:sz w:val="17"/>
          <w:szCs w:val="17"/>
          <w:color w:val="000000"/>
        </w:rPr>
        <w:t>– Our Third Amended and Restated Certificate of Incorporation authorizes 100,000,000 shares of new preferred stock with a par</w:t>
      </w:r>
      <w:r>
        <w:rPr>
          <w:rFonts w:ascii="Arial" w:cs="Arial" w:eastAsia="Arial" w:hAnsi="Arial"/>
          <w:sz w:val="17"/>
          <w:szCs w:val="17"/>
          <w:b w:val="1"/>
          <w:bCs w:val="1"/>
          <w:i w:val="1"/>
          <w:iCs w:val="1"/>
          <w:color w:val="221E1F"/>
        </w:rPr>
        <w:t xml:space="preserve"> </w:t>
      </w:r>
      <w:r>
        <w:rPr>
          <w:rFonts w:ascii="Arial" w:cs="Arial" w:eastAsia="Arial" w:hAnsi="Arial"/>
          <w:sz w:val="17"/>
          <w:szCs w:val="17"/>
          <w:color w:val="000000"/>
        </w:rPr>
        <w:t>value of $0.01 per share. No shares of this new preferred stock have been issued. The preferred stock may be issued, from time to time, in one or more series as authorized by the Board of Directors, which has the authority to designate the terms of any series of preferred stock issued, including, without limitation, the number of shares to be included in such series of preferred stock, any dividend, redemption, conversion rights or voting powers and the designations, preferences and relative participating, optional or other special rights.</w:t>
      </w:r>
    </w:p>
    <w:p>
      <w:pPr>
        <w:spacing w:after="0" w:line="6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b w:val="1"/>
          <w:bCs w:val="1"/>
          <w:i w:val="1"/>
          <w:iCs w:val="1"/>
          <w:color w:val="221E1F"/>
        </w:rPr>
        <w:t xml:space="preserve">Shareholder Rights Plan </w:t>
      </w:r>
      <w:r>
        <w:rPr>
          <w:rFonts w:ascii="Arial" w:cs="Arial" w:eastAsia="Arial" w:hAnsi="Arial"/>
          <w:sz w:val="17"/>
          <w:szCs w:val="17"/>
          <w:color w:val="221E1F"/>
        </w:rPr>
        <w:t>– On September 23, 2020, our Board of Directors adopted a Section 382 Rights Agreement (as amended, the “Rights</w:t>
      </w:r>
      <w:r>
        <w:rPr>
          <w:rFonts w:ascii="Arial" w:cs="Arial" w:eastAsia="Arial" w:hAnsi="Arial"/>
          <w:sz w:val="17"/>
          <w:szCs w:val="17"/>
          <w:b w:val="1"/>
          <w:bCs w:val="1"/>
          <w:i w:val="1"/>
          <w:iCs w:val="1"/>
          <w:color w:val="221E1F"/>
        </w:rPr>
        <w:t xml:space="preserve"> </w:t>
      </w:r>
      <w:r>
        <w:rPr>
          <w:rFonts w:ascii="Arial" w:cs="Arial" w:eastAsia="Arial" w:hAnsi="Arial"/>
          <w:sz w:val="17"/>
          <w:szCs w:val="17"/>
          <w:color w:val="221E1F"/>
        </w:rPr>
        <w:t xml:space="preserve">Agreement”), between the Company and Computershare Trust Company, N.A., as rights agent (the “Rights Agent”), and declared a dividend of one preferred share purchase right (a “Right”) for each outstanding share of common stock of the Company, outstanding on the record date of October 2, 2020, to the stockholders of record on that date. Each Right entitles the registered holder to purchase from the Company one one-thousandth of a share of Series A Preferred Stock, par value $0.01 per share, of the Company (the “Preferred Shares”) at a price of $38.40 per one one-thousandth of a Preferred Share represented by a Right, subject to adjustment. </w:t>
      </w:r>
      <w:r>
        <w:rPr>
          <w:rFonts w:ascii="Arial" w:cs="Arial" w:eastAsia="Arial" w:hAnsi="Arial"/>
          <w:sz w:val="17"/>
          <w:szCs w:val="17"/>
          <w:color w:val="000000"/>
        </w:rPr>
        <w:t>In December 2022, the Company entered into Amendment No. 1 to the Rights Agreement with the Rights</w:t>
      </w:r>
      <w:r>
        <w:rPr>
          <w:rFonts w:ascii="Arial" w:cs="Arial" w:eastAsia="Arial" w:hAnsi="Arial"/>
          <w:sz w:val="17"/>
          <w:szCs w:val="17"/>
          <w:color w:val="221E1F"/>
        </w:rPr>
        <w:t xml:space="preserve"> </w:t>
      </w:r>
      <w:r>
        <w:rPr>
          <w:rFonts w:ascii="Arial" w:cs="Arial" w:eastAsia="Arial" w:hAnsi="Arial"/>
          <w:sz w:val="17"/>
          <w:szCs w:val="17"/>
          <w:color w:val="000000"/>
        </w:rPr>
        <w:t>Agent, which, among other things, changed the Distribution Date (as defined below) from the close of business on the tenth to the thirtieth day after the Stock Acquisition Date (as defined in the Rights Agreement), with certain exceptions.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ind w:right="40" w:firstLine="509"/>
        <w:spacing w:after="0" w:line="271" w:lineRule="auto"/>
        <w:rPr>
          <w:sz w:val="20"/>
          <w:szCs w:val="20"/>
          <w:color w:val="auto"/>
        </w:rPr>
      </w:pPr>
      <w:r>
        <w:rPr>
          <w:rFonts w:ascii="Arial" w:cs="Arial" w:eastAsia="Arial" w:hAnsi="Arial"/>
          <w:sz w:val="17"/>
          <w:szCs w:val="17"/>
          <w:color w:val="221E1F"/>
        </w:rPr>
        <w:t>The purpose of the Rights Agreement is to facilitate the Company’s ability to preserve its net operating losses (“NOLs”) and certain other tax attributes in order to be able to offset potential future income taxes for federal income tax purposes. The Company’s ability to use its NOLs and other tax attributes would be substantially limited if it experiences an “ownership change,” as such term is defined in Section 382 of the Internal Revenue Code of 1986, as amended (the “Code”). A company generally experiences an ownership change if the percentage of the value of its stock owned by certain “5-percent shareholders,” as such term is defined in Section 382 of the Code, increases by more than 50 percentage points over a rolling three-year period. The Rights Agreement is intended to reduce the likelihood of an ownership change under Section 382 of the Code by deterring any person or group from acquiring beneficial ownership of 4.9% or more of the shares of the Company’s common stock then-outstanding.</w:t>
      </w:r>
    </w:p>
    <w:p>
      <w:pPr>
        <w:spacing w:after="0" w:line="73"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221E1F"/>
        </w:rPr>
        <w:t>The Rights are attached to all shares of the Company’s common stock, and until the Distribution Date (as defined below), the Rights will be transferred with and only with the common stock. As long as the Rights are attached to the common stock, the Company will issue one Right with each new share of common stock so that all such shares of common stock will have Rights attached (subject to certain limited exceptions). The Rights will separate and begin trading separately from the common stock, and Right certificates will be caused to evidence the Rights, on the earlier to occur of (i) the close of business on the thirtieth day following public disclosure of facts indicating that a person or group has acquired beneficial ownership of 4.9% or more of the outstanding common stock (an “Acquiring Person”) (or, in the event the Board of Directors determines to effect an exchange in accordance with Section 24 of the Rights Agreement and the Board of Directors determines that a later date is advisable, then such later date) and (ii) the close of business on the tenth business day (or such later date as may be determined by action of the Board of Directors prior to such time as any person becomes an Acquiring Person) following the commencement of a tender offer or exchange offer the consummation of which would result in the beneficial ownership by a person or group of 4.9% or more of the outstanding common stock (the earlier of such dates, the “Distribution Date”).</w:t>
      </w:r>
    </w:p>
    <w:p>
      <w:pPr>
        <w:spacing w:after="0" w:line="58"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221E1F"/>
        </w:rPr>
        <w:t>The Rights are not exercisable until the Distribution Date. The Rights will expire on the earlier to occur of (i) the date on which the Board of Directors determines in its sole discretion that (x) the Rights Agreement is no longer necessary for the preservation of material valuable NOLs or tax attributes or (y) the NOLs and tax attributes have been fully utilized and may no longer be carried forward and (ii) the close of business on September 23, 2023. The Rights Agreement was approved by the Company's stockholders at the Company's 2021 annual meeting of stockholders.</w:t>
      </w:r>
    </w:p>
    <w:p>
      <w:pPr>
        <w:spacing w:after="0" w:line="48" w:lineRule="exact"/>
        <w:rPr>
          <w:sz w:val="20"/>
          <w:szCs w:val="20"/>
          <w:color w:val="auto"/>
        </w:rPr>
      </w:pPr>
    </w:p>
    <w:p>
      <w:pPr>
        <w:ind w:right="80" w:firstLine="509"/>
        <w:spacing w:after="0" w:line="288" w:lineRule="auto"/>
        <w:rPr>
          <w:sz w:val="20"/>
          <w:szCs w:val="20"/>
          <w:color w:val="auto"/>
        </w:rPr>
      </w:pPr>
      <w:r>
        <w:rPr>
          <w:rFonts w:ascii="Arial" w:cs="Arial" w:eastAsia="Arial" w:hAnsi="Arial"/>
          <w:sz w:val="16"/>
          <w:szCs w:val="16"/>
          <w:color w:val="auto"/>
        </w:rPr>
        <w:t>On September 15, 2022, pursuant to the Rights Agreement and following approval by the Board of Directors, the Company requested that BlackRock, Inc. (together with its subsidiaries and funds under management, “BlackRock”), as promptly as practicable, divest sufficient shares of the Company’s common stock to take BlackRock’s beneficial ownership below 4.9% so as to not be deemed an “Acquiring Person” under the Rights Agreement. On September 28, 2022, following confirmation that it had divested sufficient shares of the Company’s common stock so as to not be deemed an “Acquiring Person” under the Rights Agreement, the Board of Directors granted a request by BlackRock that it be deemed an “Exempt Person” under the Rights Agreement, subject to BlackRock satisfying certain ownership conditions, including that neither BlackRock, Inc. nor any subsidiary or individual fund will have an economic interest of 4.9% or more of the Company’s common stock. Additionally, on December 29, 2022, the Board of Directors determined another shareholder not to be deemed an “Acquiring Person” under the Rights Agreement and granted a request from the shareholder that it be deemed an “Exempt Person” under the Rights Agreement, subject to such shareholder satisfying certain ownership conditions.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Assets and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30"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defined as observable inputs such as quoted prices for identical assets or liabilities in active markets;</w:t>
      </w:r>
    </w:p>
    <w:p>
      <w:pPr>
        <w:spacing w:after="0" w:line="107" w:lineRule="exact"/>
        <w:rPr>
          <w:rFonts w:ascii="Arial" w:cs="Arial" w:eastAsia="Arial" w:hAnsi="Arial"/>
          <w:sz w:val="20"/>
          <w:szCs w:val="20"/>
          <w:color w:val="auto"/>
        </w:rPr>
      </w:pPr>
    </w:p>
    <w:p>
      <w:pPr>
        <w:ind w:left="1020" w:right="60" w:hanging="503"/>
        <w:spacing w:after="0" w:line="249" w:lineRule="auto"/>
        <w:tabs>
          <w:tab w:leader="none" w:pos="1020" w:val="left"/>
        </w:tabs>
        <w:numPr>
          <w:ilvl w:val="0"/>
          <w:numId w:val="40"/>
        </w:numPr>
        <w:rPr>
          <w:rFonts w:ascii="Arial" w:cs="Arial" w:eastAsia="Arial" w:hAnsi="Arial"/>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defined as observable inputs other than Level 1 inputs such as quoted prices for similar assets or liabilities, quoted prices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inputs that are observable or can be corroborated by observable market data for substantially the full term of the assets or liabilities; and</w:t>
      </w:r>
    </w:p>
    <w:p>
      <w:pPr>
        <w:spacing w:after="0" w:line="100" w:lineRule="exact"/>
        <w:rPr>
          <w:rFonts w:ascii="Arial" w:cs="Arial" w:eastAsia="Arial" w:hAnsi="Arial"/>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defined as unobservable inputs in which little or no market data exists, therefore requiring an entity to develop its own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“Derivative Instruments and Hedging Activities,” for fair value information relating to our interest rate caps.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As of December 31, 2022 and 2021, our financial assets and liabilities that are disclosed but not measured at fair value include the Term Loan Facility, and solely as of December 31, 2021, the 2022 Convertible Notes, which are reflected on the consolidated balance sheets at cost. The fair value measurements are classified as Level 2 within the fair value hierarchy since they are based on quoted market prices of our instruments in markets that are not active. We estimated the fair value of the Term Loan Facility,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ind w:right="80"/>
        <w:spacing w:after="0" w:line="256" w:lineRule="auto"/>
        <w:rPr>
          <w:sz w:val="20"/>
          <w:szCs w:val="20"/>
          <w:color w:val="auto"/>
        </w:rPr>
      </w:pPr>
      <w:r>
        <w:rPr>
          <w:rFonts w:ascii="Arial" w:cs="Arial" w:eastAsia="Arial" w:hAnsi="Arial"/>
          <w:sz w:val="18"/>
          <w:szCs w:val="18"/>
          <w:color w:val="auto"/>
        </w:rPr>
        <w:t>solely as of December 31, 2021, the 2022 Convertible Notes, by calculating the upfront cash payment a market participant would require to assume these obligations. The upfront cash payments used in the calculations of fair value on our consolidated balance sheets, excluding any issuance costs, are the amount that a market participant would be willing to lend at such date to an entity with a credit rating similar to ours and that would allow such an entity to achieve sufficient cash inflows to cover the scheduled cash outflows under the Term Loan Facility, and solely as of December 31, 2021, the 2022 Convertible Notes.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fair value and carrying value of long-term debt as of December 31, 2022 and 2021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9"/>
                <w:szCs w:val="19"/>
                <w:i w:val="1"/>
                <w:iCs w:val="1"/>
                <w:color w:val="auto"/>
                <w:vertAlign w:val="superscript"/>
              </w:rPr>
              <w:t>(1)</w:t>
            </w: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99"/>
              <w:spacing w:after="0" w:line="133"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9"/>
                <w:szCs w:val="19"/>
                <w:i w:val="1"/>
                <w:iCs w:val="1"/>
                <w:color w:val="auto"/>
                <w:vertAlign w:val="superscript"/>
              </w:rPr>
              <w:t>(1)</w:t>
            </w: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99"/>
              <w:spacing w:after="0" w:line="133" w:lineRule="exact"/>
              <w:rPr>
                <w:sz w:val="20"/>
                <w:szCs w:val="20"/>
                <w:color w:val="auto"/>
              </w:rPr>
            </w:pPr>
            <w:r>
              <w:rPr>
                <w:rFonts w:ascii="Arial" w:cs="Arial" w:eastAsia="Arial" w:hAnsi="Arial"/>
                <w:sz w:val="14"/>
                <w:szCs w:val="14"/>
                <w:b w:val="1"/>
                <w:bCs w:val="1"/>
                <w:color w:val="auto"/>
                <w:w w:val="97"/>
              </w:rPr>
              <w:t>Carrying</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499"/>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6"/>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Facility</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708,000</w:t>
            </w:r>
          </w:p>
        </w:tc>
        <w:tc>
          <w:tcPr>
            <w:tcW w:w="28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711,263</w:t>
            </w:r>
          </w:p>
        </w:tc>
        <w:tc>
          <w:tcPr>
            <w:tcW w:w="540" w:type="dxa"/>
            <w:vAlign w:val="bottom"/>
            <w:shd w:val="clear" w:color="auto" w:fill="CFF0FC"/>
          </w:tcPr>
          <w:p>
            <w:pPr>
              <w:jc w:val="right"/>
              <w:ind w:right="220"/>
              <w:spacing w:after="0"/>
              <w:rPr>
                <w:sz w:val="20"/>
                <w:szCs w:val="20"/>
                <w:color w:val="auto"/>
              </w:rPr>
            </w:pPr>
            <w:r>
              <w:rPr>
                <w:rFonts w:ascii="Arial" w:cs="Arial" w:eastAsia="Arial" w:hAnsi="Arial"/>
                <w:sz w:val="12"/>
                <w:szCs w:val="12"/>
                <w:i w:val="1"/>
                <w:iCs w:val="1"/>
                <w:color w:val="auto"/>
              </w:rPr>
              <w:t>(2)</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723,000</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718,057</w:t>
            </w:r>
          </w:p>
        </w:tc>
        <w:tc>
          <w:tcPr>
            <w:tcW w:w="360" w:type="dxa"/>
            <w:vAlign w:val="bottom"/>
            <w:shd w:val="clear" w:color="auto" w:fill="CFF0FC"/>
          </w:tcPr>
          <w:p>
            <w:pPr>
              <w:jc w:val="right"/>
              <w:ind w:right="60"/>
              <w:spacing w:after="0"/>
              <w:rPr>
                <w:sz w:val="20"/>
                <w:szCs w:val="20"/>
                <w:color w:val="auto"/>
              </w:rPr>
            </w:pP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2022 Convertible Notes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230,000</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102,788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60" w:hanging="378"/>
        <w:spacing w:after="0"/>
        <w:tabs>
          <w:tab w:leader="none" w:pos="760" w:val="left"/>
        </w:tabs>
        <w:numPr>
          <w:ilvl w:val="1"/>
          <w:numId w:val="41"/>
        </w:numPr>
        <w:rPr>
          <w:rFonts w:ascii="Arial" w:cs="Arial" w:eastAsia="Arial" w:hAnsi="Arial"/>
          <w:sz w:val="18"/>
          <w:szCs w:val="18"/>
          <w:i w:val="1"/>
          <w:iCs w:val="1"/>
          <w:color w:val="auto"/>
        </w:rPr>
      </w:pPr>
      <w:r>
        <w:rPr>
          <w:rFonts w:ascii="Arial" w:cs="Arial" w:eastAsia="Arial" w:hAnsi="Arial"/>
          <w:sz w:val="18"/>
          <w:szCs w:val="18"/>
          <w:color w:val="auto"/>
        </w:rPr>
        <w:t>Fair value amounts are rounded to the nearest million.</w:t>
      </w:r>
    </w:p>
    <w:p>
      <w:pPr>
        <w:spacing w:after="0" w:line="23" w:lineRule="exact"/>
        <w:rPr>
          <w:rFonts w:ascii="Arial" w:cs="Arial" w:eastAsia="Arial" w:hAnsi="Arial"/>
          <w:sz w:val="18"/>
          <w:szCs w:val="18"/>
          <w:i w:val="1"/>
          <w:iCs w:val="1"/>
          <w:color w:val="auto"/>
        </w:rPr>
      </w:pPr>
    </w:p>
    <w:p>
      <w:pPr>
        <w:ind w:left="760" w:right="80" w:hanging="378"/>
        <w:spacing w:after="0" w:line="260" w:lineRule="auto"/>
        <w:tabs>
          <w:tab w:leader="none" w:pos="760" w:val="left"/>
        </w:tabs>
        <w:numPr>
          <w:ilvl w:val="1"/>
          <w:numId w:val="41"/>
        </w:numPr>
        <w:rPr>
          <w:rFonts w:ascii="Arial" w:cs="Arial" w:eastAsia="Arial" w:hAnsi="Arial"/>
          <w:sz w:val="18"/>
          <w:szCs w:val="18"/>
          <w:i w:val="1"/>
          <w:iCs w:val="1"/>
          <w:color w:val="auto"/>
        </w:rPr>
      </w:pPr>
      <w:r>
        <w:rPr>
          <w:rFonts w:ascii="Arial" w:cs="Arial" w:eastAsia="Arial" w:hAnsi="Arial"/>
          <w:sz w:val="18"/>
          <w:szCs w:val="18"/>
          <w:color w:val="auto"/>
        </w:rPr>
        <w:t>Carrying value of the Term Loan Facility reflects the unaccreted debt discount of $2.8 million and $3.3 million, respectively, as of December 31, 2022 and 2021. See Note 9, “Long-Term Debt and Other Liabilities,” for further information.</w:t>
      </w:r>
    </w:p>
    <w:p>
      <w:pPr>
        <w:spacing w:after="0" w:line="180" w:lineRule="exact"/>
        <w:rPr>
          <w:rFonts w:ascii="Arial" w:cs="Arial" w:eastAsia="Arial" w:hAnsi="Arial"/>
          <w:sz w:val="18"/>
          <w:szCs w:val="18"/>
          <w:i w:val="1"/>
          <w:iCs w:val="1"/>
          <w:color w:val="auto"/>
        </w:rPr>
      </w:pPr>
    </w:p>
    <w:p>
      <w:pPr>
        <w:ind w:left="280" w:hanging="272"/>
        <w:spacing w:after="0"/>
        <w:tabs>
          <w:tab w:leader="none" w:pos="2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401(k) Plan</w:t>
      </w:r>
    </w:p>
    <w:p>
      <w:pPr>
        <w:spacing w:after="0" w:line="121"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As of December 31, 2022, we maintained three stock-based incentive compensation plans: the Second Amended and Restated Gogo Inc. 2016 Omnibus Incentive Plan (the “2016 Omnibus Plan”), the Gogo Inc. 2013 Omnibus Incentive Plan (the “2013 Omnibus Plan”), and The Aircell Holdings Inc. Stock Option Plan, collectively referred to as the “Stock Plans,” as well as an Employee Stock Purchase Plan (“ESPP”), as discussed below. Our Stock Plans provide for the grant of both equity and cash awards, including non-qualified stock options, incentive stock options, stock appreciation rights, performance awards (shares and units), restricted stock, RSUs, deferred share units (“DSUs”) and other stock-based awards and dividend equivalents to eligible employees, directors and consultants, as determined by the Compensation Committee of our Board of Directors (the “Compensation Committee”).</w:t>
      </w:r>
    </w:p>
    <w:p>
      <w:pPr>
        <w:spacing w:after="0" w:line="5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Under the Stock Plans, 33,234,128 shares of common stock were reserved for issuance. As of December 31, 2022, 6,941,586 shares remained available for grant under our Stock Plans. The contractual life of granted options is 10 years. Except as otherwise approved by the Compensation Committee, all options that are unvested as of the date on which a recipient’s employment terminates, as well as vested options that are not exercised within a prescribed period following termination, are forfeited and become available for future grants. Options granted beginning in 2010 but prior to the Option Exchange (as defined below) include options that (a) vest in specified increments over a four-year period, (b) vest on the date of grant for certain options granted to non-employee members of our Board of Directors or (c) vest on the first anniversary of the date of grant for certain options granted to non-employee members of our Board of Directors. In June 2020, we consummated an option exchange program that was approved by our stockholders at the annual meeting held on April 29, 2020 in which previously outstanding eligible options (which excluded options granted for service by non-executive members of our Board of Directors) to purchase 6,664,773 shares of common stock were surrendered and cancelled and we granted replacement options (the “Replacement Options”) in exchange for the tendered options. Of the 4,168,455 options we granted in 2020, 2,896,383 were Replacement Options. The Replacement Options vested in a single installment on December 31, 2022.</w:t>
      </w:r>
    </w:p>
    <w:p>
      <w:pPr>
        <w:spacing w:after="0" w:line="71"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Beginning in 2013, we granted RSUs, which generally vest in equal annual increments over a four-year period. Vested RSUs will be settled, at the discretion of the Compensation Committee, in shares of our common stock or in cash equal to the value of the applicable number of shares of our common stock on the vesting date. We also granted DSUs to directors, some of which vest on the grant date and others on the first anniversary of the grant date. DSUs will be settled in shares of our common stock 90 days after the director ceases to serve as a director. We intend to settle RSU and DSU awards in stock and we have the shares available to do so.</w:t>
      </w:r>
    </w:p>
    <w:p>
      <w:pPr>
        <w:spacing w:after="0" w:line="83" w:lineRule="exact"/>
        <w:rPr>
          <w:sz w:val="20"/>
          <w:szCs w:val="20"/>
          <w:color w:val="auto"/>
        </w:rPr>
      </w:pPr>
    </w:p>
    <w:p>
      <w:pPr>
        <w:ind w:right="260" w:firstLine="509"/>
        <w:spacing w:after="0" w:line="301" w:lineRule="auto"/>
        <w:rPr>
          <w:sz w:val="20"/>
          <w:szCs w:val="20"/>
          <w:color w:val="auto"/>
        </w:rPr>
      </w:pPr>
      <w:r>
        <w:rPr>
          <w:rFonts w:ascii="Arial" w:cs="Arial" w:eastAsia="Arial" w:hAnsi="Arial"/>
          <w:sz w:val="17"/>
          <w:szCs w:val="17"/>
          <w:color w:val="auto"/>
        </w:rPr>
        <w:t xml:space="preserve">The following is a summary of our stock-based compensation expense included in the consolidated statements of operations, excluding the stock-based compensation expense for discontinued operations, for the years December 31, 2022, 2021 and 2020 </w:t>
      </w:r>
      <w:r>
        <w:rPr>
          <w:rFonts w:ascii="Arial" w:cs="Arial" w:eastAsia="Arial" w:hAnsi="Arial"/>
          <w:sz w:val="17"/>
          <w:szCs w:val="17"/>
          <w:i w:val="1"/>
          <w:iCs w:val="1"/>
          <w:color w:val="auto"/>
        </w:rPr>
        <w:t>(in thousands)</w:t>
      </w:r>
      <w:r>
        <w:rPr>
          <w:rFonts w:ascii="Arial" w:cs="Arial" w:eastAsia="Arial" w:hAnsi="Arial"/>
          <w:sz w:val="17"/>
          <w:szCs w:val="17"/>
          <w:color w:val="auto"/>
        </w:rPr>
        <w:t>:</w:t>
      </w: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5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Engineering, design and development</w:t>
            </w:r>
          </w:p>
        </w:tc>
        <w:tc>
          <w:tcPr>
            <w:tcW w:w="1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5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6,014</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19,065</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13,345</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7,808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00" w:type="dxa"/>
            <w:vAlign w:val="bottom"/>
            <w:vMerge w:val="restart"/>
          </w:tcPr>
          <w:p>
            <w:pPr>
              <w:jc w:val="right"/>
              <w:ind w:right="590"/>
              <w:spacing w:after="0"/>
              <w:rPr>
                <w:sz w:val="20"/>
                <w:szCs w:val="20"/>
                <w:color w:val="auto"/>
              </w:rPr>
            </w:pPr>
            <w:r>
              <w:rPr>
                <w:rFonts w:ascii="Arial" w:cs="Arial" w:eastAsia="Arial" w:hAnsi="Arial"/>
                <w:sz w:val="18"/>
                <w:szCs w:val="18"/>
                <w:color w:val="auto"/>
              </w:rPr>
              <w:t>78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-675640</wp:posOffset>
            </wp:positionV>
            <wp:extent cx="5969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-675640</wp:posOffset>
            </wp:positionV>
            <wp:extent cx="51435"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-675640</wp:posOffset>
            </wp:positionV>
            <wp:extent cx="51435"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ind w:left="520"/>
        <w:spacing w:after="0"/>
        <w:rPr>
          <w:sz w:val="20"/>
          <w:szCs w:val="20"/>
          <w:color w:val="auto"/>
        </w:rPr>
      </w:pPr>
      <w:r>
        <w:rPr>
          <w:rFonts w:ascii="Arial" w:cs="Arial" w:eastAsia="Arial" w:hAnsi="Arial"/>
          <w:sz w:val="18"/>
          <w:szCs w:val="18"/>
          <w:color w:val="auto"/>
        </w:rPr>
        <w:t>A summary of stock option activity for the year ended December 31, 2022 is as follows: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238"/>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06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3"/>
              </w:rPr>
              <w:t>Price</w:t>
            </w:r>
          </w:p>
        </w:tc>
        <w:tc>
          <w:tcPr>
            <w:tcW w:w="116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7"/>
              </w:rPr>
              <w:t>Per</w:t>
            </w:r>
          </w:p>
        </w:tc>
        <w:tc>
          <w:tcPr>
            <w:tcW w:w="116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1060" w:type="dxa"/>
            <w:vAlign w:val="bottom"/>
          </w:tcPr>
          <w:p>
            <w:pPr>
              <w:jc w:val="center"/>
              <w:ind w:right="258"/>
              <w:spacing w:after="0"/>
              <w:rPr>
                <w:sz w:val="20"/>
                <w:szCs w:val="20"/>
                <w:color w:val="auto"/>
              </w:rPr>
            </w:pPr>
            <w:r>
              <w:rPr>
                <w:rFonts w:ascii="Arial" w:cs="Arial" w:eastAsia="Arial" w:hAnsi="Arial"/>
                <w:sz w:val="14"/>
                <w:szCs w:val="14"/>
                <w:b w:val="1"/>
                <w:bCs w:val="1"/>
                <w:color w:val="auto"/>
                <w:w w:val="92"/>
              </w:rPr>
              <w:t>Share</w:t>
            </w:r>
          </w:p>
        </w:tc>
        <w:tc>
          <w:tcPr>
            <w:tcW w:w="116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Life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 January 1, 2022</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4,802,342</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4.18</w:t>
            </w:r>
          </w:p>
        </w:tc>
        <w:tc>
          <w:tcPr>
            <w:tcW w:w="116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6.57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45,927</w:t>
            </w: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(758,681 )</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2.67</w:t>
            </w: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(30,900 )</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17.78</w:t>
            </w: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Options outstanding – December 31, 2022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4,012,761</w:t>
            </w: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tcBorders>
          </w:tcPr>
          <w:p>
            <w:pPr>
              <w:jc w:val="right"/>
              <w:ind w:right="98"/>
              <w:spacing w:after="0"/>
              <w:rPr>
                <w:sz w:val="20"/>
                <w:szCs w:val="20"/>
                <w:color w:val="auto"/>
              </w:rPr>
            </w:pPr>
            <w:r>
              <w:rPr>
                <w:rFonts w:ascii="Arial" w:cs="Arial" w:eastAsia="Arial" w:hAnsi="Arial"/>
                <w:sz w:val="18"/>
                <w:szCs w:val="18"/>
                <w:color w:val="auto"/>
              </w:rPr>
              <w:t>4.36</w:t>
            </w:r>
          </w:p>
        </w:tc>
        <w:tc>
          <w:tcPr>
            <w:tcW w:w="1160" w:type="dxa"/>
            <w:vAlign w:val="bottom"/>
            <w:tcBorders>
              <w:top w:val="single" w:sz="8" w:color="CFF0FC"/>
            </w:tcBorders>
          </w:tcPr>
          <w:p>
            <w:pPr>
              <w:jc w:val="right"/>
              <w:ind w:right="41"/>
              <w:spacing w:after="0"/>
              <w:rPr>
                <w:sz w:val="20"/>
                <w:szCs w:val="20"/>
                <w:color w:val="auto"/>
              </w:rPr>
            </w:pPr>
            <w:r>
              <w:rPr>
                <w:rFonts w:ascii="Arial" w:cs="Arial" w:eastAsia="Arial" w:hAnsi="Arial"/>
                <w:sz w:val="18"/>
                <w:szCs w:val="18"/>
                <w:color w:val="auto"/>
              </w:rPr>
              <w:t>5.38</w:t>
            </w:r>
          </w:p>
        </w:tc>
        <w:tc>
          <w:tcPr>
            <w:tcW w:w="2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tcPr>
          <w:p>
            <w:pPr>
              <w:jc w:val="right"/>
              <w:ind w:right="39"/>
              <w:spacing w:after="0"/>
              <w:rPr>
                <w:sz w:val="20"/>
                <w:szCs w:val="20"/>
                <w:color w:val="auto"/>
              </w:rPr>
            </w:pPr>
            <w:r>
              <w:rPr>
                <w:rFonts w:ascii="Arial" w:cs="Arial" w:eastAsia="Arial" w:hAnsi="Arial"/>
                <w:sz w:val="18"/>
                <w:szCs w:val="18"/>
                <w:color w:val="auto"/>
              </w:rPr>
              <w:t>42,396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 December 31, 2022</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3,708,974</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98"/>
              <w:spacing w:after="0"/>
              <w:rPr>
                <w:sz w:val="20"/>
                <w:szCs w:val="20"/>
                <w:color w:val="auto"/>
              </w:rPr>
            </w:pPr>
            <w:r>
              <w:rPr>
                <w:rFonts w:ascii="Arial" w:cs="Arial" w:eastAsia="Arial" w:hAnsi="Arial"/>
                <w:sz w:val="18"/>
                <w:szCs w:val="18"/>
                <w:color w:val="auto"/>
              </w:rPr>
              <w:t>4.51</w:t>
            </w:r>
          </w:p>
        </w:tc>
        <w:tc>
          <w:tcPr>
            <w:tcW w:w="11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38,696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-367665</wp:posOffset>
            </wp:positionV>
            <wp:extent cx="68580"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As of December 31, 2022, total unrecognized compensation costs related to unvested stock options were approximately $0.4 million which is expected to be recognized over a weighted average period of approximately 1 year. The total grant date fair value of stock options vested in 2022, 2021 and 2020 was approximately $18 million, $10 million and $16 million, respectively.</w:t>
      </w:r>
    </w:p>
    <w:p>
      <w:pPr>
        <w:spacing w:after="0" w:line="7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estimate the fair value of stock options using the Black-Scholes option-pricing model. No stock options were granted during the year ended December 31, 2022. Weighted average assumptions used and weighted average grant date fair value of stock options granted for the years ended December 31,2021 and 2020 were as follows:</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040" w:type="dxa"/>
            <w:vAlign w:val="bottom"/>
          </w:tcPr>
          <w:p>
            <w:pPr>
              <w:spacing w:after="0"/>
              <w:rPr>
                <w:sz w:val="14"/>
                <w:szCs w:val="1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4"/>
        </w:trPr>
        <w:tc>
          <w:tcPr>
            <w:tcW w:w="6040" w:type="dxa"/>
            <w:vAlign w:val="bottom"/>
          </w:tcPr>
          <w:p>
            <w:pPr>
              <w:spacing w:after="0"/>
              <w:rPr>
                <w:sz w:val="20"/>
                <w:szCs w:val="20"/>
                <w:color w:val="auto"/>
              </w:rPr>
            </w:pPr>
            <w:r>
              <w:rPr>
                <w:rFonts w:ascii="Arial" w:cs="Arial" w:eastAsia="Arial" w:hAnsi="Arial"/>
                <w:sz w:val="18"/>
                <w:szCs w:val="18"/>
                <w:color w:val="auto"/>
              </w:rPr>
              <w:t>Approximate risk-free interest rate</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6040" w:type="dxa"/>
            <w:vAlign w:val="bottom"/>
          </w:tcPr>
          <w:p>
            <w:pPr>
              <w:spacing w:after="0"/>
              <w:rPr>
                <w:sz w:val="20"/>
                <w:szCs w:val="20"/>
                <w:color w:val="auto"/>
              </w:rPr>
            </w:pPr>
            <w:r>
              <w:rPr>
                <w:rFonts w:ascii="Arial" w:cs="Arial" w:eastAsia="Arial" w:hAnsi="Arial"/>
                <w:sz w:val="18"/>
                <w:szCs w:val="18"/>
                <w:color w:val="auto"/>
              </w:rPr>
              <w:t>Average expected life (years)</w:t>
            </w: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6.20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90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FF0FC"/>
          </w:tcPr>
          <w:p>
            <w:pPr>
              <w:spacing w:after="0"/>
              <w:rPr>
                <w:sz w:val="22"/>
                <w:szCs w:val="22"/>
                <w:color w:val="auto"/>
              </w:rPr>
            </w:pPr>
          </w:p>
        </w:tc>
        <w:tc>
          <w:tcPr>
            <w:tcW w:w="4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2"/>
                <w:szCs w:val="22"/>
                <w:color w:val="auto"/>
              </w:rPr>
            </w:pPr>
          </w:p>
        </w:tc>
      </w:tr>
      <w:tr>
        <w:trPr>
          <w:trHeight w:val="236"/>
        </w:trPr>
        <w:tc>
          <w:tcPr>
            <w:tcW w:w="6040" w:type="dxa"/>
            <w:vAlign w:val="bottom"/>
          </w:tcPr>
          <w:p>
            <w:pPr>
              <w:spacing w:after="0"/>
              <w:rPr>
                <w:sz w:val="20"/>
                <w:szCs w:val="20"/>
                <w:color w:val="auto"/>
              </w:rPr>
            </w:pPr>
            <w:r>
              <w:rPr>
                <w:rFonts w:ascii="Arial" w:cs="Arial" w:eastAsia="Arial" w:hAnsi="Arial"/>
                <w:sz w:val="18"/>
                <w:szCs w:val="18"/>
                <w:color w:val="auto"/>
              </w:rPr>
              <w:t>Volatility</w:t>
            </w:r>
          </w:p>
        </w:tc>
        <w:tc>
          <w:tcPr>
            <w:tcW w:w="9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77.0 %</w:t>
            </w:r>
          </w:p>
        </w:tc>
        <w:tc>
          <w:tcPr>
            <w:tcW w:w="9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9"/>
              </w:rPr>
              <w:t>66.8 %</w:t>
            </w:r>
          </w:p>
        </w:tc>
      </w:tr>
      <w:tr>
        <w:trPr>
          <w:trHeight w:val="221"/>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of common</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underlying options granted</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2.59</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15"/>
        </w:trPr>
        <w:tc>
          <w:tcPr>
            <w:tcW w:w="6040" w:type="dxa"/>
            <w:vAlign w:val="bottom"/>
          </w:tcPr>
          <w:p>
            <w:pPr>
              <w:spacing w:after="0"/>
              <w:rPr>
                <w:sz w:val="20"/>
                <w:szCs w:val="20"/>
                <w:color w:val="auto"/>
              </w:rPr>
            </w:pPr>
            <w:r>
              <w:rPr>
                <w:rFonts w:ascii="Arial" w:cs="Arial" w:eastAsia="Arial" w:hAnsi="Arial"/>
                <w:sz w:val="18"/>
                <w:szCs w:val="18"/>
                <w:color w:val="auto"/>
              </w:rPr>
              <w:t>Weighted average grant date fair value of stock</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20"/>
                <w:szCs w:val="20"/>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1.56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-1189355</wp:posOffset>
            </wp:positionV>
            <wp:extent cx="570230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8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The risk-free interest rate assumptions were based on the U.S. Treasury yield curve for the term that mirrored the expected term in effect at the time of grant. The expected life of our stock options was determined based upon a simplified assumption that the stock options will be exercised evenly from vesting to expiration, as we do not have sufficient historical exercise data to provide a reasonable basis upon which to estimate the expected life. The dividend yield was based on expected dividends at the time of grant. Beginning in 2020, we calculated volatility based exclusively on our common stock.</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activities for our unvested RSUs and DSUs for the year ended December 31, 2022:</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6"/>
                <w:szCs w:val="16"/>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Unvested – January 1, 2022</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3,998,688</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1,513,287</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(1,897,299 )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Forfeited/canceled</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(148,451 )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 December 31, 2022</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3,466,225</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-24765</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As of December 31, 2022, there was approximately $30 million of unrecognized compensation cost related to unvested employee RSUs. This amount is expected to be recognized over a weighted-average period of approximately 2.6 years. The total grant date fair value of RSUs and DSUs vested in 2022 was approximately $12 million.</w:t>
      </w:r>
    </w:p>
    <w:p>
      <w:pPr>
        <w:spacing w:after="0" w:line="71"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b w:val="1"/>
          <w:bCs w:val="1"/>
          <w:color w:val="auto"/>
        </w:rPr>
        <w:t xml:space="preserve">ESPP </w:t>
      </w:r>
      <w:r>
        <w:rPr>
          <w:rFonts w:ascii="Arial" w:cs="Arial" w:eastAsia="Arial" w:hAnsi="Arial"/>
          <w:sz w:val="18"/>
          <w:szCs w:val="18"/>
          <w:color w:val="auto"/>
        </w:rPr>
        <w:t>- In June 2013, the Board of Directors and stockholders approved the ESPP, which became effective on June 26, 2013, and in 2017 and 2020,</w:t>
      </w:r>
      <w:r>
        <w:rPr>
          <w:rFonts w:ascii="Arial" w:cs="Arial" w:eastAsia="Arial" w:hAnsi="Arial"/>
          <w:sz w:val="18"/>
          <w:szCs w:val="18"/>
          <w:b w:val="1"/>
          <w:bCs w:val="1"/>
          <w:color w:val="auto"/>
        </w:rPr>
        <w:t xml:space="preserve"> </w:t>
      </w:r>
      <w:r>
        <w:rPr>
          <w:rFonts w:ascii="Arial" w:cs="Arial" w:eastAsia="Arial" w:hAnsi="Arial"/>
          <w:sz w:val="18"/>
          <w:szCs w:val="18"/>
          <w:color w:val="auto"/>
        </w:rPr>
        <w:t>the ESPP was amended to increase the number of shares reserved thereunder. The ESPP allows eligible employees to purchase a limited number of shares of common stock during pre-specified offering periods at a discount established by the Compensation Committee which may not exceed 15% of the fair market value of the common stock at the beginning or end of the offering period (whichever is lower). Under the ESPP, 2,200,000 shares were reserved for issuance and 52,489 shares of common stock were issued during the year ended December 31, 2022. As of December 31, 2022, 714,091 shares remained available for purchase under the ESPP.</w:t>
      </w:r>
    </w:p>
    <w:p>
      <w:pPr>
        <w:spacing w:after="0" w:line="78" w:lineRule="exact"/>
        <w:rPr>
          <w:sz w:val="20"/>
          <w:szCs w:val="20"/>
          <w:color w:val="auto"/>
        </w:rPr>
      </w:pPr>
    </w:p>
    <w:p>
      <w:pPr>
        <w:ind w:right="120" w:firstLine="374"/>
        <w:spacing w:after="0" w:line="281" w:lineRule="auto"/>
        <w:rPr>
          <w:sz w:val="20"/>
          <w:szCs w:val="20"/>
          <w:color w:val="auto"/>
        </w:rPr>
      </w:pPr>
      <w:r>
        <w:rPr>
          <w:rFonts w:ascii="Arial" w:cs="Arial" w:eastAsia="Arial" w:hAnsi="Arial"/>
          <w:sz w:val="18"/>
          <w:szCs w:val="18"/>
          <w:b w:val="1"/>
          <w:bCs w:val="1"/>
          <w:color w:val="auto"/>
        </w:rPr>
        <w:t xml:space="preserve">401(k) Plan </w:t>
      </w:r>
      <w:r>
        <w:rPr>
          <w:rFonts w:ascii="Arial" w:cs="Arial" w:eastAsia="Arial" w:hAnsi="Arial"/>
          <w:sz w:val="18"/>
          <w:szCs w:val="18"/>
          <w:color w:val="auto"/>
        </w:rPr>
        <w:t>- Under our 401(k) plan, all employees who are eligible to participate are entitled to make tax-deferred contributions, subject to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Service limitations. We match 100% of the employee’s first 4% of contributions made, subject to annual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1" w:name="page82"/>
    <w:bookmarkEnd w:id="81"/>
    <w:p>
      <w:pPr>
        <w:ind w:right="760"/>
        <w:spacing w:after="0" w:line="277" w:lineRule="auto"/>
        <w:rPr>
          <w:sz w:val="20"/>
          <w:szCs w:val="20"/>
          <w:color w:val="auto"/>
        </w:rPr>
      </w:pPr>
      <w:r>
        <w:rPr>
          <w:rFonts w:ascii="Arial" w:cs="Arial" w:eastAsia="Arial" w:hAnsi="Arial"/>
          <w:sz w:val="18"/>
          <w:szCs w:val="18"/>
          <w:color w:val="auto"/>
        </w:rPr>
        <w:t>limitations. Our matching contributions were $2.1 million, $1.8 million, and $1.5 million for the years ended December 31, 2022, 2021 and 2020, respectively.</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w:t>
      </w:r>
    </w:p>
    <w:p>
      <w:pPr>
        <w:spacing w:after="0" w:line="121" w:lineRule="exact"/>
        <w:rPr>
          <w:sz w:val="20"/>
          <w:szCs w:val="20"/>
          <w:color w:val="auto"/>
        </w:rPr>
      </w:pPr>
    </w:p>
    <w:p>
      <w:pPr>
        <w:ind w:right="200" w:firstLine="374"/>
        <w:spacing w:after="0" w:line="258" w:lineRule="auto"/>
        <w:rPr>
          <w:sz w:val="20"/>
          <w:szCs w:val="20"/>
          <w:color w:val="auto"/>
        </w:rPr>
      </w:pPr>
      <w:r>
        <w:rPr>
          <w:rFonts w:ascii="Arial" w:cs="Arial" w:eastAsia="Arial" w:hAnsi="Arial"/>
          <w:sz w:val="18"/>
          <w:szCs w:val="18"/>
          <w:color w:val="auto"/>
        </w:rPr>
        <w:t>For financial reporting purposes, the income (loss) from continuing operations before income taxes included the following components for the years ended December 31, 2022,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105,450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(27,557</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(45,840</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(3,084 )</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(2,865 )</w:t>
            </w:r>
          </w:p>
        </w:tc>
      </w:tr>
      <w:tr>
        <w:trPr>
          <w:trHeight w:val="27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105,717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(30,641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(48,705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-24765</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right="260" w:firstLine="509"/>
        <w:spacing w:after="0" w:line="258" w:lineRule="auto"/>
        <w:rPr>
          <w:sz w:val="20"/>
          <w:szCs w:val="20"/>
          <w:color w:val="auto"/>
        </w:rPr>
      </w:pPr>
      <w:r>
        <w:rPr>
          <w:rFonts w:ascii="Arial" w:cs="Arial" w:eastAsia="Arial" w:hAnsi="Arial"/>
          <w:sz w:val="18"/>
          <w:szCs w:val="18"/>
          <w:color w:val="auto"/>
        </w:rPr>
        <w:t>Significant components of the provision (benefit) for income taxes from continuing operations for the years ended December 31, 2022, 2021, and 2020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(166,706 )</w:t>
            </w: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(318 )</w:t>
            </w: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(20,614 )</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r>
      <w:tr>
        <w:trPr>
          <w:trHeight w:val="243"/>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(1,124 )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13,170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 xml:space="preserve">(187,320 </w:t>
            </w:r>
            <w:r>
              <w:rPr>
                <w:rFonts w:ascii="Arial" w:cs="Arial" w:eastAsia="Arial" w:hAnsi="Arial"/>
                <w:sz w:val="18"/>
                <w:szCs w:val="18"/>
                <w:color w:val="auto"/>
                <w:highlight w:val="white"/>
              </w:rPr>
              <w:t>)</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color w:val="auto"/>
                <w:highlight w:val="white"/>
              </w:rPr>
              <w:t>)</w:t>
            </w:r>
          </w:p>
        </w:tc>
      </w:tr>
      <w:tr>
        <w:trPr>
          <w:trHeight w:val="27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(187,230</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-975360</wp:posOffset>
            </wp:positionV>
            <wp:extent cx="59690" cy="162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-975360</wp:posOffset>
            </wp:positionV>
            <wp:extent cx="51435" cy="162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-975360</wp:posOffset>
            </wp:positionV>
            <wp:extent cx="51435" cy="162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-350520</wp:posOffset>
            </wp:positionV>
            <wp:extent cx="59690"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59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provision (benefit) for income taxes from continuing operations differs from income taxes computed at the federal statutory tax rates for the years ended December 31, 2022, 2021, and 2020 as a result of the following items:</w:t>
      </w:r>
    </w:p>
    <w:p>
      <w:pPr>
        <w:spacing w:after="0" w:line="175"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For the 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Federal statutory rate</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0" w:type="dxa"/>
            <w:vAlign w:val="bottom"/>
            <w:gridSpan w:val="2"/>
          </w:tcPr>
          <w:p>
            <w:pPr>
              <w:jc w:val="right"/>
              <w:ind w:right="10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Effect of:</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9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Change in valuation allowance</w:t>
            </w:r>
          </w:p>
        </w:tc>
        <w:tc>
          <w:tcPr>
            <w:tcW w:w="6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88"/>
              </w:rPr>
              <w:t>(10.9 )</w:t>
            </w:r>
          </w:p>
        </w:tc>
        <w:tc>
          <w:tcPr>
            <w:tcW w:w="7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595.5</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(48.9 )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State income taxes-net of federal tax benefit</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2"/>
                <w:szCs w:val="22"/>
                <w:color w:val="auto"/>
              </w:rPr>
            </w:pPr>
          </w:p>
        </w:tc>
        <w:tc>
          <w:tcPr>
            <w:tcW w:w="59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R&amp;D credit</w:t>
            </w:r>
          </w:p>
        </w:tc>
        <w:tc>
          <w:tcPr>
            <w:tcW w:w="6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(0.4 )</w:t>
            </w:r>
          </w:p>
        </w:tc>
        <w:tc>
          <w:tcPr>
            <w:tcW w:w="70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Excess tax benefits on stock-based compensation</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(2.0 )</w:t>
            </w:r>
          </w:p>
        </w:tc>
        <w:tc>
          <w:tcPr>
            <w:tcW w:w="700" w:type="dxa"/>
            <w:vAlign w:val="bottom"/>
          </w:tcPr>
          <w:p>
            <w:pPr>
              <w:spacing w:after="0"/>
              <w:rPr>
                <w:sz w:val="20"/>
                <w:szCs w:val="20"/>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(3.0 )</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2"/>
                <w:szCs w:val="22"/>
                <w:color w:val="auto"/>
              </w:rPr>
            </w:pPr>
          </w:p>
        </w:tc>
        <w:tc>
          <w:tcPr>
            <w:tcW w:w="59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Loss on settlement of 2022 Convertible Notes</w:t>
            </w:r>
          </w:p>
        </w:tc>
        <w:tc>
          <w:tcPr>
            <w:tcW w:w="1300" w:type="dxa"/>
            <w:vAlign w:val="bottom"/>
            <w:gridSpan w:val="3"/>
            <w:shd w:val="clear" w:color="auto" w:fill="CFF0FC"/>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2"/>
              </w:rPr>
              <w:t>(12.9 )</w:t>
            </w:r>
          </w:p>
        </w:tc>
        <w:tc>
          <w:tcPr>
            <w:tcW w:w="11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7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611.0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0" w:type="dxa"/>
            <w:vAlign w:val="bottom"/>
            <w:gridSpan w:val="2"/>
          </w:tcPr>
          <w:p>
            <w:pPr>
              <w:jc w:val="right"/>
              <w:ind w:right="10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80" w:type="dxa"/>
            <w:vAlign w:val="bottom"/>
            <w:vMerge w:val="restart"/>
          </w:tcPr>
          <w:p>
            <w:pPr>
              <w:ind w:left="4400"/>
              <w:spacing w:after="0"/>
              <w:rPr>
                <w:sz w:val="20"/>
                <w:szCs w:val="20"/>
                <w:color w:val="auto"/>
              </w:rPr>
            </w:pPr>
            <w:r>
              <w:rPr>
                <w:rFonts w:ascii="Arial" w:cs="Arial" w:eastAsia="Arial" w:hAnsi="Arial"/>
                <w:sz w:val="18"/>
                <w:szCs w:val="18"/>
                <w:color w:val="auto"/>
              </w:rPr>
              <w:t>80</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114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5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-1908810</wp:posOffset>
            </wp:positionV>
            <wp:extent cx="570230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-667385</wp:posOffset>
            </wp:positionV>
            <wp:extent cx="5702300" cy="1797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0230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2" w:name="page83"/>
    <w:bookmarkEnd w:id="82"/>
    <w:p>
      <w:pPr>
        <w:ind w:left="520"/>
        <w:spacing w:after="0"/>
        <w:rPr>
          <w:sz w:val="20"/>
          <w:szCs w:val="20"/>
          <w:color w:val="auto"/>
        </w:rPr>
      </w:pPr>
      <w:r>
        <w:rPr>
          <w:rFonts w:ascii="Arial" w:cs="Arial" w:eastAsia="Arial" w:hAnsi="Arial"/>
          <w:sz w:val="18"/>
          <w:szCs w:val="18"/>
          <w:color w:val="auto"/>
        </w:rPr>
        <w:t>Components of the net deferred income tax asset as of December 31, 2022 and 2021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166"/>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5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assets: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320" w:type="dxa"/>
            <w:vAlign w:val="bottom"/>
          </w:tcPr>
          <w:p>
            <w:pPr>
              <w:ind w:left="180"/>
              <w:spacing w:after="0"/>
              <w:rPr>
                <w:sz w:val="20"/>
                <w:szCs w:val="20"/>
                <w:color w:val="auto"/>
              </w:rPr>
            </w:pPr>
            <w:r>
              <w:rPr>
                <w:rFonts w:ascii="Arial" w:cs="Arial" w:eastAsia="Arial" w:hAnsi="Arial"/>
                <w:sz w:val="18"/>
                <w:szCs w:val="18"/>
                <w:color w:val="auto"/>
              </w:rPr>
              <w:t>Compensation accruals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2,912</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2,492</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w:t>
            </w:r>
          </w:p>
        </w:tc>
        <w:tc>
          <w:tcPr>
            <w:tcW w:w="80" w:type="dxa"/>
            <w:vAlign w:val="bottom"/>
            <w:shd w:val="clear" w:color="auto" w:fill="CFF0FC"/>
          </w:tcPr>
          <w:p>
            <w:pPr>
              <w:spacing w:after="0"/>
              <w:rPr>
                <w:sz w:val="21"/>
                <w:szCs w:val="21"/>
                <w:color w:val="auto"/>
              </w:rPr>
            </w:pPr>
          </w:p>
        </w:tc>
      </w:tr>
      <w:tr>
        <w:trPr>
          <w:trHeight w:val="236"/>
        </w:trPr>
        <w:tc>
          <w:tcPr>
            <w:tcW w:w="53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Warranty reserves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FF0FC"/>
          </w:tcPr>
          <w:p>
            <w:pPr>
              <w:spacing w:after="0"/>
              <w:rPr>
                <w:sz w:val="21"/>
                <w:szCs w:val="21"/>
                <w:color w:val="auto"/>
              </w:rPr>
            </w:pPr>
          </w:p>
        </w:tc>
      </w:tr>
      <w:tr>
        <w:trPr>
          <w:trHeight w:val="236"/>
        </w:trPr>
        <w:tc>
          <w:tcPr>
            <w:tcW w:w="532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5,821</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Capital loss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10,425</w:t>
            </w:r>
          </w:p>
        </w:tc>
        <w:tc>
          <w:tcPr>
            <w:tcW w:w="80" w:type="dxa"/>
            <w:vAlign w:val="bottom"/>
            <w:shd w:val="clear" w:color="auto" w:fill="CFF0FC"/>
          </w:tcPr>
          <w:p>
            <w:pPr>
              <w:spacing w:after="0"/>
              <w:rPr>
                <w:sz w:val="21"/>
                <w:szCs w:val="21"/>
                <w:color w:val="auto"/>
              </w:rPr>
            </w:pPr>
          </w:p>
        </w:tc>
      </w:tr>
      <w:tr>
        <w:trPr>
          <w:trHeight w:val="236"/>
        </w:trPr>
        <w:tc>
          <w:tcPr>
            <w:tcW w:w="53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 net operating loss (NOL)</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118,043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144,591</w:t>
            </w:r>
          </w:p>
        </w:tc>
        <w:tc>
          <w:tcPr>
            <w:tcW w:w="80" w:type="dxa"/>
            <w:vAlign w:val="bottom"/>
            <w:shd w:val="clear" w:color="auto" w:fill="CFF0FC"/>
          </w:tcPr>
          <w:p>
            <w:pPr>
              <w:spacing w:after="0"/>
              <w:rPr>
                <w:sz w:val="21"/>
                <w:szCs w:val="21"/>
                <w:color w:val="auto"/>
              </w:rPr>
            </w:pPr>
          </w:p>
        </w:tc>
      </w:tr>
      <w:tr>
        <w:trPr>
          <w:trHeight w:val="236"/>
        </w:trPr>
        <w:tc>
          <w:tcPr>
            <w:tcW w:w="5320" w:type="dxa"/>
            <w:vAlign w:val="bottom"/>
          </w:tcPr>
          <w:p>
            <w:pPr>
              <w:ind w:left="180"/>
              <w:spacing w:after="0"/>
              <w:rPr>
                <w:sz w:val="20"/>
                <w:szCs w:val="20"/>
                <w:color w:val="auto"/>
              </w:rPr>
            </w:pPr>
            <w:r>
              <w:rPr>
                <w:rFonts w:ascii="Arial" w:cs="Arial" w:eastAsia="Arial" w:hAnsi="Arial"/>
                <w:sz w:val="18"/>
                <w:szCs w:val="18"/>
                <w:color w:val="auto"/>
              </w:rPr>
              <w:t>State NOL</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26,033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29,690</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 NOL</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15,478</w:t>
            </w:r>
          </w:p>
        </w:tc>
        <w:tc>
          <w:tcPr>
            <w:tcW w:w="80" w:type="dxa"/>
            <w:vAlign w:val="bottom"/>
            <w:shd w:val="clear" w:color="auto" w:fill="CFF0FC"/>
          </w:tcPr>
          <w:p>
            <w:pPr>
              <w:spacing w:after="0"/>
              <w:rPr>
                <w:sz w:val="21"/>
                <w:szCs w:val="21"/>
                <w:color w:val="auto"/>
              </w:rPr>
            </w:pPr>
          </w:p>
        </w:tc>
      </w:tr>
      <w:tr>
        <w:trPr>
          <w:trHeight w:val="236"/>
        </w:trPr>
        <w:tc>
          <w:tcPr>
            <w:tcW w:w="5320" w:type="dxa"/>
            <w:vAlign w:val="bottom"/>
          </w:tcPr>
          <w:p>
            <w:pPr>
              <w:ind w:left="180"/>
              <w:spacing w:after="0"/>
              <w:rPr>
                <w:sz w:val="20"/>
                <w:szCs w:val="20"/>
                <w:color w:val="auto"/>
              </w:rPr>
            </w:pPr>
            <w:r>
              <w:rPr>
                <w:rFonts w:ascii="Arial" w:cs="Arial" w:eastAsia="Arial" w:hAnsi="Arial"/>
                <w:sz w:val="18"/>
                <w:szCs w:val="18"/>
                <w:color w:val="auto"/>
              </w:rPr>
              <w:t>Interest carryforward</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67,644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71,778</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UNICAP adjustment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CFF0FC"/>
          </w:tcPr>
          <w:p>
            <w:pPr>
              <w:spacing w:after="0"/>
              <w:rPr>
                <w:sz w:val="21"/>
                <w:szCs w:val="21"/>
                <w:color w:val="auto"/>
              </w:rPr>
            </w:pPr>
          </w:p>
        </w:tc>
      </w:tr>
      <w:tr>
        <w:trPr>
          <w:trHeight w:val="236"/>
        </w:trPr>
        <w:tc>
          <w:tcPr>
            <w:tcW w:w="5320" w:type="dxa"/>
            <w:vAlign w:val="bottom"/>
          </w:tcPr>
          <w:p>
            <w:pPr>
              <w:ind w:left="180"/>
              <w:spacing w:after="0"/>
              <w:rPr>
                <w:sz w:val="20"/>
                <w:szCs w:val="20"/>
                <w:color w:val="auto"/>
              </w:rPr>
            </w:pPr>
            <w:r>
              <w:rPr>
                <w:rFonts w:ascii="Arial" w:cs="Arial" w:eastAsia="Arial" w:hAnsi="Arial"/>
                <w:sz w:val="18"/>
                <w:szCs w:val="18"/>
                <w:color w:val="auto"/>
              </w:rPr>
              <w:t>Finite-lived intangible assets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3,374</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21,744</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21,118</w:t>
            </w:r>
          </w:p>
        </w:tc>
        <w:tc>
          <w:tcPr>
            <w:tcW w:w="80" w:type="dxa"/>
            <w:vAlign w:val="bottom"/>
            <w:shd w:val="clear" w:color="auto" w:fill="CFF0FC"/>
          </w:tcPr>
          <w:p>
            <w:pPr>
              <w:spacing w:after="0"/>
              <w:rPr>
                <w:sz w:val="21"/>
                <w:szCs w:val="2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R&amp;D credit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2,538</w:t>
            </w:r>
          </w:p>
        </w:tc>
        <w:tc>
          <w:tcPr>
            <w:tcW w:w="80" w:type="dxa"/>
            <w:vAlign w:val="bottom"/>
          </w:tcPr>
          <w:p>
            <w:pPr>
              <w:spacing w:after="0"/>
              <w:rPr>
                <w:sz w:val="20"/>
                <w:szCs w:val="20"/>
                <w:color w:val="auto"/>
              </w:rPr>
            </w:pPr>
          </w:p>
        </w:tc>
      </w:tr>
      <w:tr>
        <w:trPr>
          <w:trHeight w:val="255"/>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Section 174 costs</w:t>
            </w: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4,624</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80" w:type="dxa"/>
            <w:vAlign w:val="bottom"/>
          </w:tcPr>
          <w:p>
            <w:pPr>
              <w:spacing w:after="0"/>
              <w:rPr>
                <w:sz w:val="20"/>
                <w:szCs w:val="20"/>
                <w:color w:val="auto"/>
              </w:rPr>
            </w:pPr>
          </w:p>
        </w:tc>
      </w:tr>
      <w:tr>
        <w:trPr>
          <w:trHeight w:val="236"/>
        </w:trPr>
        <w:tc>
          <w:tcPr>
            <w:tcW w:w="53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deferred income tax assets</w:t>
            </w: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298,229</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322,813</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5"/>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(9,138 )</w:t>
            </w:r>
          </w:p>
        </w:tc>
        <w:tc>
          <w:tcPr>
            <w:tcW w:w="1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(8,043 )</w:t>
            </w: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Right-of-use asset</w:t>
            </w:r>
          </w:p>
        </w:tc>
        <w:tc>
          <w:tcPr>
            <w:tcW w:w="12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(18,525 )</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(17,684 )</w:t>
            </w:r>
          </w:p>
        </w:tc>
      </w:tr>
      <w:tr>
        <w:trPr>
          <w:trHeight w:val="255"/>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rate cap valuation</w:t>
            </w:r>
          </w:p>
        </w:tc>
        <w:tc>
          <w:tcPr>
            <w:tcW w:w="1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(10,213 )</w:t>
            </w:r>
          </w:p>
        </w:tc>
        <w:tc>
          <w:tcPr>
            <w:tcW w:w="1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(909 )</w:t>
            </w:r>
          </w:p>
        </w:tc>
      </w:tr>
      <w:tr>
        <w:trPr>
          <w:trHeight w:val="236"/>
        </w:trPr>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(226 )</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(324 )</w:t>
            </w:r>
          </w:p>
        </w:tc>
      </w:tr>
      <w:tr>
        <w:trPr>
          <w:trHeight w:val="236"/>
        </w:trPr>
        <w:tc>
          <w:tcPr>
            <w:tcW w:w="53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deferred income tax liabilities</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(38,102</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Total deferred income tax</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260,127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295,853</w:t>
            </w:r>
          </w:p>
        </w:tc>
        <w:tc>
          <w:tcPr>
            <w:tcW w:w="80" w:type="dxa"/>
            <w:vAlign w:val="bottom"/>
          </w:tcPr>
          <w:p>
            <w:pPr>
              <w:spacing w:after="0"/>
              <w:rPr>
                <w:sz w:val="19"/>
                <w:szCs w:val="19"/>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(97,470 )</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(110,720 )</w:t>
            </w:r>
          </w:p>
        </w:tc>
      </w:tr>
      <w:tr>
        <w:trPr>
          <w:trHeight w:val="236"/>
        </w:trPr>
        <w:tc>
          <w:tcPr>
            <w:tcW w:w="53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deferred income tax asset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162,657</w:t>
            </w: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185,133</w:t>
            </w:r>
          </w:p>
        </w:tc>
        <w:tc>
          <w:tcPr>
            <w:tcW w:w="80" w:type="dxa"/>
            <w:vAlign w:val="bottom"/>
            <w:tcBorders>
              <w:top w:val="single" w:sz="8" w:color="CFF0FC"/>
            </w:tcBorders>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-1446530</wp:posOffset>
            </wp:positionV>
            <wp:extent cx="51435" cy="162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-1446530</wp:posOffset>
            </wp:positionV>
            <wp:extent cx="42545" cy="162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-504825</wp:posOffset>
            </wp:positionV>
            <wp:extent cx="51435" cy="162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162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-187960</wp:posOffset>
            </wp:positionV>
            <wp:extent cx="51435"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74"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We regularly assess the need for a valuation allowance related to our deferred income tax assets to determine, based on the weight of the available positive and negative evidence, whether it is more likely than not that some or all of such deferred assets will not be realized. In our assessments, the Company considers recent financial operating results, the scheduled expiration of our net operating losses, potential sources of taxable income, the reversal of existing taxable differences, taxable income in prior carryback years, if permitted under tax law, and tax planning strategies. Based on our most recent assessment, for the year ended December 31, 2022, we released $11.4 million of the valuation allowance for the portion of our deferred income tax assets that we are more likely than not going to utilize. As of December 31, 2022, we can demonstrate an estimate of objectively verifiable future income based on the prior three years of pre-tax income from continuing operations, adjusted for the change in interest expense resulting from the Refinancing and the settlement of the 2022 Convertible Notes. This estimate of future income, along with our assessment of the other positive and negative evidence considered, supports the release of a portion of the valuation allowance. The remaining valuation allowance is still required for deferred tax assets related to certain state and foreign NOLs, capital losses, and the Section 163(j) interest limitation carryforward as it was more likely than not as of December 31,</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2022 that these deferred tax assets will not be realized. If we continue to sustain our current operating performance, additional reversals of our valuation allowance could occur within the next twelve months.</w:t>
      </w:r>
    </w:p>
    <w:p>
      <w:pPr>
        <w:spacing w:after="0" w:line="76"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As of December 31, 2022, the federal net operating loss (“NOL”) carryforward amount was approximately $562 million, the state NOL carryforward amount was approximately $448 million and the Section 163(j) interest limitation carryforward amount was $292 million. The federal NOLs will begin to expire in 2032. The state NOLs expire in various tax years beginning in 2023. The interest carryforward does not expire. As of December 31, 2022, the Canadian NOL carryforward amount was approximately $54 million, and it will begin to expire in 2032.</w:t>
      </w:r>
    </w:p>
    <w:p>
      <w:pPr>
        <w:spacing w:after="0" w:line="62"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Utilization of our NOL, interest and tax credit carryforwards may be subject to substantial annual limitations due to the ownership change limitations provided by the Internal Revenue Code and similar state provisions. Such annual limitations could result in the expiration of the NOL and tax credit carryforwards before their utilization. The interest carryforward arises from the Tax Cuts and Jobs Act and generally limits the interest expense deduction to 30% of income (loss) attributable to common stock before interest expense, interest income, income taxes and depreciation and amortization for tax years 2018 to 2021 and 30% of income (loss) attributable to common stock before interest expense, interest income and income taxes for 2022 and subsequent years. The interest carryforward will not expire as it may be carried forward indefinitely.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3" w:name="page84"/>
    <w:bookmarkEnd w:id="83"/>
    <w:p>
      <w:pPr>
        <w:ind w:right="260" w:firstLine="509"/>
        <w:spacing w:after="0" w:line="312" w:lineRule="auto"/>
        <w:rPr>
          <w:sz w:val="20"/>
          <w:szCs w:val="20"/>
          <w:color w:val="auto"/>
        </w:rPr>
      </w:pPr>
      <w:r>
        <w:rPr>
          <w:rFonts w:ascii="Arial" w:cs="Arial" w:eastAsia="Arial" w:hAnsi="Arial"/>
          <w:sz w:val="17"/>
          <w:szCs w:val="17"/>
          <w:b w:val="1"/>
          <w:bCs w:val="1"/>
          <w:color w:val="auto"/>
        </w:rPr>
        <w:t xml:space="preserve">Uncertain Tax Positions </w:t>
      </w:r>
      <w:r>
        <w:rPr>
          <w:rFonts w:ascii="Arial" w:cs="Arial" w:eastAsia="Arial" w:hAnsi="Arial"/>
          <w:sz w:val="17"/>
          <w:szCs w:val="17"/>
          <w:color w:val="auto"/>
        </w:rPr>
        <w:t>- As of December 31, 2022, the total amount of gross unrecognized tax benefits was $0.8 million, which, if recognized,</w:t>
      </w:r>
      <w:r>
        <w:rPr>
          <w:rFonts w:ascii="Arial" w:cs="Arial" w:eastAsia="Arial" w:hAnsi="Arial"/>
          <w:sz w:val="17"/>
          <w:szCs w:val="17"/>
          <w:b w:val="1"/>
          <w:bCs w:val="1"/>
          <w:color w:val="auto"/>
        </w:rPr>
        <w:t xml:space="preserve"> </w:t>
      </w:r>
      <w:r>
        <w:rPr>
          <w:rFonts w:ascii="Arial" w:cs="Arial" w:eastAsia="Arial" w:hAnsi="Arial"/>
          <w:sz w:val="17"/>
          <w:szCs w:val="17"/>
          <w:color w:val="auto"/>
        </w:rPr>
        <w:t>would impact the Company's effective tax rate. As of December 31, 2021, we did not have any gross unrecognized tax benefits.</w:t>
      </w:r>
    </w:p>
    <w:p>
      <w:pPr>
        <w:spacing w:after="0" w:line="35"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 xml:space="preserve">The aggregate change in the balance of gross unrecognized tax benefits, which excludes interest and penalties for the year ended December 31, 2022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1700" w:type="dxa"/>
        <w:tblCellMar>
          <w:top w:w="0" w:type="dxa"/>
          <w:left w:w="0" w:type="dxa"/>
          <w:bottom w:w="0" w:type="dxa"/>
          <w:right w:w="0" w:type="dxa"/>
        </w:tblCellMar>
      </w:tblPr>
      <w:tr>
        <w:trPr>
          <w:trHeight w:val="140"/>
        </w:trPr>
        <w:tc>
          <w:tcPr>
            <w:tcW w:w="5860" w:type="dxa"/>
            <w:vAlign w:val="bottom"/>
          </w:tcPr>
          <w:p>
            <w:pPr>
              <w:spacing w:after="0"/>
              <w:rPr>
                <w:sz w:val="12"/>
                <w:szCs w:val="12"/>
                <w:color w:val="auto"/>
              </w:rPr>
            </w:pPr>
          </w:p>
        </w:tc>
        <w:tc>
          <w:tcPr>
            <w:tcW w:w="1920" w:type="dxa"/>
            <w:vAlign w:val="bottom"/>
            <w:gridSpan w:val="2"/>
          </w:tcPr>
          <w:p>
            <w:pPr>
              <w:ind w:left="20"/>
              <w:spacing w:after="0" w:line="140" w:lineRule="exact"/>
              <w:rPr>
                <w:sz w:val="20"/>
                <w:szCs w:val="20"/>
                <w:color w:val="auto"/>
              </w:rPr>
            </w:pPr>
            <w:r>
              <w:rPr>
                <w:rFonts w:ascii="Arial" w:cs="Arial" w:eastAsia="Arial" w:hAnsi="Arial"/>
                <w:sz w:val="14"/>
                <w:szCs w:val="14"/>
                <w:b w:val="1"/>
                <w:bCs w:val="1"/>
                <w:color w:val="auto"/>
                <w:w w:val="94"/>
              </w:rPr>
              <w:t>For the Year Ended December</w:t>
            </w:r>
          </w:p>
        </w:tc>
        <w:tc>
          <w:tcPr>
            <w:tcW w:w="80" w:type="dxa"/>
            <w:vAlign w:val="bottom"/>
          </w:tcPr>
          <w:p>
            <w:pPr>
              <w:spacing w:after="0"/>
              <w:rPr>
                <w:sz w:val="12"/>
                <w:szCs w:val="12"/>
                <w:color w:val="auto"/>
              </w:rPr>
            </w:pPr>
          </w:p>
        </w:tc>
      </w:tr>
      <w:tr>
        <w:trPr>
          <w:trHeight w:val="185"/>
        </w:trPr>
        <w:tc>
          <w:tcPr>
            <w:tcW w:w="58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balances</w:t>
            </w:r>
          </w:p>
        </w:tc>
        <w:tc>
          <w:tcPr>
            <w:tcW w:w="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Increases related to tax positions taken during a prior year</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20"/>
                <w:szCs w:val="20"/>
                <w:color w:val="auto"/>
              </w:rPr>
            </w:pPr>
          </w:p>
        </w:tc>
      </w:tr>
      <w:tr>
        <w:trPr>
          <w:trHeight w:val="249"/>
        </w:trPr>
        <w:tc>
          <w:tcPr>
            <w:tcW w:w="5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Decreases related to tax positions taken during a prior year</w:t>
            </w:r>
          </w:p>
        </w:tc>
        <w:tc>
          <w:tcPr>
            <w:tcW w:w="4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Increases related to tax positions taken during the current year</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0"/>
                <w:szCs w:val="20"/>
                <w:color w:val="auto"/>
              </w:rPr>
            </w:pPr>
          </w:p>
        </w:tc>
      </w:tr>
      <w:tr>
        <w:trPr>
          <w:trHeight w:val="249"/>
        </w:trPr>
        <w:tc>
          <w:tcPr>
            <w:tcW w:w="5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Decreases related to settlements with taxing authorities</w:t>
            </w:r>
          </w:p>
        </w:tc>
        <w:tc>
          <w:tcPr>
            <w:tcW w:w="4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Decreases related to expiration of the statute of limitations</w:t>
            </w: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76"/>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balances</w:t>
            </w:r>
          </w:p>
        </w:tc>
        <w:tc>
          <w:tcPr>
            <w:tcW w:w="4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4" w:lineRule="exact"/>
        <w:rPr>
          <w:sz w:val="20"/>
          <w:szCs w:val="20"/>
          <w:color w:val="auto"/>
        </w:rPr>
      </w:pPr>
    </w:p>
    <w:p>
      <w:pPr>
        <w:ind w:right="140" w:firstLine="509"/>
        <w:spacing w:after="0" w:line="341" w:lineRule="auto"/>
        <w:rPr>
          <w:sz w:val="20"/>
          <w:szCs w:val="20"/>
          <w:color w:val="auto"/>
        </w:rPr>
      </w:pPr>
      <w:r>
        <w:rPr>
          <w:rFonts w:ascii="Arial" w:cs="Arial" w:eastAsia="Arial" w:hAnsi="Arial"/>
          <w:sz w:val="16"/>
          <w:szCs w:val="16"/>
          <w:color w:val="auto"/>
        </w:rPr>
        <w:t>We are subject to taxation and file income tax returns in the United States federal jurisdiction and many states and Canada. With few exceptions, as of December 31, 2022, we are no longer subject to U.S. federal, state, local or foreign examinations by tax authorities for years before 2019.</w:t>
      </w:r>
    </w:p>
    <w:p>
      <w:pPr>
        <w:spacing w:after="0" w:line="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We record penalties and interest relating to uncertain tax positions in the income tax provision line item in the consolidated statement of operations. No penalties or interest related to uncertain tax positions were recorded for the years ended December 31, 2022, 2021 or 2020. As of December 31, 2022 and 2021, we did not have a liability recorded for interest or potential penalties.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expect a change in the unrecognized tax benefits within the next 12 months.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is a summary of our lease expense included in the consolidated statement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166"/>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7"/>
          </w:tcPr>
          <w:p>
            <w:pPr>
              <w:jc w:val="right"/>
              <w:ind w:right="414"/>
              <w:spacing w:after="0"/>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Pr>
          <w:p>
            <w:pPr>
              <w:spacing w:after="0"/>
              <w:rPr>
                <w:sz w:val="14"/>
                <w:szCs w:val="14"/>
                <w:color w:val="auto"/>
              </w:rPr>
            </w:pPr>
          </w:p>
        </w:tc>
      </w:tr>
      <w:tr>
        <w:trPr>
          <w:trHeight w:val="185"/>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3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14,964</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13,203</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11,688</w:t>
            </w:r>
          </w:p>
        </w:tc>
        <w:tc>
          <w:tcPr>
            <w:tcW w:w="80" w:type="dxa"/>
            <w:vAlign w:val="bottom"/>
            <w:shd w:val="clear" w:color="auto" w:fill="CFF0FC"/>
          </w:tcPr>
          <w:p>
            <w:pPr>
              <w:spacing w:after="0"/>
              <w:rPr>
                <w:sz w:val="20"/>
                <w:szCs w:val="20"/>
                <w:color w:val="auto"/>
              </w:rPr>
            </w:pPr>
          </w:p>
        </w:tc>
      </w:tr>
      <w:tr>
        <w:trPr>
          <w:trHeight w:val="236"/>
        </w:trPr>
        <w:tc>
          <w:tcPr>
            <w:tcW w:w="4640" w:type="dxa"/>
            <w:vAlign w:val="bottom"/>
          </w:tcPr>
          <w:p>
            <w:pPr>
              <w:spacing w:after="0"/>
              <w:rPr>
                <w:sz w:val="20"/>
                <w:szCs w:val="20"/>
                <w:color w:val="auto"/>
              </w:rPr>
            </w:pPr>
            <w:r>
              <w:rPr>
                <w:rFonts w:ascii="Arial" w:cs="Arial" w:eastAsia="Arial" w:hAnsi="Arial"/>
                <w:sz w:val="18"/>
                <w:szCs w:val="18"/>
                <w:color w:val="auto"/>
              </w:rPr>
              <w:t>Finance lease cost: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4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Amortization of leased assets</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FF0FC"/>
          </w:tcPr>
          <w:p>
            <w:pPr>
              <w:spacing w:after="0"/>
              <w:rPr>
                <w:sz w:val="21"/>
                <w:szCs w:val="21"/>
                <w:color w:val="auto"/>
              </w:rPr>
            </w:pPr>
          </w:p>
        </w:tc>
      </w:tr>
      <w:tr>
        <w:trPr>
          <w:trHeight w:val="236"/>
        </w:trPr>
        <w:tc>
          <w:tcPr>
            <w:tcW w:w="464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0"/>
                <w:szCs w:val="20"/>
                <w:color w:val="auto"/>
              </w:rPr>
            </w:pPr>
          </w:p>
        </w:tc>
      </w:tr>
      <w:tr>
        <w:trPr>
          <w:trHeight w:val="276"/>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15,160</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13,288</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-24765</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-7620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Other information regarding our leases is as follows </w:t>
      </w:r>
      <w:r>
        <w:rPr>
          <w:rFonts w:ascii="Arial" w:cs="Arial" w:eastAsia="Arial" w:hAnsi="Arial"/>
          <w:sz w:val="18"/>
          <w:szCs w:val="18"/>
          <w:i w:val="1"/>
          <w:iCs w:val="1"/>
          <w:color w:val="auto"/>
        </w:rPr>
        <w:t>(in thousands, except lease terms and discount rates)</w:t>
      </w:r>
      <w:r>
        <w:rPr>
          <w:rFonts w:ascii="Arial" w:cs="Arial" w:eastAsia="Arial" w:hAnsi="Arial"/>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5"/>
        </w:trPr>
        <w:tc>
          <w:tcPr>
            <w:tcW w:w="1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6"/>
        </w:trPr>
        <w:tc>
          <w:tcPr>
            <w:tcW w:w="1480" w:type="dxa"/>
            <w:vAlign w:val="bottom"/>
          </w:tcPr>
          <w:p>
            <w:pPr>
              <w:spacing w:after="0"/>
              <w:rPr>
                <w:sz w:val="20"/>
                <w:szCs w:val="20"/>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60" w:type="dxa"/>
            <w:vAlign w:val="bottom"/>
          </w:tcPr>
          <w:p>
            <w:pPr>
              <w:spacing w:after="0"/>
              <w:rPr>
                <w:sz w:val="20"/>
                <w:szCs w:val="20"/>
                <w:color w:val="auto"/>
              </w:rPr>
            </w:pPr>
          </w:p>
        </w:tc>
      </w:tr>
      <w:tr>
        <w:trPr>
          <w:trHeight w:val="215"/>
        </w:trPr>
        <w:tc>
          <w:tcPr>
            <w:tcW w:w="14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5"/>
              </w:rPr>
              <w:t>Cash paid for amounts included in measurement of lease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7"/>
        </w:trPr>
        <w:tc>
          <w:tcPr>
            <w:tcW w:w="14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4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cash flows used in operating leases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13,930</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12,733</w:t>
            </w:r>
          </w:p>
        </w:tc>
        <w:tc>
          <w:tcPr>
            <w:tcW w:w="80" w:type="dxa"/>
            <w:vAlign w:val="bottom"/>
            <w:shd w:val="clear" w:color="auto" w:fill="CFF0FC"/>
          </w:tcPr>
          <w:p>
            <w:pPr>
              <w:spacing w:after="0"/>
              <w:rPr>
                <w:sz w:val="21"/>
                <w:szCs w:val="21"/>
                <w:color w:val="auto"/>
              </w:rPr>
            </w:pPr>
          </w:p>
        </w:tc>
        <w:tc>
          <w:tcPr>
            <w:tcW w:w="1460" w:type="dxa"/>
            <w:vAlign w:val="bottom"/>
          </w:tcPr>
          <w:p>
            <w:pPr>
              <w:spacing w:after="0"/>
              <w:rPr>
                <w:sz w:val="21"/>
                <w:szCs w:val="21"/>
                <w:color w:val="auto"/>
              </w:rPr>
            </w:pPr>
          </w:p>
        </w:tc>
      </w:tr>
      <w:tr>
        <w:trPr>
          <w:trHeight w:val="236"/>
        </w:trPr>
        <w:tc>
          <w:tcPr>
            <w:tcW w:w="148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Operating cash flows used in finance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4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Financing cash flows used in finance leases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FF0FC"/>
          </w:tcPr>
          <w:p>
            <w:pPr>
              <w:spacing w:after="0"/>
              <w:rPr>
                <w:sz w:val="21"/>
                <w:szCs w:val="21"/>
                <w:color w:val="auto"/>
              </w:rPr>
            </w:pPr>
          </w:p>
        </w:tc>
        <w:tc>
          <w:tcPr>
            <w:tcW w:w="1460" w:type="dxa"/>
            <w:vAlign w:val="bottom"/>
          </w:tcPr>
          <w:p>
            <w:pPr>
              <w:spacing w:after="0"/>
              <w:rPr>
                <w:sz w:val="21"/>
                <w:szCs w:val="21"/>
                <w:color w:val="auto"/>
              </w:rPr>
            </w:pPr>
          </w:p>
        </w:tc>
      </w:tr>
      <w:tr>
        <w:trPr>
          <w:trHeight w:val="236"/>
        </w:trPr>
        <w:tc>
          <w:tcPr>
            <w:tcW w:w="14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Non-cash items: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4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leases obtained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13,547</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43,148</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5,342</w:t>
            </w:r>
          </w:p>
        </w:tc>
        <w:tc>
          <w:tcPr>
            <w:tcW w:w="80" w:type="dxa"/>
            <w:vAlign w:val="bottom"/>
            <w:shd w:val="clear" w:color="auto" w:fill="CFF0FC"/>
          </w:tcPr>
          <w:p>
            <w:pPr>
              <w:spacing w:after="0"/>
              <w:rPr>
                <w:sz w:val="21"/>
                <w:szCs w:val="21"/>
                <w:color w:val="auto"/>
              </w:rPr>
            </w:pPr>
          </w:p>
        </w:tc>
        <w:tc>
          <w:tcPr>
            <w:tcW w:w="1460" w:type="dxa"/>
            <w:vAlign w:val="bottom"/>
          </w:tcPr>
          <w:p>
            <w:pPr>
              <w:spacing w:after="0"/>
              <w:rPr>
                <w:sz w:val="21"/>
                <w:szCs w:val="21"/>
                <w:color w:val="auto"/>
              </w:rPr>
            </w:pPr>
          </w:p>
        </w:tc>
      </w:tr>
      <w:tr>
        <w:trPr>
          <w:trHeight w:val="236"/>
        </w:trPr>
        <w:tc>
          <w:tcPr>
            <w:tcW w:w="148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Finance leases obtained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4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 years</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 years</w:t>
            </w:r>
          </w:p>
        </w:tc>
        <w:tc>
          <w:tcPr>
            <w:tcW w:w="320" w:type="dxa"/>
            <w:vAlign w:val="bottom"/>
          </w:tcPr>
          <w:p>
            <w:pPr>
              <w:spacing w:after="0"/>
              <w:rPr>
                <w:sz w:val="20"/>
                <w:szCs w:val="20"/>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7 years</w:t>
            </w:r>
          </w:p>
        </w:tc>
        <w:tc>
          <w:tcPr>
            <w:tcW w:w="1460" w:type="dxa"/>
            <w:vAlign w:val="bottom"/>
          </w:tcPr>
          <w:p>
            <w:pPr>
              <w:spacing w:after="0"/>
              <w:rPr>
                <w:sz w:val="20"/>
                <w:szCs w:val="20"/>
                <w:color w:val="auto"/>
              </w:rPr>
            </w:pPr>
          </w:p>
        </w:tc>
      </w:tr>
      <w:tr>
        <w:trPr>
          <w:trHeight w:val="255"/>
        </w:trPr>
        <w:tc>
          <w:tcPr>
            <w:tcW w:w="1480" w:type="dxa"/>
            <w:vAlign w:val="bottom"/>
          </w:tcPr>
          <w:p>
            <w:pPr>
              <w:spacing w:after="0"/>
              <w:rPr>
                <w:sz w:val="22"/>
                <w:szCs w:val="22"/>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 year</w:t>
            </w:r>
          </w:p>
        </w:tc>
        <w:tc>
          <w:tcPr>
            <w:tcW w:w="2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 years</w:t>
            </w:r>
          </w:p>
        </w:tc>
        <w:tc>
          <w:tcPr>
            <w:tcW w:w="3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 years</w:t>
            </w:r>
          </w:p>
        </w:tc>
        <w:tc>
          <w:tcPr>
            <w:tcW w:w="1460" w:type="dxa"/>
            <w:vAlign w:val="bottom"/>
          </w:tcPr>
          <w:p>
            <w:pPr>
              <w:spacing w:after="0"/>
              <w:rPr>
                <w:sz w:val="22"/>
                <w:szCs w:val="22"/>
                <w:color w:val="auto"/>
              </w:rPr>
            </w:pPr>
          </w:p>
        </w:tc>
      </w:tr>
      <w:tr>
        <w:trPr>
          <w:trHeight w:val="234"/>
        </w:trPr>
        <w:tc>
          <w:tcPr>
            <w:tcW w:w="14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14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7.0 %</w:t>
            </w:r>
          </w:p>
        </w:tc>
        <w:tc>
          <w:tcPr>
            <w:tcW w:w="320" w:type="dxa"/>
            <w:vAlign w:val="bottom"/>
          </w:tcPr>
          <w:p>
            <w:pPr>
              <w:spacing w:after="0"/>
              <w:rPr>
                <w:sz w:val="20"/>
                <w:szCs w:val="20"/>
                <w:color w:val="auto"/>
              </w:rPr>
            </w:pPr>
          </w:p>
        </w:tc>
        <w:tc>
          <w:tcPr>
            <w:tcW w:w="2320" w:type="dxa"/>
            <w:vAlign w:val="bottom"/>
            <w:gridSpan w:val="3"/>
          </w:tcPr>
          <w:p>
            <w:pPr>
              <w:jc w:val="right"/>
              <w:ind w:right="1380"/>
              <w:spacing w:after="0"/>
              <w:rPr>
                <w:sz w:val="20"/>
                <w:szCs w:val="20"/>
                <w:color w:val="auto"/>
              </w:rPr>
            </w:pPr>
            <w:r>
              <w:rPr>
                <w:rFonts w:ascii="Arial" w:cs="Arial" w:eastAsia="Arial" w:hAnsi="Arial"/>
                <w:sz w:val="18"/>
                <w:szCs w:val="18"/>
                <w:color w:val="auto"/>
              </w:rPr>
              <w:t>11.2 %</w:t>
            </w:r>
          </w:p>
        </w:tc>
      </w:tr>
      <w:tr>
        <w:trPr>
          <w:trHeight w:val="243"/>
        </w:trPr>
        <w:tc>
          <w:tcPr>
            <w:tcW w:w="148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17.0 %</w:t>
            </w:r>
          </w:p>
        </w:tc>
        <w:tc>
          <w:tcPr>
            <w:tcW w:w="2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18.6 %</w:t>
            </w:r>
          </w:p>
        </w:tc>
        <w:tc>
          <w:tcPr>
            <w:tcW w:w="320" w:type="dxa"/>
            <w:vAlign w:val="bottom"/>
          </w:tcPr>
          <w:p>
            <w:pPr>
              <w:spacing w:after="0"/>
              <w:rPr>
                <w:sz w:val="21"/>
                <w:szCs w:val="21"/>
                <w:color w:val="auto"/>
              </w:rPr>
            </w:pPr>
          </w:p>
        </w:tc>
        <w:tc>
          <w:tcPr>
            <w:tcW w:w="2320" w:type="dxa"/>
            <w:vAlign w:val="bottom"/>
            <w:gridSpan w:val="3"/>
          </w:tcPr>
          <w:p>
            <w:pPr>
              <w:jc w:val="right"/>
              <w:ind w:right="1380"/>
              <w:spacing w:after="0"/>
              <w:rPr>
                <w:sz w:val="20"/>
                <w:szCs w:val="20"/>
                <w:color w:val="auto"/>
              </w:rPr>
            </w:pPr>
            <w:r>
              <w:rPr>
                <w:rFonts w:ascii="Arial" w:cs="Arial" w:eastAsia="Arial" w:hAnsi="Arial"/>
                <w:sz w:val="18"/>
                <w:szCs w:val="18"/>
                <w:color w:val="auto"/>
              </w:rPr>
              <w:t>10.5 %</w:t>
            </w:r>
          </w:p>
        </w:tc>
      </w:tr>
      <w:tr>
        <w:trPr>
          <w:trHeight w:val="661"/>
        </w:trPr>
        <w:tc>
          <w:tcPr>
            <w:tcW w:w="1480" w:type="dxa"/>
            <w:vAlign w:val="bottom"/>
          </w:tcPr>
          <w:p>
            <w:pPr>
              <w:spacing w:after="0"/>
              <w:rPr>
                <w:sz w:val="24"/>
                <w:szCs w:val="24"/>
                <w:color w:val="auto"/>
              </w:rPr>
            </w:pPr>
          </w:p>
        </w:tc>
        <w:tc>
          <w:tcPr>
            <w:tcW w:w="4360" w:type="dxa"/>
            <w:vAlign w:val="bottom"/>
          </w:tcPr>
          <w:p>
            <w:pPr>
              <w:ind w:left="406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1"/>
        </w:trPr>
        <w:tc>
          <w:tcPr>
            <w:tcW w:w="1480" w:type="dxa"/>
            <w:vAlign w:val="bottom"/>
            <w:tcBorders>
              <w:bottom w:val="single" w:sz="8" w:color="9A9A9A"/>
            </w:tcBorders>
          </w:tcPr>
          <w:p>
            <w:pPr>
              <w:spacing w:after="0"/>
              <w:rPr>
                <w:sz w:val="8"/>
                <w:szCs w:val="8"/>
                <w:color w:val="auto"/>
              </w:rPr>
            </w:pPr>
          </w:p>
        </w:tc>
        <w:tc>
          <w:tcPr>
            <w:tcW w:w="43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-795655</wp:posOffset>
            </wp:positionV>
            <wp:extent cx="527431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7431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4" w:name="page85"/>
    <w:bookmarkEnd w:id="84"/>
    <w:p>
      <w:pPr>
        <w:ind w:left="520"/>
        <w:spacing w:after="0"/>
        <w:rPr>
          <w:sz w:val="20"/>
          <w:szCs w:val="20"/>
          <w:color w:val="auto"/>
        </w:rPr>
      </w:pPr>
      <w:r>
        <w:rPr>
          <w:rFonts w:ascii="Arial" w:cs="Arial" w:eastAsia="Arial" w:hAnsi="Arial"/>
          <w:sz w:val="18"/>
          <w:szCs w:val="18"/>
          <w:color w:val="auto"/>
        </w:rPr>
        <w:t xml:space="preserve">Annual future minimum lease payments as of December 31, 2022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Financing</w:t>
            </w:r>
          </w:p>
        </w:tc>
      </w:tr>
      <w:tr>
        <w:trPr>
          <w:trHeight w:val="185"/>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8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Leases</w:t>
            </w:r>
          </w:p>
        </w:tc>
        <w:tc>
          <w:tcPr>
            <w:tcW w:w="18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Leases</w:t>
            </w:r>
          </w:p>
        </w:tc>
      </w:tr>
      <w:tr>
        <w:trPr>
          <w:trHeight w:val="236"/>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14,499</w:t>
            </w:r>
          </w:p>
        </w:tc>
        <w:tc>
          <w:tcPr>
            <w:tcW w:w="1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FF0FC"/>
          </w:tcPr>
          <w:p>
            <w:pPr>
              <w:spacing w:after="0"/>
              <w:rPr>
                <w:sz w:val="20"/>
                <w:szCs w:val="20"/>
                <w:color w:val="auto"/>
              </w:rPr>
            </w:pP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15,087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r>
      <w:tr>
        <w:trPr>
          <w:trHeight w:val="24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14,227</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14,048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13,191</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42,630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113,682</w:t>
            </w:r>
          </w:p>
        </w:tc>
        <w:tc>
          <w:tcPr>
            <w:tcW w:w="1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21"/>
                <w:szCs w:val="21"/>
                <w:color w:val="auto"/>
              </w:rPr>
            </w:pP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(25,347 )</w:t>
            </w: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6"/>
        </w:trPr>
        <w:tc>
          <w:tcPr>
            <w:tcW w:w="4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Present value of net minimum lease payments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88,335</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Reported as of December 31, 2022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21"/>
                <w:szCs w:val="21"/>
                <w:color w:val="auto"/>
              </w:rPr>
            </w:pP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79,241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1"/>
                <w:szCs w:val="21"/>
                <w:color w:val="auto"/>
              </w:rPr>
            </w:pPr>
          </w:p>
        </w:tc>
      </w:tr>
      <w:tr>
        <w:trPr>
          <w:trHeight w:val="236"/>
        </w:trPr>
        <w:tc>
          <w:tcPr>
            <w:tcW w:w="43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88,335</w:t>
            </w:r>
          </w:p>
        </w:tc>
        <w:tc>
          <w:tcPr>
            <w:tcW w:w="1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top w:val="single" w:sz="8" w:color="CFF0FC"/>
            </w:tcBorders>
          </w:tcPr>
          <w:p>
            <w:pPr>
              <w:spacing w:after="0"/>
              <w:rPr>
                <w:sz w:val="20"/>
                <w:szCs w:val="20"/>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-829945</wp:posOffset>
            </wp:positionV>
            <wp:extent cx="425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-829945</wp:posOffset>
            </wp:positionV>
            <wp:extent cx="42545" cy="179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2545" cy="17970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42545" cy="1885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-187960</wp:posOffset>
            </wp:positionV>
            <wp:extent cx="42545" cy="1885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there were no significant leases which had not yet commenced.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17" w:lineRule="exact"/>
        <w:rPr>
          <w:sz w:val="20"/>
          <w:szCs w:val="20"/>
          <w:color w:val="auto"/>
        </w:rPr>
      </w:pPr>
    </w:p>
    <w:p>
      <w:pPr>
        <w:ind w:right="280" w:firstLine="509"/>
        <w:spacing w:after="0" w:line="265" w:lineRule="auto"/>
        <w:rPr>
          <w:sz w:val="20"/>
          <w:szCs w:val="20"/>
          <w:color w:val="auto"/>
        </w:rPr>
      </w:pPr>
      <w:r>
        <w:rPr>
          <w:rFonts w:ascii="Arial" w:cs="Arial" w:eastAsia="Arial" w:hAnsi="Arial"/>
          <w:sz w:val="18"/>
          <w:szCs w:val="18"/>
          <w:b w:val="1"/>
          <w:bCs w:val="1"/>
          <w:color w:val="auto"/>
        </w:rPr>
        <w:t xml:space="preserve">Contractual Commitments </w:t>
      </w:r>
      <w:r>
        <w:rPr>
          <w:rFonts w:ascii="Arial" w:cs="Arial" w:eastAsia="Arial" w:hAnsi="Arial"/>
          <w:sz w:val="18"/>
          <w:szCs w:val="18"/>
          <w:color w:val="auto"/>
        </w:rPr>
        <w:t>– We have agreements with various vendors under which we have remaining commitments to purchase hardware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and development services. Such commitments will become payable as we receive the hardware components or as development services are provided.</w:t>
      </w:r>
    </w:p>
    <w:p>
      <w:pPr>
        <w:spacing w:after="0" w:line="73"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In June 2022, we and Hughes entered into a supply and product support agreement (the “SPSA”), providing for our purchase from Hughes of airborne antennas for use on a LEO satellite network, and the performance by Hughes of services related thereto. Under the SPSA, we commit to purchase, over a seven-year period that will begin on completion of a project milestone currently expected to occur at the end of 2024, antennas with an estimated aggregate purchase price of approximately $170 million. During that seven-year period, Hughes may not sell substantially similar equipment to other purchasers in our primary target market.</w:t>
      </w:r>
    </w:p>
    <w:p>
      <w:pPr>
        <w:spacing w:after="0" w:line="79" w:lineRule="exact"/>
        <w:rPr>
          <w:sz w:val="20"/>
          <w:szCs w:val="20"/>
          <w:color w:val="auto"/>
        </w:rPr>
      </w:pPr>
    </w:p>
    <w:p>
      <w:pPr>
        <w:ind w:right="120" w:firstLine="509"/>
        <w:spacing w:after="0" w:line="260" w:lineRule="auto"/>
        <w:rPr>
          <w:sz w:val="20"/>
          <w:szCs w:val="20"/>
          <w:color w:val="auto"/>
        </w:rPr>
      </w:pPr>
      <w:r>
        <w:rPr>
          <w:rFonts w:ascii="Arial" w:cs="Arial" w:eastAsia="Arial" w:hAnsi="Arial"/>
          <w:sz w:val="18"/>
          <w:szCs w:val="18"/>
          <w:b w:val="1"/>
          <w:bCs w:val="1"/>
          <w:color w:val="auto"/>
        </w:rPr>
        <w:t xml:space="preserve">Indemnifications and Guarantees </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78"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75" w:lineRule="exact"/>
        <w:rPr>
          <w:sz w:val="20"/>
          <w:szCs w:val="20"/>
          <w:color w:val="auto"/>
        </w:rPr>
      </w:pPr>
    </w:p>
    <w:p>
      <w:pPr>
        <w:ind w:right="400" w:firstLine="509"/>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73"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b w:val="1"/>
          <w:bCs w:val="1"/>
          <w:color w:val="auto"/>
        </w:rPr>
        <w:t xml:space="preserve">Securities Litigation </w:t>
      </w:r>
      <w:r>
        <w:rPr>
          <w:rFonts w:ascii="Arial" w:cs="Arial" w:eastAsia="Arial" w:hAnsi="Arial"/>
          <w:sz w:val="16"/>
          <w:szCs w:val="16"/>
          <w:color w:val="auto"/>
        </w:rPr>
        <w:t>– On June 27, 2018, a purported stockholder of the Company filed a putative class action lawsuit in the United States District</w:t>
      </w:r>
      <w:r>
        <w:rPr>
          <w:rFonts w:ascii="Arial" w:cs="Arial" w:eastAsia="Arial" w:hAnsi="Arial"/>
          <w:sz w:val="16"/>
          <w:szCs w:val="16"/>
          <w:b w:val="1"/>
          <w:bCs w:val="1"/>
          <w:color w:val="auto"/>
        </w:rPr>
        <w:t xml:space="preserve"> </w:t>
      </w:r>
      <w:r>
        <w:rPr>
          <w:rFonts w:ascii="Arial" w:cs="Arial" w:eastAsia="Arial" w:hAnsi="Arial"/>
          <w:sz w:val="16"/>
          <w:szCs w:val="16"/>
          <w:color w:val="auto"/>
        </w:rPr>
        <w:t>Court for the Northern District of Illinois, Eastern Division (the “Court”) styled Pierrelouis v. Gogo Inc., naming the Company, its former Chief Executive Officer and Chief Financial Officer, its current Chief Financial Officer and its then-current President, Commercial Aviation, as defendants purportedly on behalf of all purchasers of our securities from February 27, 2017 through May 4, 2018. The complaint asserted claims under Sections 10(b) and 20(a) of the Securities Exchange Act of 1934, as amended, and Rule 10b-5 promulgated thereunder, alleging misrepresentations or omissions by us purporting to relate to the reliability of and installation and remediation costs associated with CA’s 2Ku antenna. The plaintiffs sought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the plaintiffs failed to plausibly allege that the defendants made materially false or misleading statements and that the plaintiffs failed to plead with particularity that the defendants acted with scienter. The amended complaint was dismissed without prejudice, and in December 2019, the defendants filed a second amended complaint. In July 2020, the plaintiffs filed a motion requesting leave to file a proposed third amended complaint, which was granted by the Court. The plaintiffs proceeded to file the third amended complaint in July 2020 and we filed a motion to dismiss in September 2020. In April 2021, the Court denied our motion to dismiss, and the defendants filed their answer and affirmative defenses to the third amended complaint in June 2021.</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5" w:name="page86"/>
    <w:bookmarkEnd w:id="85"/>
    <w:p>
      <w:pPr>
        <w:ind w:right="80" w:firstLine="509"/>
        <w:spacing w:after="0" w:line="288" w:lineRule="auto"/>
        <w:rPr>
          <w:sz w:val="20"/>
          <w:szCs w:val="20"/>
          <w:color w:val="auto"/>
        </w:rPr>
      </w:pPr>
      <w:r>
        <w:rPr>
          <w:rFonts w:ascii="Arial" w:cs="Arial" w:eastAsia="Arial" w:hAnsi="Arial"/>
          <w:sz w:val="16"/>
          <w:szCs w:val="16"/>
          <w:color w:val="auto"/>
        </w:rPr>
        <w:t>The parties engaged in mediation and reached a tentative resolution that included a cash payment of $17.3 million (funded by our Directors’ and Officers’ (“D&amp;O”) insurance policy) in exchange for a dismissal with prejudice of the class claims and full releases. As a result of this development, the Company accrued a $17.3 million liability within Accrued liabilities and a corresponding insurance receivable in Prepaid expenses and other current assets in the consolidated balance sheets as of December 31, 2021. On April 12, 2022, the parties entered into a Stipulation and Agreement of Settlement memorializing these terms (the “Class Action Settlement”). On May 3, 2022, the Court signed an order (i) preliminarily approving the Class Action Settlement; (ii) certifying the settlement class; (iii) approving the notice to be sent to members of the settlement class; and (iv) scheduling a final hearing for August 30, 2022, and the insurance carriers subsequently deposited the settlement amount into escrow. On August 31, 2022, the Court issued a final judgment approving the Class Action Settlement and dismissing all claims against the defendants with prejudice. The Company released the $17.3 million liability and corresponding insurance receivable after the Court approved the Class Action Settlement.</w:t>
      </w:r>
    </w:p>
    <w:p>
      <w:pPr>
        <w:spacing w:after="0" w:line="59"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b w:val="1"/>
          <w:bCs w:val="1"/>
          <w:color w:val="auto"/>
        </w:rPr>
        <w:t xml:space="preserve">Derivative Litigation </w:t>
      </w:r>
      <w:r>
        <w:rPr>
          <w:rFonts w:ascii="Arial" w:cs="Arial" w:eastAsia="Arial" w:hAnsi="Arial"/>
          <w:sz w:val="16"/>
          <w:szCs w:val="16"/>
          <w:color w:val="auto"/>
        </w:rPr>
        <w:t>– On September 25, 2018 and September 26, 2018, two purported stockholders of the Company filed substantively identical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derivative lawsuits in the Court, styled Nanduri v. Gogo Inc. and Hutsenpiller v. Gogo Inc., respectively. Both lawsuits were purportedly brought derivatively on behalf of us and name us as a nominal defendant and name as defendants each then-current member of the Company’s Board of Directors, its former Chief Executive Officer and Chief Financial Officer, its then-current President, Commercial Aviation, and its current Chief Executive Officer and Chief Financial Officer.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plaintiffs seek to recover, on our behalf, an unspecified amount of damages from the individual defendants. The two lawsuits were consolidated and were stayed pending a final disposition of the motion to dismiss in the class action suit and remain stayed. In addition, a purported stockholder has sent a letter to the Company’s Board of Directors, dated June 21, 2021, demanding based on substantially the same allegations, that the Company sue certain current and former Officers for, </w:t>
      </w:r>
      <w:r>
        <w:rPr>
          <w:rFonts w:ascii="Arial" w:cs="Arial" w:eastAsia="Arial" w:hAnsi="Arial"/>
          <w:sz w:val="16"/>
          <w:szCs w:val="16"/>
          <w:i w:val="1"/>
          <w:iCs w:val="1"/>
          <w:color w:val="auto"/>
        </w:rPr>
        <w:t>inter alia</w:t>
      </w:r>
      <w:r>
        <w:rPr>
          <w:rFonts w:ascii="Arial" w:cs="Arial" w:eastAsia="Arial" w:hAnsi="Arial"/>
          <w:sz w:val="16"/>
          <w:szCs w:val="16"/>
          <w:color w:val="auto"/>
        </w:rPr>
        <w:t>, breach of fiduciary duty. The two derivative lawsuits and the litigation demand letter are collectively referred to herein as the “Derivative Matters” and the plaintiffs in the two derivative lawsuits and the purported stockholder who sent the litigation demand letter are collectively referred to herein as the “Stockholders.”</w:t>
      </w:r>
    </w:p>
    <w:p>
      <w:pPr>
        <w:spacing w:after="0" w:line="6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On January 5, 2023, following mediation, the defendants and the Stockholders entered into Stipulation and Agreement of Settlement (the “Derivative Settlement”) under which the Company, in consideration of dismissal of the two derivative lawsuits with prejudice and a release of all claims asserted against the Company and the individual defendants in the Derivative Matters, will implement certain corporate governance initiatives and cause its D&amp;O insurance carrier to pay the Stockholders’ attorneys’ fees. Under the terms of the Derivative Settlement, the defendants will not be required to pay any damages. We have accrued a liability for attorneys’ fees within Accrued liabilities and a corresponding receivable in Prepaid expenses and other current assets in the consolidated balance sheets.</w:t>
      </w:r>
    </w:p>
    <w:p>
      <w:pPr>
        <w:spacing w:after="0" w:line="83"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On February 1, 2023, the Court granted preliminary approval of the proposed Derivative Settlement, approved various notices to be disseminated to the Company’s stockholders and the schedule for dissemination, and scheduled a final hearing for April 11, 2023. The Derivative Settlement is conditioned on final Court approval. We believe that the claims are without merit and will continue to defend them vigorously should the Derivative Settlement for any reason not become final.</w:t>
      </w:r>
    </w:p>
    <w:p>
      <w:pPr>
        <w:spacing w:after="0" w:line="73"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b w:val="1"/>
          <w:bCs w:val="1"/>
          <w:color w:val="auto"/>
        </w:rPr>
        <w:t xml:space="preserve">SmartSky Litigation </w:t>
      </w:r>
      <w:r>
        <w:rPr>
          <w:rFonts w:ascii="Arial" w:cs="Arial" w:eastAsia="Arial" w:hAnsi="Arial"/>
          <w:sz w:val="16"/>
          <w:szCs w:val="16"/>
          <w:color w:val="auto"/>
        </w:rPr>
        <w:t>– On February 28, 2022, SmartSky Networks, LLC brought suit against Gogo Inc. and its subsidiary Gogo Business Aviation</w:t>
      </w:r>
      <w:r>
        <w:rPr>
          <w:rFonts w:ascii="Arial" w:cs="Arial" w:eastAsia="Arial" w:hAnsi="Arial"/>
          <w:sz w:val="16"/>
          <w:szCs w:val="16"/>
          <w:b w:val="1"/>
          <w:bCs w:val="1"/>
          <w:color w:val="auto"/>
        </w:rPr>
        <w:t xml:space="preserve"> </w:t>
      </w:r>
      <w:r>
        <w:rPr>
          <w:rFonts w:ascii="Arial" w:cs="Arial" w:eastAsia="Arial" w:hAnsi="Arial"/>
          <w:sz w:val="16"/>
          <w:szCs w:val="16"/>
          <w:color w:val="auto"/>
        </w:rPr>
        <w:t>LLC in the U.S. District Court for the District of Delaware alleging that Gogo 5G infringes four patents owned by the plaintiff. On February 21, 2023, the plaintiff amended its complaint to allege that Gogo 5G infringes two additional patents recently issued to the plaintiff. The suit seeks an unspecified amount of compensatory damages as well as treble damages for alleged willful infringement and reimbursement of plaintiff's costs, disbursements and attorneys' fees. Under a schedule agreed upon by the parties, fact discovery and claim construction proceedings will be substantially completed by the end of 2023 or early 2024, and expert discovery by early-to-mid 2024, with dispositive motions to follow. A trial date has been scheduled for April 14, 2025. Also on February 28, 2022, the plaintiff filed a motion (the “PI Motion”) requesting that the Court preliminarily enjoin the Company from making, using, offering to sell or selling the Gogo 5G system. On September 26, 2022, the Court issued an order denying the PI Motion. The plaintiff has appealed the denial to the U.S. Court of Appeals for the Federal Circuit. We expect that briefing for the appeal will be completed by early March of 2023, after which the appellate court will schedule oral argument. We believe that the plaintiff’s claims are without merit and intend to continue to vigorously defend our position in the infringement suit and defend against the appeal. The outcomes of the appeal and the underlying litigation are inherently uncertain. No amounts have been accrued for any potential losses under this matter, as we cannot reasonably predict the outcome of the litigation or any potential losses.</w:t>
      </w:r>
    </w:p>
    <w:p>
      <w:pPr>
        <w:spacing w:after="0" w:line="61"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18. Accumulated Other Comprehensive Income (Loss)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is a summary of changes in accumulated other comprehensive income (loss) by component </w:t>
      </w: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Change in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421"/>
              <w:spacing w:after="0"/>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5"/>
                <w:szCs w:val="15"/>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421"/>
              <w:spacing w:after="0"/>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Cash Flow</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0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421"/>
              <w:spacing w:after="0"/>
              <w:rPr>
                <w:sz w:val="20"/>
                <w:szCs w:val="20"/>
                <w:color w:val="auto"/>
              </w:rPr>
            </w:pPr>
            <w:r>
              <w:rPr>
                <w:rFonts w:ascii="Arial" w:cs="Arial" w:eastAsia="Arial" w:hAnsi="Arial"/>
                <w:sz w:val="14"/>
                <w:szCs w:val="14"/>
                <w:b w:val="1"/>
                <w:bCs w:val="1"/>
                <w:color w:val="auto"/>
                <w:w w:val="93"/>
              </w:rPr>
              <w:t>Adjustment</w:t>
            </w:r>
          </w:p>
        </w:tc>
        <w:tc>
          <w:tcPr>
            <w:tcW w:w="18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Hedge</w:t>
            </w:r>
          </w:p>
        </w:tc>
        <w:tc>
          <w:tcPr>
            <w:tcW w:w="300" w:type="dxa"/>
            <w:vAlign w:val="bottom"/>
          </w:tcPr>
          <w:p>
            <w:pPr>
              <w:spacing w:after="0"/>
              <w:rPr>
                <w:sz w:val="16"/>
                <w:szCs w:val="16"/>
                <w:color w:val="auto"/>
              </w:rPr>
            </w:pPr>
          </w:p>
        </w:tc>
        <w:tc>
          <w:tcPr>
            <w:tcW w:w="1120" w:type="dxa"/>
            <w:vAlign w:val="bottom"/>
            <w:gridSpan w:val="2"/>
          </w:tcPr>
          <w:p>
            <w:pPr>
              <w:jc w:val="right"/>
              <w:ind w:right="541"/>
              <w:spacing w:after="0"/>
              <w:rPr>
                <w:sz w:val="20"/>
                <w:szCs w:val="20"/>
                <w:color w:val="auto"/>
              </w:rPr>
            </w:pPr>
            <w:r>
              <w:rPr>
                <w:rFonts w:ascii="Arial" w:cs="Arial" w:eastAsia="Arial" w:hAnsi="Arial"/>
                <w:sz w:val="14"/>
                <w:szCs w:val="14"/>
                <w:b w:val="1"/>
                <w:bCs w:val="1"/>
                <w:color w:val="auto"/>
              </w:rPr>
              <w:t>Total</w:t>
            </w:r>
          </w:p>
        </w:tc>
      </w:tr>
      <w:tr>
        <w:trPr>
          <w:trHeight w:val="236"/>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15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000" w:type="dxa"/>
            <w:vAlign w:val="bottom"/>
          </w:tcPr>
          <w:p>
            <w:pPr>
              <w:ind w:left="200"/>
              <w:spacing w:after="0"/>
              <w:rPr>
                <w:sz w:val="20"/>
                <w:szCs w:val="20"/>
                <w:color w:val="auto"/>
              </w:rPr>
            </w:pPr>
            <w:r>
              <w:rPr>
                <w:rFonts w:ascii="Arial" w:cs="Arial" w:eastAsia="Arial" w:hAnsi="Arial"/>
                <w:sz w:val="18"/>
                <w:szCs w:val="18"/>
                <w:color w:val="auto"/>
              </w:rPr>
              <w:t>Other comprehensive income before reclassifications</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p>
        </w:tc>
      </w:tr>
      <w:tr>
        <w:trPr>
          <w:trHeight w:val="243"/>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Less: income (loss) realized and reclassified to earnings</w:t>
            </w:r>
          </w:p>
        </w:tc>
        <w:tc>
          <w:tcPr>
            <w:tcW w:w="15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00" w:type="dxa"/>
            <w:vAlign w:val="bottom"/>
          </w:tcPr>
          <w:p>
            <w:pPr>
              <w:ind w:left="200"/>
              <w:spacing w:after="0"/>
              <w:rPr>
                <w:sz w:val="20"/>
                <w:szCs w:val="20"/>
                <w:color w:val="auto"/>
              </w:rPr>
            </w:pPr>
            <w:r>
              <w:rPr>
                <w:rFonts w:ascii="Arial" w:cs="Arial" w:eastAsia="Arial" w:hAnsi="Arial"/>
                <w:sz w:val="18"/>
                <w:szCs w:val="18"/>
                <w:color w:val="auto"/>
              </w:rPr>
              <w:t>Net current period comprehensive income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p>
        </w:tc>
      </w:tr>
      <w:tr>
        <w:trPr>
          <w:trHeight w:val="238"/>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5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4"/>
        </w:trPr>
        <w:tc>
          <w:tcPr>
            <w:tcW w:w="5000" w:type="dxa"/>
            <w:vAlign w:val="bottom"/>
          </w:tcPr>
          <w:p>
            <w:pPr>
              <w:ind w:left="200"/>
              <w:spacing w:after="0"/>
              <w:rPr>
                <w:sz w:val="20"/>
                <w:szCs w:val="20"/>
                <w:color w:val="auto"/>
              </w:rPr>
            </w:pPr>
            <w:r>
              <w:rPr>
                <w:rFonts w:ascii="Arial" w:cs="Arial" w:eastAsia="Arial" w:hAnsi="Arial"/>
                <w:sz w:val="18"/>
                <w:szCs w:val="18"/>
                <w:color w:val="auto"/>
              </w:rPr>
              <w:t>Other comprehensive income before reclassifications</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0"/>
                <w:szCs w:val="20"/>
                <w:color w:val="auto"/>
              </w:rPr>
            </w:pPr>
          </w:p>
        </w:tc>
      </w:tr>
      <w:tr>
        <w:trPr>
          <w:trHeight w:val="243"/>
        </w:trPr>
        <w:tc>
          <w:tcPr>
            <w:tcW w:w="5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loss realized and reclassified to earnings</w:t>
            </w: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36"/>
        </w:trPr>
        <w:tc>
          <w:tcPr>
            <w:tcW w:w="50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current period comprehensive income</w:t>
            </w:r>
          </w:p>
        </w:tc>
        <w:tc>
          <w:tcPr>
            <w:tcW w:w="15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Borders>
              <w:top w:val="single" w:sz="8" w:color="CFF0FC"/>
            </w:tcBorders>
          </w:tcPr>
          <w:p>
            <w:pPr>
              <w:spacing w:after="0"/>
              <w:rPr>
                <w:sz w:val="20"/>
                <w:szCs w:val="20"/>
                <w:color w:val="auto"/>
              </w:rPr>
            </w:pPr>
          </w:p>
        </w:tc>
      </w:tr>
      <w:tr>
        <w:trPr>
          <w:trHeight w:val="238"/>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5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500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(265 )</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34,765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Pr>
          <w:p>
            <w:pPr>
              <w:spacing w:after="0"/>
              <w:rPr>
                <w:sz w:val="20"/>
                <w:szCs w:val="20"/>
                <w:color w:val="auto"/>
              </w:rPr>
            </w:pPr>
          </w:p>
        </w:tc>
      </w:tr>
      <w:tr>
        <w:trPr>
          <w:trHeight w:val="243"/>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Less: income realized and reclassified to earnings</w:t>
            </w:r>
          </w:p>
        </w:tc>
        <w:tc>
          <w:tcPr>
            <w:tcW w:w="15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00" w:type="dxa"/>
            <w:vAlign w:val="bottom"/>
          </w:tcPr>
          <w:p>
            <w:pPr>
              <w:ind w:left="200"/>
              <w:spacing w:after="0"/>
              <w:rPr>
                <w:sz w:val="20"/>
                <w:szCs w:val="20"/>
                <w:color w:val="auto"/>
              </w:rPr>
            </w:pPr>
            <w:r>
              <w:rPr>
                <w:rFonts w:ascii="Arial" w:cs="Arial" w:eastAsia="Arial" w:hAnsi="Arial"/>
                <w:sz w:val="18"/>
                <w:szCs w:val="18"/>
                <w:color w:val="auto"/>
              </w:rPr>
              <w:t>Net current period comprehensive income (loss)</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(265 )</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28,604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28,339</w:t>
            </w:r>
          </w:p>
        </w:tc>
        <w:tc>
          <w:tcPr>
            <w:tcW w:w="100" w:type="dxa"/>
            <w:vAlign w:val="bottom"/>
          </w:tcPr>
          <w:p>
            <w:pPr>
              <w:spacing w:after="0"/>
              <w:rPr>
                <w:sz w:val="20"/>
                <w:szCs w:val="20"/>
                <w:color w:val="auto"/>
              </w:rPr>
            </w:pPr>
          </w:p>
        </w:tc>
      </w:tr>
      <w:tr>
        <w:trPr>
          <w:trHeight w:val="278"/>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5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31,353</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30,128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5000" w:type="dxa"/>
            <w:vAlign w:val="bottom"/>
          </w:tcPr>
          <w:p>
            <w:pPr>
              <w:spacing w:after="0"/>
              <w:rPr>
                <w:sz w:val="24"/>
                <w:szCs w:val="24"/>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-2131695</wp:posOffset>
            </wp:positionV>
            <wp:extent cx="76835" cy="1714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-2131695</wp:posOffset>
            </wp:positionV>
            <wp:extent cx="68580" cy="171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-2131695</wp:posOffset>
            </wp:positionV>
            <wp:extent cx="68580"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-1805940</wp:posOffset>
            </wp:positionV>
            <wp:extent cx="76835" cy="162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-1805940</wp:posOffset>
            </wp:positionV>
            <wp:extent cx="68580" cy="162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162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-1489075</wp:posOffset>
            </wp:positionV>
            <wp:extent cx="76835"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-1489075</wp:posOffset>
            </wp:positionV>
            <wp:extent cx="68580" cy="1714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-1489075</wp:posOffset>
            </wp:positionV>
            <wp:extent cx="68580" cy="1714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-1163955</wp:posOffset>
            </wp:positionV>
            <wp:extent cx="76835" cy="162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-1163955</wp:posOffset>
            </wp:positionV>
            <wp:extent cx="68580" cy="162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162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-847090</wp:posOffset>
            </wp:positionV>
            <wp:extent cx="76835" cy="1714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-847090</wp:posOffset>
            </wp:positionV>
            <wp:extent cx="68580" cy="1714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1714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-521970</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-504825</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-521970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-504825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19. Condensed Financial Information of Registrant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the condensed financial information of our parent company on a standalone basis.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760" w:type="dxa"/>
            <w:vAlign w:val="bottom"/>
            <w:gridSpan w:val="8"/>
          </w:tcPr>
          <w:p>
            <w:pPr>
              <w:jc w:val="right"/>
              <w:ind w:right="701"/>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5"/>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37,174</w:t>
            </w:r>
          </w:p>
        </w:tc>
        <w:tc>
          <w:tcPr>
            <w:tcW w:w="6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55,069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4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1"/>
              </w:rPr>
              <w:t>Prepaid expenses and other current assets</w:t>
            </w: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172,871</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186,041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7"/>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210,045</w:t>
            </w:r>
          </w:p>
        </w:tc>
        <w:tc>
          <w:tcPr>
            <w:tcW w:w="2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241,135</w:t>
            </w: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deficit:</w:t>
            </w: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6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Current portion of long-term debt</w:t>
            </w: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102,370</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w w:val="90"/>
              </w:rPr>
              <w:t>Investments and payables with subsidiaries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311,801</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458,179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311,914</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561,289</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6"/>
          </w:tcPr>
          <w:p>
            <w:pPr>
              <w:jc w:val="right"/>
              <w:ind w:right="30"/>
              <w:spacing w:after="0"/>
              <w:rPr>
                <w:sz w:val="20"/>
                <w:szCs w:val="20"/>
                <w:color w:val="auto"/>
              </w:rPr>
            </w:pPr>
            <w:r>
              <w:rPr>
                <w:rFonts w:ascii="Arial" w:cs="Arial" w:eastAsia="Arial" w:hAnsi="Arial"/>
                <w:sz w:val="18"/>
                <w:szCs w:val="18"/>
                <w:color w:val="auto"/>
              </w:rPr>
              <w:t>(101,869 )</w:t>
            </w:r>
          </w:p>
        </w:tc>
        <w:tc>
          <w:tcPr>
            <w:tcW w:w="420" w:type="dxa"/>
            <w:vAlign w:val="bottom"/>
          </w:tcPr>
          <w:p>
            <w:pPr>
              <w:spacing w:after="0"/>
              <w:rPr>
                <w:sz w:val="20"/>
                <w:szCs w:val="20"/>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92"/>
              </w:rPr>
              <w:t>(320,154 )</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deficit</w:t>
            </w:r>
          </w:p>
        </w:tc>
        <w:tc>
          <w:tcPr>
            <w:tcW w:w="1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7"/>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210,045</w:t>
            </w:r>
          </w:p>
        </w:tc>
        <w:tc>
          <w:tcPr>
            <w:tcW w:w="2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241,135</w:t>
            </w: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1"/>
              </w:rPr>
              <w:t>Gogo Inc.</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80" w:type="dxa"/>
            <w:vAlign w:val="bottom"/>
            <w:gridSpan w:val="10"/>
          </w:tcPr>
          <w:p>
            <w:pPr>
              <w:jc w:val="center"/>
              <w:ind w:left="690"/>
              <w:spacing w:after="0"/>
              <w:rPr>
                <w:sz w:val="20"/>
                <w:szCs w:val="20"/>
                <w:color w:val="auto"/>
              </w:rPr>
            </w:pPr>
            <w:r>
              <w:rPr>
                <w:rFonts w:ascii="Arial" w:cs="Arial" w:eastAsia="Arial" w:hAnsi="Arial"/>
                <w:sz w:val="18"/>
                <w:szCs w:val="18"/>
                <w:b w:val="1"/>
                <w:bCs w:val="1"/>
                <w:color w:val="auto"/>
                <w:w w:val="88"/>
              </w:rPr>
              <w:t>Condensed Statements of Operations and Comprehensive Income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0" w:type="dxa"/>
            <w:vAlign w:val="bottom"/>
            <w:gridSpan w:val="2"/>
          </w:tcPr>
          <w:p>
            <w:pPr>
              <w:jc w:val="center"/>
              <w:ind w:right="350"/>
              <w:spacing w:after="0"/>
              <w:rPr>
                <w:sz w:val="20"/>
                <w:szCs w:val="20"/>
                <w:color w:val="auto"/>
              </w:rPr>
            </w:pPr>
            <w:r>
              <w:rPr>
                <w:rFonts w:ascii="Arial" w:cs="Arial" w:eastAsia="Arial" w:hAnsi="Arial"/>
                <w:sz w:val="18"/>
                <w:szCs w:val="18"/>
                <w:i w:val="1"/>
                <w:iCs w:val="1"/>
                <w:color w:val="auto"/>
                <w:w w:val="91"/>
              </w:rPr>
              <w:t>(in thousands)</w:t>
            </w:r>
          </w:p>
        </w:tc>
        <w:tc>
          <w:tcPr>
            <w:tcW w:w="380" w:type="dxa"/>
            <w:vAlign w:val="bottom"/>
          </w:tcPr>
          <w:p>
            <w:pPr>
              <w:spacing w:after="0"/>
              <w:rPr>
                <w:sz w:val="20"/>
                <w:szCs w:val="20"/>
                <w:color w:val="auto"/>
              </w:rPr>
            </w:pPr>
          </w:p>
        </w:tc>
        <w:tc>
          <w:tcPr>
            <w:tcW w:w="3100" w:type="dxa"/>
            <w:vAlign w:val="bottom"/>
            <w:gridSpan w:val="13"/>
            <w:vMerge w:val="restart"/>
          </w:tcPr>
          <w:p>
            <w:pPr>
              <w:jc w:val="right"/>
              <w:ind w:right="761"/>
              <w:spacing w:after="0"/>
              <w:rPr>
                <w:sz w:val="20"/>
                <w:szCs w:val="20"/>
                <w:color w:val="auto"/>
              </w:rPr>
            </w:pPr>
            <w:r>
              <w:rPr>
                <w:rFonts w:ascii="Arial" w:cs="Arial" w:eastAsia="Arial" w:hAnsi="Arial"/>
                <w:sz w:val="14"/>
                <w:szCs w:val="14"/>
                <w:b w:val="1"/>
                <w:bCs w:val="1"/>
                <w:color w:val="auto"/>
                <w:w w:val="96"/>
              </w:rPr>
              <w:t>For the Years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gridSpan w:val="13"/>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2,770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29,318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18,948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1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28,442</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28,871</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xml:space="preserve">(2,316 </w:t>
            </w:r>
            <w:r>
              <w:rPr>
                <w:rFonts w:ascii="Arial" w:cs="Arial" w:eastAsia="Arial" w:hAnsi="Arial"/>
                <w:sz w:val="18"/>
                <w:szCs w:val="18"/>
                <w:color w:val="auto"/>
                <w:highlight w:val="white"/>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4"/>
              </w:rPr>
              <w:t xml:space="preserve">(28,442 </w:t>
            </w:r>
            <w:r>
              <w:rPr>
                <w:rFonts w:ascii="Arial" w:cs="Arial" w:eastAsia="Arial" w:hAnsi="Arial"/>
                <w:sz w:val="18"/>
                <w:szCs w:val="18"/>
                <w:color w:val="auto"/>
                <w:highlight w:val="white"/>
                <w:w w:val="94"/>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xml:space="preserve">(28,871 </w:t>
            </w:r>
            <w:r>
              <w:rPr>
                <w:rFonts w:ascii="Arial" w:cs="Arial" w:eastAsia="Arial" w:hAnsi="Arial"/>
                <w:sz w:val="18"/>
                <w:szCs w:val="18"/>
                <w:color w:val="auto"/>
                <w:highlight w:val="white"/>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9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Income tax provision (benefit)</w:t>
            </w: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13,658</w:t>
            </w:r>
          </w:p>
        </w:tc>
        <w:tc>
          <w:tcPr>
            <w:tcW w:w="60" w:type="dxa"/>
            <w:vAlign w:val="bottom"/>
            <w:shd w:val="clear" w:color="auto" w:fill="CFF0FC"/>
          </w:tcPr>
          <w:p>
            <w:pPr>
              <w:spacing w:after="0"/>
              <w:rPr>
                <w:sz w:val="21"/>
                <w:szCs w:val="21"/>
                <w:color w:val="auto"/>
              </w:rPr>
            </w:pPr>
          </w:p>
        </w:tc>
        <w:tc>
          <w:tcPr>
            <w:tcW w:w="13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(187,230 )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(146 )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Equity (gains) losses of subsidiaries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(108,033 )</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6,053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221,311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3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92,059</w:t>
            </w:r>
          </w:p>
        </w:tc>
        <w:tc>
          <w:tcPr>
            <w:tcW w:w="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152,735</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(250,036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92,059</w:t>
            </w:r>
          </w:p>
        </w:tc>
        <w:tc>
          <w:tcPr>
            <w:tcW w:w="60" w:type="dxa"/>
            <w:vAlign w:val="bottom"/>
          </w:tcPr>
          <w:p>
            <w:pPr>
              <w:spacing w:after="0"/>
              <w:rPr>
                <w:sz w:val="19"/>
                <w:szCs w:val="19"/>
                <w:color w:val="auto"/>
              </w:rPr>
            </w:pP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152,735</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xml:space="preserve">(250,036 </w:t>
            </w:r>
            <w:r>
              <w:rPr>
                <w:rFonts w:ascii="Arial" w:cs="Arial" w:eastAsia="Arial" w:hAnsi="Arial"/>
                <w:sz w:val="18"/>
                <w:szCs w:val="18"/>
                <w:color w:val="auto"/>
                <w:highlight w:val="white"/>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86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-4194810</wp:posOffset>
            </wp:positionV>
            <wp:extent cx="882015" cy="1797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2015" cy="17970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-2919095</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-2901950</wp:posOffset>
            </wp:positionV>
            <wp:extent cx="514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-2919095</wp:posOffset>
            </wp:positionV>
            <wp:extent cx="4254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-2901950</wp:posOffset>
            </wp:positionV>
            <wp:extent cx="4254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-692785</wp:posOffset>
            </wp:positionV>
            <wp:extent cx="1669415" cy="2057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669415" cy="20574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center"/>
        <w:ind w:right="-199"/>
        <w:spacing w:after="0"/>
        <w:rPr>
          <w:sz w:val="20"/>
          <w:szCs w:val="20"/>
          <w:color w:val="auto"/>
        </w:rPr>
      </w:pPr>
      <w:r>
        <w:rPr>
          <w:rFonts w:ascii="Arial" w:cs="Arial" w:eastAsia="Arial" w:hAnsi="Arial"/>
          <w:sz w:val="18"/>
          <w:szCs w:val="18"/>
          <w:b w:val="1"/>
          <w:bCs w:val="1"/>
          <w:color w:val="auto"/>
        </w:rPr>
        <w:t>Gogo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92,059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152,735</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(250,036</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Accretion of debt discount</w:t>
            </w:r>
          </w:p>
        </w:tc>
        <w:tc>
          <w:tcPr>
            <w:tcW w:w="24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13,255</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w:t>
            </w:r>
          </w:p>
        </w:tc>
        <w:tc>
          <w:tcPr>
            <w:tcW w:w="80" w:type="dxa"/>
            <w:vAlign w:val="bottom"/>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18,948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Subsidiary equity (gains) losses</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(108,033 )</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221,311</w:t>
            </w:r>
          </w:p>
        </w:tc>
        <w:tc>
          <w:tcPr>
            <w:tcW w:w="80" w:type="dxa"/>
            <w:vAlign w:val="bottom"/>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13,170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(187,220 )</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(232 )</w:t>
            </w:r>
          </w:p>
        </w:tc>
      </w:tr>
      <w:tr>
        <w:trPr>
          <w:trHeight w:val="243"/>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operating activities</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(627 )</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(114 )</w:t>
            </w:r>
          </w:p>
        </w:tc>
      </w:tr>
      <w:tr>
        <w:trPr>
          <w:trHeight w:val="20"/>
        </w:trPr>
        <w:tc>
          <w:tcPr>
            <w:tcW w:w="5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(3,013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 xml:space="preserve">(6,278 </w:t>
            </w:r>
            <w:r>
              <w:rPr>
                <w:rFonts w:ascii="Arial" w:cs="Arial" w:eastAsia="Arial" w:hAnsi="Arial"/>
                <w:sz w:val="18"/>
                <w:szCs w:val="18"/>
                <w:color w:val="auto"/>
                <w:highlight w:val="white"/>
              </w:rPr>
              <w:t>)</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xml:space="preserve">(14,035 </w:t>
            </w:r>
            <w:r>
              <w:rPr>
                <w:rFonts w:ascii="Arial" w:cs="Arial" w:eastAsia="Arial" w:hAnsi="Arial"/>
                <w:sz w:val="18"/>
                <w:szCs w:val="18"/>
                <w:color w:val="auto"/>
                <w:highlight w:val="white"/>
              </w:rPr>
              <w:t>)</w:t>
            </w:r>
          </w:p>
        </w:tc>
      </w:tr>
      <w:tr>
        <w:trPr>
          <w:trHeight w:val="236"/>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Investments and advances with subsidiaries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6,047</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11,552</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(45,097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11,552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xml:space="preserve">(45,097 </w:t>
            </w:r>
            <w:r>
              <w:rPr>
                <w:rFonts w:ascii="Arial" w:cs="Arial" w:eastAsia="Arial" w:hAnsi="Arial"/>
                <w:sz w:val="18"/>
                <w:szCs w:val="18"/>
                <w:color w:val="auto"/>
                <w:highlight w:val="white"/>
              </w:rPr>
              <w:t>)</w:t>
            </w:r>
          </w:p>
        </w:tc>
      </w:tr>
      <w:tr>
        <w:trPr>
          <w:trHeight w:val="242"/>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Repurchase of convertible notes</w:t>
            </w:r>
          </w:p>
        </w:tc>
        <w:tc>
          <w:tcPr>
            <w:tcW w:w="24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(2,498 )</w:t>
            </w: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Repurchase of common stock</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(18,375 )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Stock-based compensation activity</w:t>
            </w:r>
          </w:p>
        </w:tc>
        <w:tc>
          <w:tcPr>
            <w:tcW w:w="24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(2,579 )</w:t>
            </w: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(5,245 )</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(4,227 )</w:t>
            </w:r>
          </w:p>
        </w:tc>
      </w:tr>
      <w:tr>
        <w:trPr>
          <w:trHeight w:val="23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w w:val="99"/>
              </w:rPr>
              <w:t>Increase (decrease) in cash, cash equivalents and restricted cash</w:t>
            </w:r>
          </w:p>
        </w:tc>
        <w:tc>
          <w:tcPr>
            <w:tcW w:w="24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(17,920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xml:space="preserve">(65,857 </w:t>
            </w:r>
            <w:r>
              <w:rPr>
                <w:rFonts w:ascii="Arial" w:cs="Arial" w:eastAsia="Arial" w:hAnsi="Arial"/>
                <w:sz w:val="18"/>
                <w:szCs w:val="18"/>
                <w:color w:val="auto"/>
                <w:highlight w:val="white"/>
              </w:rPr>
              <w:t>)</w:t>
            </w:r>
          </w:p>
        </w:tc>
      </w:tr>
      <w:tr>
        <w:trPr>
          <w:trHeight w:val="24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55,094</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55,065</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120,922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37,174</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55,094</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55,065</w:t>
            </w:r>
          </w:p>
        </w:tc>
        <w:tc>
          <w:tcPr>
            <w:tcW w:w="8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55,094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55,065</w:t>
            </w:r>
          </w:p>
        </w:tc>
        <w:tc>
          <w:tcPr>
            <w:tcW w:w="80" w:type="dxa"/>
            <w:vAlign w:val="bottom"/>
            <w:shd w:val="clear" w:color="auto" w:fill="CFF0FC"/>
          </w:tcPr>
          <w:p>
            <w:pPr>
              <w:spacing w:after="0"/>
              <w:rPr>
                <w:sz w:val="19"/>
                <w:szCs w:val="19"/>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Less: current restricted cash</w:t>
            </w:r>
          </w:p>
        </w:tc>
        <w:tc>
          <w:tcPr>
            <w:tcW w:w="24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Less: non-current restricted cash</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2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37,174</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55,069</w:t>
            </w: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55,065</w:t>
            </w:r>
          </w:p>
        </w:tc>
        <w:tc>
          <w:tcPr>
            <w:tcW w:w="80" w:type="dxa"/>
            <w:vAlign w:val="bottom"/>
            <w:tcBorders>
              <w:top w:val="single" w:sz="8" w:color="CFF0FC"/>
            </w:tcBorders>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-2105660</wp:posOffset>
            </wp:positionV>
            <wp:extent cx="59690" cy="1714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-2105660</wp:posOffset>
            </wp:positionV>
            <wp:extent cx="51435" cy="1714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-1155065</wp:posOffset>
            </wp:positionV>
            <wp:extent cx="51435" cy="162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-838200</wp:posOffset>
            </wp:positionV>
            <wp:extent cx="59690" cy="1885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-838200</wp:posOffset>
            </wp:positionV>
            <wp:extent cx="51435" cy="1885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-838200</wp:posOffset>
            </wp:positionV>
            <wp:extent cx="51435" cy="1885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-187960</wp:posOffset>
            </wp:positionV>
            <wp:extent cx="59690" cy="1885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-187960</wp:posOffset>
            </wp:positionV>
            <wp:extent cx="51435" cy="1885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Discontinued Operations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As discussed in Note 1, “Background,” on December 1, 2020, we completed the sale of our CA business to Intelsat. As a result of the Transaction, the CA business is reported for all periods as discontinued operations.</w:t>
      </w:r>
    </w:p>
    <w:p>
      <w:pPr>
        <w:spacing w:after="0" w:line="6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 xml:space="preserve">The following table summarizes the results of discontinued operations which are presented as Net loss from discontinued operations, net of tax, in our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53" w:right="539" w:bottom="1440" w:gutter="0" w:footer="0" w:header="0"/>
        </w:sectPr>
      </w:pPr>
    </w:p>
    <w:bookmarkStart w:id="89" w:name="page90"/>
    <w:bookmarkEnd w:id="89"/>
    <w:tbl>
      <w:tblPr>
        <w:tblLayout w:type="fixed"/>
        <w:tblInd w:w="114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3"/>
              </w:rPr>
              <w:t>For the Years Ended 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7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192,616</w:t>
            </w:r>
          </w:p>
        </w:tc>
        <w:tc>
          <w:tcPr>
            <w:tcW w:w="80" w:type="dxa"/>
            <w:vAlign w:val="bottom"/>
          </w:tcPr>
          <w:p>
            <w:pPr>
              <w:spacing w:after="0"/>
              <w:rPr>
                <w:sz w:val="20"/>
                <w:szCs w:val="20"/>
                <w:color w:val="auto"/>
              </w:rPr>
            </w:pPr>
          </w:p>
        </w:tc>
      </w:tr>
      <w:tr>
        <w:trPr>
          <w:trHeight w:val="243"/>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Equipment revenue</w:t>
            </w:r>
          </w:p>
        </w:tc>
        <w:tc>
          <w:tcPr>
            <w:tcW w:w="7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40,483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8"/>
        </w:trPr>
        <w:tc>
          <w:tcPr>
            <w:tcW w:w="5240" w:type="dxa"/>
            <w:vAlign w:val="bottom"/>
          </w:tcPr>
          <w:p>
            <w:pPr>
              <w:ind w:left="360"/>
              <w:spacing w:after="0"/>
              <w:rPr>
                <w:sz w:val="20"/>
                <w:szCs w:val="20"/>
                <w:color w:val="auto"/>
              </w:rPr>
            </w:pPr>
            <w:r>
              <w:rPr>
                <w:rFonts w:ascii="Arial" w:cs="Arial" w:eastAsia="Arial" w:hAnsi="Arial"/>
                <w:sz w:val="18"/>
                <w:szCs w:val="18"/>
                <w:b w:val="1"/>
                <w:bCs w:val="1"/>
                <w:color w:val="auto"/>
              </w:rPr>
              <w:t>Total revenue</w:t>
            </w:r>
          </w:p>
        </w:tc>
        <w:tc>
          <w:tcPr>
            <w:tcW w:w="7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233,099</w:t>
            </w:r>
          </w:p>
        </w:tc>
        <w:tc>
          <w:tcPr>
            <w:tcW w:w="80" w:type="dxa"/>
            <w:vAlign w:val="bottom"/>
          </w:tcPr>
          <w:p>
            <w:pPr>
              <w:spacing w:after="0"/>
              <w:rPr>
                <w:sz w:val="20"/>
                <w:szCs w:val="20"/>
                <w:color w:val="auto"/>
              </w:rPr>
            </w:pPr>
          </w:p>
        </w:tc>
      </w:tr>
      <w:tr>
        <w:trPr>
          <w:trHeight w:val="240"/>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72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Cost of service revenue (exclusive of items shown below)</w:t>
            </w:r>
          </w:p>
        </w:tc>
        <w:tc>
          <w:tcPr>
            <w:tcW w:w="7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145,958</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Cost of equipment revenue (exclusive of items shown below)</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33,978</w:t>
            </w:r>
          </w:p>
        </w:tc>
        <w:tc>
          <w:tcPr>
            <w:tcW w:w="80" w:type="dxa"/>
            <w:vAlign w:val="bottom"/>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Engineering, design and development</w:t>
            </w:r>
          </w:p>
        </w:tc>
        <w:tc>
          <w:tcPr>
            <w:tcW w:w="7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57,167</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24,121</w:t>
            </w:r>
          </w:p>
        </w:tc>
        <w:tc>
          <w:tcPr>
            <w:tcW w:w="80" w:type="dxa"/>
            <w:vAlign w:val="bottom"/>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6,283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40,551</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Impairment of long-lived assets</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47,375</w:t>
            </w:r>
          </w:p>
        </w:tc>
        <w:tc>
          <w:tcPr>
            <w:tcW w:w="80" w:type="dxa"/>
            <w:vAlign w:val="bottom"/>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119,827</w:t>
            </w:r>
          </w:p>
        </w:tc>
        <w:tc>
          <w:tcPr>
            <w:tcW w:w="80" w:type="dxa"/>
            <w:vAlign w:val="bottom"/>
          </w:tcPr>
          <w:p>
            <w:pPr>
              <w:spacing w:after="0"/>
              <w:rPr>
                <w:sz w:val="20"/>
                <w:szCs w:val="20"/>
                <w:color w:val="auto"/>
              </w:rPr>
            </w:pPr>
          </w:p>
        </w:tc>
      </w:tr>
      <w:tr>
        <w:trPr>
          <w:trHeight w:val="238"/>
        </w:trPr>
        <w:tc>
          <w:tcPr>
            <w:tcW w:w="52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72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6,283</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468,977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7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 xml:space="preserve">(6,283 </w:t>
            </w:r>
            <w:r>
              <w:rPr>
                <w:rFonts w:ascii="Arial" w:cs="Arial" w:eastAsia="Arial" w:hAnsi="Arial"/>
                <w:sz w:val="18"/>
                <w:szCs w:val="18"/>
                <w:color w:val="auto"/>
                <w:highlight w:val="white"/>
              </w:rPr>
              <w:t>)</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2"/>
              </w:rPr>
              <w:t xml:space="preserve">(235,878 </w:t>
            </w:r>
            <w:r>
              <w:rPr>
                <w:rFonts w:ascii="Arial" w:cs="Arial" w:eastAsia="Arial" w:hAnsi="Arial"/>
                <w:sz w:val="18"/>
                <w:szCs w:val="18"/>
                <w:color w:val="auto"/>
                <w:highlight w:val="white"/>
                <w:w w:val="92"/>
              </w:rPr>
              <w:t>)</w:t>
            </w:r>
          </w:p>
        </w:tc>
      </w:tr>
      <w:tr>
        <w:trPr>
          <w:trHeight w:val="240"/>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72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Gain on sale of CA business</w:t>
            </w:r>
          </w:p>
        </w:tc>
        <w:tc>
          <w:tcPr>
            <w:tcW w:w="7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(1,598 )</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(37,958 )</w:t>
            </w:r>
          </w:p>
        </w:tc>
      </w:tr>
      <w:tr>
        <w:trPr>
          <w:trHeight w:val="243"/>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(income) expense</w:t>
            </w:r>
          </w:p>
        </w:tc>
        <w:tc>
          <w:tcPr>
            <w:tcW w:w="7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8"/>
        </w:trPr>
        <w:tc>
          <w:tcPr>
            <w:tcW w:w="5240" w:type="dxa"/>
            <w:vAlign w:val="bottom"/>
          </w:tcPr>
          <w:p>
            <w:pPr>
              <w:ind w:left="360"/>
              <w:spacing w:after="0"/>
              <w:rPr>
                <w:sz w:val="20"/>
                <w:szCs w:val="20"/>
                <w:color w:val="auto"/>
              </w:rPr>
            </w:pPr>
            <w:r>
              <w:rPr>
                <w:rFonts w:ascii="Arial" w:cs="Arial" w:eastAsia="Arial" w:hAnsi="Arial"/>
                <w:sz w:val="18"/>
                <w:szCs w:val="18"/>
                <w:b w:val="1"/>
                <w:bCs w:val="1"/>
                <w:color w:val="auto"/>
              </w:rPr>
              <w:t>Total other (income) expense:</w:t>
            </w:r>
          </w:p>
        </w:tc>
        <w:tc>
          <w:tcPr>
            <w:tcW w:w="7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 xml:space="preserve">(1,598 </w:t>
            </w:r>
            <w:r>
              <w:rPr>
                <w:rFonts w:ascii="Arial" w:cs="Arial" w:eastAsia="Arial" w:hAnsi="Arial"/>
                <w:sz w:val="18"/>
                <w:szCs w:val="18"/>
                <w:color w:val="auto"/>
                <w:highlight w:val="white"/>
              </w:rPr>
              <w:t>)</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xml:space="preserve">(34,824 </w:t>
            </w:r>
            <w:r>
              <w:rPr>
                <w:rFonts w:ascii="Arial" w:cs="Arial" w:eastAsia="Arial" w:hAnsi="Arial"/>
                <w:sz w:val="18"/>
                <w:szCs w:val="18"/>
                <w:color w:val="auto"/>
                <w:highlight w:val="white"/>
              </w:rPr>
              <w:t>)</w:t>
            </w:r>
          </w:p>
        </w:tc>
      </w:tr>
      <w:tr>
        <w:trPr>
          <w:trHeight w:val="23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72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(201,054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4"/>
        </w:trPr>
        <w:tc>
          <w:tcPr>
            <w:tcW w:w="524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7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color w:val="auto"/>
                <w:highlight w:val="white"/>
              </w:rPr>
              <w: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20"/>
                <w:szCs w:val="20"/>
                <w:color w:val="auto"/>
              </w:rPr>
            </w:pPr>
          </w:p>
        </w:tc>
      </w:tr>
      <w:tr>
        <w:trPr>
          <w:trHeight w:val="278"/>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from discontinued operations, net of tax</w:t>
            </w:r>
          </w:p>
        </w:tc>
        <w:tc>
          <w:tcPr>
            <w:tcW w:w="720" w:type="dxa"/>
            <w:vAlign w:val="bottom"/>
            <w:tcBorders>
              <w:top w:val="single" w:sz="8" w:color="auto"/>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(201,477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-2876550</wp:posOffset>
            </wp:positionV>
            <wp:extent cx="59690" cy="1714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-2876550</wp:posOffset>
            </wp:positionV>
            <wp:extent cx="51435" cy="1714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-2876550</wp:posOffset>
            </wp:positionV>
            <wp:extent cx="51435" cy="1714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-1309370</wp:posOffset>
            </wp:positionV>
            <wp:extent cx="59690" cy="1714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-675640</wp:posOffset>
            </wp:positionV>
            <wp:extent cx="59690" cy="1714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-350520</wp:posOffset>
            </wp:positionV>
            <wp:extent cx="59690" cy="1714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-350520</wp:posOffset>
            </wp:positionV>
            <wp:extent cx="51435" cy="1714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596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596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514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discussion relates entirely to discontinued operations.</w:t>
      </w:r>
    </w:p>
    <w:p>
      <w:pPr>
        <w:spacing w:after="0" w:line="113" w:lineRule="exact"/>
        <w:rPr>
          <w:sz w:val="20"/>
          <w:szCs w:val="20"/>
          <w:color w:val="auto"/>
        </w:rPr>
      </w:pPr>
    </w:p>
    <w:p>
      <w:pPr>
        <w:ind w:right="100" w:firstLine="374"/>
        <w:spacing w:after="0" w:line="270" w:lineRule="auto"/>
        <w:rPr>
          <w:sz w:val="20"/>
          <w:szCs w:val="20"/>
          <w:color w:val="auto"/>
        </w:rPr>
      </w:pPr>
      <w:r>
        <w:rPr>
          <w:rFonts w:ascii="Arial" w:cs="Arial" w:eastAsia="Arial" w:hAnsi="Arial"/>
          <w:sz w:val="17"/>
          <w:szCs w:val="17"/>
          <w:b w:val="1"/>
          <w:bCs w:val="1"/>
          <w:color w:val="auto"/>
        </w:rPr>
        <w:t xml:space="preserve">Gain on Sale </w:t>
      </w:r>
      <w:r>
        <w:rPr>
          <w:rFonts w:ascii="Arial" w:cs="Arial" w:eastAsia="Arial" w:hAnsi="Arial"/>
          <w:sz w:val="17"/>
          <w:szCs w:val="17"/>
          <w:color w:val="auto"/>
        </w:rPr>
        <w:t>– Upon the closing of the Transaction on December 1, 2020, we received initial gross proceeds of $386.3 million, which reflects the</w:t>
      </w:r>
      <w:r>
        <w:rPr>
          <w:rFonts w:ascii="Arial" w:cs="Arial" w:eastAsia="Arial" w:hAnsi="Arial"/>
          <w:sz w:val="17"/>
          <w:szCs w:val="17"/>
          <w:b w:val="1"/>
          <w:bCs w:val="1"/>
          <w:color w:val="auto"/>
        </w:rPr>
        <w:t xml:space="preserve"> </w:t>
      </w:r>
      <w:r>
        <w:rPr>
          <w:rFonts w:ascii="Arial" w:cs="Arial" w:eastAsia="Arial" w:hAnsi="Arial"/>
          <w:sz w:val="17"/>
          <w:szCs w:val="17"/>
          <w:color w:val="auto"/>
        </w:rPr>
        <w:t>$400.0 million purchase price, adjusted for cash, debt, transaction expenses and working capital. The final purchase price was subject to change due to customary post-closing purchase price adjustment procedures set forth in the purchase and sale agreement between Gogo and Intelsat, that were not yet complete. As the post-closing purchase price adjustment was not yet finalized and therefore represented a contingent gain, $9.4 million was recorded as a deferred gain on sale included within Accrued liabilities as of December 31, 2020. During December 2020, we recognized within Gain on sale of CA business a pretax gain on sale of $38.0 million, computed as the $386.3 million of initial gross proceeds less (i) the potential $9.4 million post-closing purchase price adjustment not yet finalized, (ii) the carrying value of the assets and liabilities transferred in the Transaction and (iii) Transaction-related costs. In October 2021, the independent accounting firm engaged to resolve a dispute between the parties regarding the working capital matter determined the final amount of the working capital adjustments to be $7.8 million. In the fourth quarter of 2021, Gogo paid Intelsat the $7.8 million and recognized an additional Gain on sale of CA business of $1.6 million.</w:t>
      </w:r>
    </w:p>
    <w:p>
      <w:pPr>
        <w:spacing w:after="0" w:line="66"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In August 2020, the Compensation Committee approved modifications to the vesting conditions and exercise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of outstanding equity compensation awards held by certain of our then-current employees who became employees of Intelsat in the Transaction. These modifications became effective upon the consummation of the Transaction. Pursuant to such modifications, the options and restricted stock units (“RSUs”) held by Intelsat employees generally vested on the earlier of (i) the original vesting date and (ii) December 1, 2021; provided that the employee did not voluntarily resign from and was not terminated for cause by Intelsat prior to such date. Certain of these awards vested based on conditions that are not classified as a service, market or performance condition and as a result such awards were classified as a liability. Other than mark-to-market adjustments, all costs related to stock-based compensation for our prior employees who became employees of Intelsat in the Transaction were recognized as of December 31, 2020. For the year ended December 31, 2021, $24.0 million was reclassified from Accrued liabilities to Additional paid-in capital as the awards vested during the period. As of December 31, 2021, there were no remaining liability-classified awards.</w:t>
      </w:r>
    </w:p>
    <w:p>
      <w:pPr>
        <w:spacing w:after="0" w:line="60" w:lineRule="exact"/>
        <w:rPr>
          <w:sz w:val="20"/>
          <w:szCs w:val="20"/>
          <w:color w:val="auto"/>
        </w:rPr>
      </w:pPr>
    </w:p>
    <w:p>
      <w:pPr>
        <w:ind w:right="580" w:firstLine="509"/>
        <w:spacing w:after="0" w:line="258"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contained within the results of discontinued operations for the years December 31, 2022,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980" w:type="dxa"/>
            <w:vAlign w:val="bottom"/>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service revenue</w:t>
            </w: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7,647</w:t>
            </w:r>
          </w:p>
        </w:tc>
        <w:tc>
          <w:tcPr>
            <w:tcW w:w="100" w:type="dxa"/>
            <w:vAlign w:val="bottom"/>
            <w:shd w:val="clear" w:color="auto" w:fill="CFF0FC"/>
          </w:tcPr>
          <w:p>
            <w:pPr>
              <w:spacing w:after="0"/>
              <w:rPr>
                <w:sz w:val="20"/>
                <w:szCs w:val="20"/>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Cost of equipment revenue</w:t>
            </w:r>
          </w:p>
        </w:tc>
        <w:tc>
          <w:tcPr>
            <w:tcW w:w="98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Engineering, design and development</w:t>
            </w:r>
          </w:p>
        </w:tc>
        <w:tc>
          <w:tcPr>
            <w:tcW w:w="980" w:type="dxa"/>
            <w:vAlign w:val="bottom"/>
            <w:shd w:val="clear" w:color="auto" w:fill="CFF0FC"/>
          </w:tcPr>
          <w:p>
            <w:pPr>
              <w:spacing w:after="0"/>
              <w:rPr>
                <w:sz w:val="21"/>
                <w:szCs w:val="21"/>
                <w:color w:val="auto"/>
              </w:rPr>
            </w:pP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5,836</w:t>
            </w:r>
          </w:p>
        </w:tc>
        <w:tc>
          <w:tcPr>
            <w:tcW w:w="100" w:type="dxa"/>
            <w:vAlign w:val="bottom"/>
            <w:shd w:val="clear" w:color="auto" w:fill="CFF0FC"/>
          </w:tcPr>
          <w:p>
            <w:pPr>
              <w:spacing w:after="0"/>
              <w:rPr>
                <w:sz w:val="21"/>
                <w:szCs w:val="21"/>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7,911</w:t>
            </w:r>
          </w:p>
        </w:tc>
        <w:tc>
          <w:tcPr>
            <w:tcW w:w="100" w:type="dxa"/>
            <w:vAlign w:val="bottom"/>
          </w:tcPr>
          <w:p>
            <w:pPr>
              <w:spacing w:after="0"/>
              <w:rPr>
                <w:sz w:val="20"/>
                <w:szCs w:val="20"/>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4,817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4,817</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25,807</w:t>
            </w:r>
          </w:p>
        </w:tc>
        <w:tc>
          <w:tcPr>
            <w:tcW w:w="10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1885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540" w:right="1540" w:hanging="5016"/>
        <w:spacing w:after="0" w:line="527" w:lineRule="auto"/>
        <w:rPr>
          <w:sz w:val="20"/>
          <w:szCs w:val="20"/>
          <w:color w:val="auto"/>
        </w:rPr>
      </w:pPr>
      <w:r>
        <w:rPr>
          <w:rFonts w:ascii="Arial" w:cs="Arial" w:eastAsia="Arial" w:hAnsi="Arial"/>
          <w:sz w:val="18"/>
          <w:szCs w:val="18"/>
          <w:color w:val="auto"/>
        </w:rPr>
        <w:t>See Note 14, “Stock-Based Compensation and 401(k) Plan,” for additional information on our stock-based compensation plans.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0" w:name="page91"/>
    <w:bookmarkEnd w:id="90"/>
    <w:p>
      <w:pPr>
        <w:ind w:right="200" w:firstLine="509"/>
        <w:spacing w:after="0" w:line="265" w:lineRule="auto"/>
        <w:rPr>
          <w:sz w:val="20"/>
          <w:szCs w:val="20"/>
          <w:color w:val="auto"/>
        </w:rPr>
      </w:pPr>
      <w:r>
        <w:rPr>
          <w:rFonts w:ascii="Arial" w:cs="Arial" w:eastAsia="Arial" w:hAnsi="Arial"/>
          <w:sz w:val="18"/>
          <w:szCs w:val="18"/>
          <w:b w:val="1"/>
          <w:bCs w:val="1"/>
          <w:color w:val="auto"/>
        </w:rPr>
        <w:t xml:space="preserve">Other Costs Classified to Discontinued Operations </w:t>
      </w:r>
      <w:r>
        <w:rPr>
          <w:rFonts w:ascii="Arial" w:cs="Arial" w:eastAsia="Arial" w:hAnsi="Arial"/>
          <w:sz w:val="18"/>
          <w:szCs w:val="18"/>
          <w:color w:val="auto"/>
        </w:rPr>
        <w:t>– During the year ended December 31, 2021, we incurred $1.5 million of additional costs</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of the gain on sale, stock-based compensation expense noted above and income tax benefit) primarily due to employer-paid taxes arising from the exercise of stock options by former employees then employed by Intelsat.</w:t>
      </w:r>
    </w:p>
    <w:p>
      <w:pPr>
        <w:spacing w:after="0" w:line="69"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b w:val="1"/>
          <w:bCs w:val="1"/>
          <w:color w:val="auto"/>
        </w:rPr>
        <w:t xml:space="preserve">Change in Estimates </w:t>
      </w:r>
      <w:r>
        <w:rPr>
          <w:rFonts w:ascii="Arial" w:cs="Arial" w:eastAsia="Arial" w:hAnsi="Arial"/>
          <w:sz w:val="17"/>
          <w:szCs w:val="17"/>
          <w:color w:val="auto"/>
        </w:rPr>
        <w:t>– During the second quarter of 2020, our agreement with Delta Air Lines, Inc. (“Delta”) to provide 2Ku service on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Delta aircraft was amended to change the contract expiration date from February 2027 with respect to all aircraft to a staggered, fleet by fleet expiration schedule under which expiration dates will occur between November 2020 and July 2022 (the “Delta amendment”). As a result, the useful lives of the equipment installed on these fleets were shortened to align with the expiration dates in the amended agreement. The change in estimated useful lives resulted in approximately $41.0 million of accelerated depreciation during the year ended December 31, 2020. We ceased depreciating these assets and other depreciable assets included as part of discontinued operations when the CA business was classified as held for sale. Additionally, the amortization periods for the remaining deferred airborne lease incentives associated with the equipment installed on the 2Ku fleets were shortened to align with the new expiration dates, which resulted in approximately $42.0 million of accelerated amortization during the year ended December 31, 2020. Amortization of deferred airborne lease incentives is a reduction to cost of service revenue.</w:t>
      </w:r>
    </w:p>
    <w:p>
      <w:pPr>
        <w:spacing w:after="0" w:line="70" w:lineRule="exact"/>
        <w:rPr>
          <w:sz w:val="20"/>
          <w:szCs w:val="20"/>
          <w:color w:val="auto"/>
        </w:rPr>
      </w:pPr>
    </w:p>
    <w:p>
      <w:pPr>
        <w:ind w:right="100" w:firstLine="509"/>
        <w:spacing w:after="0" w:line="312" w:lineRule="auto"/>
        <w:rPr>
          <w:sz w:val="20"/>
          <w:szCs w:val="20"/>
          <w:color w:val="auto"/>
        </w:rPr>
      </w:pPr>
      <w:r>
        <w:rPr>
          <w:rFonts w:ascii="Arial" w:cs="Arial" w:eastAsia="Arial" w:hAnsi="Arial"/>
          <w:sz w:val="17"/>
          <w:szCs w:val="17"/>
          <w:b w:val="1"/>
          <w:bCs w:val="1"/>
          <w:color w:val="auto"/>
        </w:rPr>
        <w:t xml:space="preserve">Credit Losses </w:t>
      </w:r>
      <w:r>
        <w:rPr>
          <w:rFonts w:ascii="Arial" w:cs="Arial" w:eastAsia="Arial" w:hAnsi="Arial"/>
          <w:sz w:val="17"/>
          <w:szCs w:val="17"/>
          <w:color w:val="auto"/>
        </w:rPr>
        <w:t>– During the year ended December 31, 2020, we recorded $10.7 million of provisions for expected credit losses,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one international airline partner entering bankruptcy administration, while we had recoveries of approximately $0.6 million.</w:t>
      </w:r>
    </w:p>
    <w:p>
      <w:pPr>
        <w:spacing w:after="0" w:line="31"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b w:val="1"/>
          <w:bCs w:val="1"/>
          <w:color w:val="auto"/>
        </w:rPr>
        <w:t xml:space="preserve">Arrangements with Commercial Airlines </w:t>
      </w:r>
      <w:r>
        <w:rPr>
          <w:rFonts w:ascii="Arial" w:cs="Arial" w:eastAsia="Arial" w:hAnsi="Arial"/>
          <w:sz w:val="18"/>
          <w:szCs w:val="18"/>
          <w:color w:val="auto"/>
        </w:rPr>
        <w:t>– For our divested CA business, pursuant to contractual agreements with our airline partners, we placed</w:t>
      </w:r>
      <w:r>
        <w:rPr>
          <w:rFonts w:ascii="Arial" w:cs="Arial" w:eastAsia="Arial" w:hAnsi="Arial"/>
          <w:sz w:val="18"/>
          <w:szCs w:val="18"/>
          <w:b w:val="1"/>
          <w:bCs w:val="1"/>
          <w:color w:val="auto"/>
        </w:rPr>
        <w:t xml:space="preserve"> </w:t>
      </w:r>
      <w:r>
        <w:rPr>
          <w:rFonts w:ascii="Arial" w:cs="Arial" w:eastAsia="Arial" w:hAnsi="Arial"/>
          <w:sz w:val="18"/>
          <w:szCs w:val="18"/>
          <w:color w:val="auto"/>
        </w:rPr>
        <w:t>our equipment on commercial aircraft operated by the airlines in order to deliver our service to passengers on the aircraft. We had two types of commercial airline arrangements: turnkey and airline-directed. Under the airline-directed model, we transferred control of the equipment to the airline and therefore the airline was our customer in these transactions. Under the turnkey model, we had not transferred control of our equipment to our airline partner and, as a result, the airline passenger was deemed to be our customer. Transactions with our airline partners under the turnkey model were accounted for as an operating lease of space on an aircraft.</w:t>
      </w:r>
    </w:p>
    <w:p>
      <w:pPr>
        <w:spacing w:after="0" w:line="82"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We recognized $71.2 million for the year ended December 31, 2020 as a reduction to our cost of service revenue from the amortization of deferred airborne lease incentives.</w:t>
      </w:r>
    </w:p>
    <w:p>
      <w:pPr>
        <w:spacing w:after="0" w:line="62"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Under the turnkey model, the revenue share paid to our airline partners represented operating lease payments. These payments were deemed to be contingent rental payments as the payments due to each airline were based on a percentage of our CA service revenue generated from that airline’s passengers, which was unknown until realized. Therefore, we estimated the lease payments due to an airline at the commencement of our contract with such airline. This rental expense is included in cost of service revenue and is partially offset by the amortization of the deferred airborne lease incentives discussed above. Due to the accelerated amortization resulting from the Delta amendment and a significant reduction in revenue share as a result of COVID-19, the amortization of deferred airborne lease incentives exceeded our revenue share expense by $49.1 million for the year ended December 31, 2020.</w:t>
      </w:r>
    </w:p>
    <w:p>
      <w:pPr>
        <w:spacing w:after="0" w:line="81" w:lineRule="exact"/>
        <w:rPr>
          <w:sz w:val="20"/>
          <w:szCs w:val="20"/>
          <w:color w:val="auto"/>
        </w:rPr>
      </w:pPr>
    </w:p>
    <w:p>
      <w:pPr>
        <w:ind w:right="20" w:firstLine="509"/>
        <w:spacing w:after="0" w:line="297" w:lineRule="auto"/>
        <w:rPr>
          <w:sz w:val="20"/>
          <w:szCs w:val="20"/>
          <w:color w:val="auto"/>
        </w:rPr>
      </w:pPr>
      <w:r>
        <w:rPr>
          <w:rFonts w:ascii="Arial" w:cs="Arial" w:eastAsia="Arial" w:hAnsi="Arial"/>
          <w:sz w:val="16"/>
          <w:szCs w:val="16"/>
          <w:b w:val="1"/>
          <w:bCs w:val="1"/>
          <w:color w:val="auto"/>
        </w:rPr>
        <w:t xml:space="preserve">Asset Impairment </w:t>
      </w:r>
      <w:r>
        <w:rPr>
          <w:rFonts w:ascii="Arial" w:cs="Arial" w:eastAsia="Arial" w:hAnsi="Arial"/>
          <w:sz w:val="16"/>
          <w:szCs w:val="16"/>
          <w:color w:val="auto"/>
        </w:rPr>
        <w:t>– We reviewed our long-lived assets, including property and equipment, right-of-use assets, and other non-current assets, for</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impairment whenever events indicated that the carrying amount of such assets might not be recoverable. We performed this review by comparing the carrying value of the long-lived assets to the estimated future undiscounted cash flows expected to result from the use of the assets. We grouped certain long-lived assets by airline contract and by technology. If we determined that an impairment existed, the amount of the impairment was computed as the difference between the asset group’s carrying value and its estimated fair value, following which the assets were written down to their estimated fair values.</w:t>
      </w:r>
    </w:p>
    <w:p>
      <w:pPr>
        <w:spacing w:after="0" w:line="5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light of the COVID-19 pandemic and its impact on air travel, including decreased flights, decreased gross passenger opportunity and our airline partners’ temporary parking of a significant number of their aircraft, we conducted a review as of March 31, 2020 and determined that the carrying values for the asset groups related to three of our airline agreements for the CA business exceeded their estimated undiscounted cash flows, which triggered the need to estimate the fair value of these assets. Fair value reflects our best estimate of the discounted cash flows of the impaired assets. For the airborne assets and right-of-use assets associated with the three airline agreements (the “impaired assets”), we recorded an impairment charge of $46.4 million for the three-month period ended March 31, 2020, reflecting the difference between the carrying value and the estimated fair value of the impaired assets. We conducted another review as of June 30, 2020 due to the continuation of the COVID-19 pandemic as well as the signing of the Delta amendment and determined that $1.0 million of deferred STC costs was impaired due to the bankruptcy of three airline partners. As such, we recorded a $1.0 million charge for impairment of long-lived assets for the three-month period ended June 30, 2020. For the year ended December 31, 2020, charges recorded for impairments of long-lived assets totaled $47.4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We account for revenue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w:t>
      </w:r>
    </w:p>
    <w:p>
      <w:pPr>
        <w:spacing w:after="0" w:line="140"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CA’s airline-directed contracts contain multiple performance obligations, which primarily include the sale of equipment, installation services, connectivity services and entertainment services. For these contracts, we accounted for each distinct good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1" w:name="page92"/>
    <w:bookmarkEnd w:id="91"/>
    <w:p>
      <w:pPr>
        <w:ind w:right="100"/>
        <w:spacing w:after="0" w:line="279" w:lineRule="auto"/>
        <w:rPr>
          <w:sz w:val="20"/>
          <w:szCs w:val="20"/>
          <w:color w:val="auto"/>
        </w:rPr>
      </w:pPr>
      <w:r>
        <w:rPr>
          <w:rFonts w:ascii="Arial" w:cs="Arial" w:eastAsia="Arial" w:hAnsi="Arial"/>
          <w:sz w:val="17"/>
          <w:szCs w:val="17"/>
          <w:color w:val="auto"/>
        </w:rPr>
        <w:t>service as a separate performance obligation. We allocated the contract’s transaction price to each performance obligation using the relative standalone selling price, which was based on the actual selling price for any good or service sold separately to a similar class of customer, if available. To the extent a good or service was not sold separately, we used our best estimate of the standalone selling price and maximized the use of observable inputs. The primary method we used to estimate the standalone selling price was the expected cost-plus margin approach.</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contractual consideration used for allocation purposes includes connectivity and entertainment services, which may be based on a fixed monthly fee per aircraft or a variable fee based on the volume of connectivity activity, or a combination of both. Examples of variable consideration within CA’s airline contracts include megabyte overages and pay-per-use sessions.</w:t>
      </w:r>
    </w:p>
    <w:p>
      <w:pPr>
        <w:spacing w:after="0" w:line="75"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We constrained our estimates to reduce the probability of a significant revenue reversal in future periods, allocated variable consideration to the identified performance obligations and recognized revenue in the period the services were provided. Our estimates were based on historical experience, anticipated future performance, market conditions and our best judgment at the time. For 2020, our estimates included management’s best assumptions for the continued impact of COVID-19, which included decreased flights and gross passenger opportunity (“GPO”).</w:t>
      </w:r>
    </w:p>
    <w:p>
      <w:pPr>
        <w:spacing w:after="0" w:line="62"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A significant change in one or more of these estimates could have affected estimated contract value. For example, estimates of variable revenue within certain contracts required estimation of the number of sessions or megabytes that would be purchased over the contract term and the average revenue per connectivity session, which varies based on the connectivity options available to passengers on each airline. Estimated revenue under these contracts anticipated increases in take rates over time and assumed an average revenue per session consistent with our historical experience.</w:t>
      </w:r>
    </w:p>
    <w:p>
      <w:pPr>
        <w:spacing w:after="0" w:line="48"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We regularly reviewed and updated our estimates, especially in light of COVID-19, and recognized adjustments under the cumulative catch-up method. Any adjustments under this method were recorded as a cumulative adjustment in the period identified and revenue for future periods was recognized using the new adjusted estimate.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December 31, 2022 that are designed to provide reasonable assurance that information required to be disclosed in this report is recorded, processed, summarized and reported within required time periods. Based upon this evaluation, our Chief Executive Officer and the Chief Financial Officer have concluded that our disclosure controls and procedures were effective as of December 31, 2022.</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 management of Gogo Inc. is responsible for establishing and maintaining adequate internal control over financial reporting as defined in Rules 13a – 15(f) and 15d – 15(f) under the Securities Exchange Act of 1934. Gogo’s internal control over financial reporting is designed to provide reasonable assurance regarding the reliability of financial reporting and the preparation and fair presentation of its published financial statements in accordance with accounting principles generally accepted in the United States of America.</w:t>
      </w:r>
    </w:p>
    <w:p>
      <w:pPr>
        <w:spacing w:after="0" w:line="77" w:lineRule="exact"/>
        <w:rPr>
          <w:sz w:val="20"/>
          <w:szCs w:val="20"/>
          <w:color w:val="auto"/>
        </w:rPr>
      </w:pPr>
    </w:p>
    <w:p>
      <w:pPr>
        <w:ind w:right="440" w:firstLine="509"/>
        <w:spacing w:after="0" w:line="279" w:lineRule="auto"/>
        <w:rPr>
          <w:sz w:val="20"/>
          <w:szCs w:val="20"/>
          <w:color w:val="auto"/>
        </w:rPr>
      </w:pPr>
      <w:r>
        <w:rPr>
          <w:rFonts w:ascii="Arial" w:cs="Arial" w:eastAsia="Arial" w:hAnsi="Arial"/>
          <w:sz w:val="17"/>
          <w:szCs w:val="17"/>
          <w:color w:val="auto"/>
        </w:rPr>
        <w:t>The management of Gogo, with the participation of the Company’s Chief Executive Officer and Chief Financial Officer, have assessed the effectiveness of Gogo’s internal control over financial reporting as of December 31, 2022, based on the criteria set forth in Internal Control-Integrated Framework (2013 Framework) issued by the Committee of Sponsoring Organizations of the Treadway Commission. Based on our assessment, the Company’s management concluded that our internal control over financial reporting was effective as of December 31, 2022.</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Deloitte &amp; Touche LLP, the Company’s independent registered public accounting firm, has issued an attestation report on our internal control over financial reporting as of December 31, 2022, which report is included on Page 92 of this Annual Report on Form 10-K under the caption entitled “Report of Independent Registered Public Accounting Firm.”</w:t>
      </w:r>
    </w:p>
    <w:p>
      <w:pPr>
        <w:spacing w:after="0" w:line="7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to future periods are subject to risk that controls may become inadequate because of changes in conditions, or that the degree of compliance with the policies or procedures may deteriorate.</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21"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There have been no material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3" w:name="page94"/>
    <w:bookmarkEnd w:id="93"/>
    <w:p>
      <w:pPr>
        <w:ind w:right="5040"/>
        <w:spacing w:after="0" w:line="40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Gogo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Gogo Inc. and subsidiaries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6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28, 2023, expressed an unqualified opinion on those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300" w:firstLine="374"/>
        <w:spacing w:after="0" w:line="307" w:lineRule="auto"/>
        <w:rPr>
          <w:sz w:val="20"/>
          <w:szCs w:val="20"/>
          <w:color w:val="auto"/>
        </w:rPr>
      </w:pPr>
      <w:r>
        <w:rPr>
          <w:rFonts w:ascii="Arial" w:cs="Arial" w:eastAsia="Arial" w:hAnsi="Arial"/>
          <w:sz w:val="17"/>
          <w:szCs w:val="17"/>
          <w:color w:val="auto"/>
        </w:rPr>
        <w:t>The information required by this item is incorporated by reference to our Proxy Statement for the 2023 Annual Meeting of Stockholders to be filed with the Securities and Exchange Commission (“SEC”) within 120 days of the fiscal year ended December 31,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374"/>
        <w:spacing w:after="0" w:line="341" w:lineRule="auto"/>
        <w:rPr>
          <w:sz w:val="20"/>
          <w:szCs w:val="20"/>
          <w:color w:val="auto"/>
        </w:rPr>
      </w:pPr>
      <w:r>
        <w:rPr>
          <w:rFonts w:ascii="Arial" w:cs="Arial" w:eastAsia="Arial" w:hAnsi="Arial"/>
          <w:sz w:val="16"/>
          <w:szCs w:val="16"/>
          <w:color w:val="auto"/>
        </w:rPr>
        <w:t>Information appearing under the caption “Security Ownership of Certain Beneficial Owners and Management” in our Proxy Statement for the 2023 Annual Meeting of Stockholders to be filed with the SEC within 120 days of the fiscal year ended December 31, 2022 is incorporated herein by reference.</w:t>
      </w:r>
    </w:p>
    <w:p>
      <w:pPr>
        <w:spacing w:after="0" w:line="17" w:lineRule="exact"/>
        <w:rPr>
          <w:sz w:val="20"/>
          <w:szCs w:val="20"/>
          <w:color w:val="auto"/>
        </w:rPr>
      </w:pPr>
    </w:p>
    <w:p>
      <w:pPr>
        <w:ind w:firstLine="374"/>
        <w:spacing w:after="0" w:line="270" w:lineRule="auto"/>
        <w:rPr>
          <w:sz w:val="20"/>
          <w:szCs w:val="20"/>
          <w:color w:val="auto"/>
        </w:rPr>
      </w:pPr>
      <w:r>
        <w:rPr>
          <w:rFonts w:ascii="Arial" w:cs="Arial" w:eastAsia="Arial" w:hAnsi="Arial"/>
          <w:sz w:val="18"/>
          <w:szCs w:val="18"/>
          <w:color w:val="auto"/>
        </w:rPr>
        <w:t>The following table sets forth the number of shares of our common stock reserved for issuance under our equity compensation plans (which includes amounts for both continuing and discontinued operations) as of the end of 2022:</w:t>
      </w:r>
    </w:p>
    <w:tbl>
      <w:tblPr>
        <w:tblLayout w:type="fixed"/>
        <w:tblInd w:w="10" w:type="dxa"/>
        <w:tblCellMar>
          <w:top w:w="0" w:type="dxa"/>
          <w:left w:w="0" w:type="dxa"/>
          <w:bottom w:w="0" w:type="dxa"/>
          <w:right w:w="0" w:type="dxa"/>
        </w:tblCellMar>
      </w:tblPr>
      <w:tr>
        <w:trPr>
          <w:trHeight w:val="113"/>
        </w:trPr>
        <w:tc>
          <w:tcPr>
            <w:tcW w:w="3640" w:type="dxa"/>
            <w:vAlign w:val="bottom"/>
            <w:tcBorders>
              <w:top w:val="single" w:sz="8" w:color="auto"/>
              <w:left w:val="single" w:sz="8" w:color="auto"/>
            </w:tcBorders>
          </w:tcPr>
          <w:p>
            <w:pPr>
              <w:spacing w:after="0"/>
              <w:rPr>
                <w:sz w:val="9"/>
                <w:szCs w:val="9"/>
                <w:color w:val="auto"/>
              </w:rPr>
            </w:pPr>
          </w:p>
        </w:tc>
        <w:tc>
          <w:tcPr>
            <w:tcW w:w="2900" w:type="dxa"/>
            <w:vAlign w:val="bottom"/>
            <w:tcBorders>
              <w:top w:val="single" w:sz="8" w:color="auto"/>
            </w:tcBorders>
          </w:tcPr>
          <w:p>
            <w:pPr>
              <w:spacing w:after="0"/>
              <w:rPr>
                <w:sz w:val="9"/>
                <w:szCs w:val="9"/>
                <w:color w:val="auto"/>
              </w:rPr>
            </w:pPr>
          </w:p>
        </w:tc>
        <w:tc>
          <w:tcPr>
            <w:tcW w:w="2380" w:type="dxa"/>
            <w:vAlign w:val="bottom"/>
            <w:tcBorders>
              <w:top w:val="single" w:sz="8" w:color="auto"/>
            </w:tcBorders>
          </w:tcPr>
          <w:p>
            <w:pPr>
              <w:spacing w:after="0"/>
              <w:rPr>
                <w:sz w:val="9"/>
                <w:szCs w:val="9"/>
                <w:color w:val="auto"/>
              </w:rPr>
            </w:pPr>
          </w:p>
        </w:tc>
        <w:tc>
          <w:tcPr>
            <w:tcW w:w="2320" w:type="dxa"/>
            <w:vAlign w:val="bottom"/>
            <w:tcBorders>
              <w:top w:val="single" w:sz="8" w:color="auto"/>
              <w:right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9"/>
              </w:rPr>
              <w:t>Number of securities remaining</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tcPr>
          <w:p>
            <w:pPr>
              <w:spacing w:after="0"/>
              <w:rPr>
                <w:sz w:val="12"/>
                <w:szCs w:val="12"/>
                <w:color w:val="auto"/>
              </w:rPr>
            </w:pPr>
          </w:p>
        </w:tc>
        <w:tc>
          <w:tcPr>
            <w:tcW w:w="2900" w:type="dxa"/>
            <w:vAlign w:val="bottom"/>
            <w:vMerge w:val="restart"/>
          </w:tcPr>
          <w:p>
            <w:pPr>
              <w:jc w:val="center"/>
              <w:ind w:left="360"/>
              <w:spacing w:after="0"/>
              <w:rPr>
                <w:sz w:val="20"/>
                <w:szCs w:val="20"/>
                <w:color w:val="auto"/>
              </w:rPr>
            </w:pPr>
            <w:r>
              <w:rPr>
                <w:rFonts w:ascii="Arial" w:cs="Arial" w:eastAsia="Arial" w:hAnsi="Arial"/>
                <w:sz w:val="14"/>
                <w:szCs w:val="14"/>
                <w:b w:val="1"/>
                <w:bCs w:val="1"/>
                <w:color w:val="auto"/>
                <w:w w:val="89"/>
              </w:rPr>
              <w:t>Number of securities to be issued</w:t>
            </w: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Weighted average exercise price of</w:t>
            </w:r>
          </w:p>
        </w:tc>
        <w:tc>
          <w:tcPr>
            <w:tcW w:w="2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 under</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tcPr>
          <w:p>
            <w:pPr>
              <w:spacing w:after="0"/>
              <w:rPr>
                <w:sz w:val="12"/>
                <w:szCs w:val="12"/>
                <w:color w:val="auto"/>
              </w:rPr>
            </w:pPr>
          </w:p>
        </w:tc>
        <w:tc>
          <w:tcPr>
            <w:tcW w:w="290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2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vMerge w:val="restart"/>
          </w:tcPr>
          <w:p>
            <w:pPr>
              <w:ind w:left="1580"/>
              <w:spacing w:after="0"/>
              <w:rPr>
                <w:sz w:val="20"/>
                <w:szCs w:val="20"/>
                <w:color w:val="auto"/>
              </w:rPr>
            </w:pPr>
            <w:r>
              <w:rPr>
                <w:rFonts w:ascii="Arial" w:cs="Arial" w:eastAsia="Arial" w:hAnsi="Arial"/>
                <w:sz w:val="14"/>
                <w:szCs w:val="14"/>
                <w:b w:val="1"/>
                <w:bCs w:val="1"/>
                <w:color w:val="auto"/>
              </w:rPr>
              <w:t>Plan Category</w:t>
            </w:r>
          </w:p>
        </w:tc>
        <w:tc>
          <w:tcPr>
            <w:tcW w:w="2900" w:type="dxa"/>
            <w:vAlign w:val="bottom"/>
          </w:tcPr>
          <w:p>
            <w:pPr>
              <w:jc w:val="center"/>
              <w:ind w:left="360"/>
              <w:spacing w:after="0" w:line="149" w:lineRule="exact"/>
              <w:rPr>
                <w:sz w:val="20"/>
                <w:szCs w:val="20"/>
                <w:color w:val="auto"/>
              </w:rPr>
            </w:pPr>
            <w:r>
              <w:rPr>
                <w:rFonts w:ascii="Arial" w:cs="Arial" w:eastAsia="Arial" w:hAnsi="Arial"/>
                <w:sz w:val="14"/>
                <w:szCs w:val="14"/>
                <w:b w:val="1"/>
                <w:bCs w:val="1"/>
                <w:color w:val="auto"/>
                <w:w w:val="89"/>
              </w:rPr>
              <w:t>upon exercise of outstanding</w:t>
            </w: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 warrants and</w:t>
            </w:r>
          </w:p>
        </w:tc>
        <w:tc>
          <w:tcPr>
            <w:tcW w:w="2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 securities reflected</w:t>
            </w:r>
          </w:p>
        </w:tc>
        <w:tc>
          <w:tcPr>
            <w:tcW w:w="0" w:type="dxa"/>
            <w:vAlign w:val="bottom"/>
          </w:tcPr>
          <w:p>
            <w:pPr>
              <w:spacing w:after="0"/>
              <w:rPr>
                <w:sz w:val="1"/>
                <w:szCs w:val="1"/>
                <w:color w:val="auto"/>
              </w:rPr>
            </w:pPr>
          </w:p>
        </w:tc>
      </w:tr>
      <w:tr>
        <w:trPr>
          <w:trHeight w:val="175"/>
        </w:trPr>
        <w:tc>
          <w:tcPr>
            <w:tcW w:w="3640" w:type="dxa"/>
            <w:vAlign w:val="bottom"/>
            <w:tcBorders>
              <w:left w:val="single" w:sz="8" w:color="auto"/>
            </w:tcBorders>
            <w:vMerge w:val="continue"/>
          </w:tcPr>
          <w:p>
            <w:pPr>
              <w:spacing w:after="0"/>
              <w:rPr>
                <w:sz w:val="15"/>
                <w:szCs w:val="15"/>
                <w:color w:val="auto"/>
              </w:rPr>
            </w:pPr>
          </w:p>
        </w:tc>
        <w:tc>
          <w:tcPr>
            <w:tcW w:w="2900" w:type="dxa"/>
            <w:vAlign w:val="bottom"/>
          </w:tcPr>
          <w:p>
            <w:pPr>
              <w:jc w:val="center"/>
              <w:ind w:left="400"/>
              <w:spacing w:after="0"/>
              <w:rPr>
                <w:sz w:val="20"/>
                <w:szCs w:val="20"/>
                <w:color w:val="auto"/>
              </w:rPr>
            </w:pPr>
            <w:r>
              <w:rPr>
                <w:rFonts w:ascii="Arial" w:cs="Arial" w:eastAsia="Arial" w:hAnsi="Arial"/>
                <w:sz w:val="14"/>
                <w:szCs w:val="14"/>
                <w:b w:val="1"/>
                <w:bCs w:val="1"/>
                <w:color w:val="auto"/>
                <w:w w:val="92"/>
              </w:rPr>
              <w:t>options, warrants and rights (#)</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3"/>
              </w:rPr>
              <w:t>rights ($)</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85"/>
        </w:trPr>
        <w:tc>
          <w:tcPr>
            <w:tcW w:w="3640" w:type="dxa"/>
            <w:vAlign w:val="bottom"/>
            <w:tcBorders>
              <w:left w:val="single" w:sz="8" w:color="auto"/>
            </w:tcBorders>
          </w:tcPr>
          <w:p>
            <w:pPr>
              <w:spacing w:after="0"/>
              <w:rPr>
                <w:sz w:val="16"/>
                <w:szCs w:val="16"/>
                <w:color w:val="auto"/>
              </w:rPr>
            </w:pPr>
          </w:p>
        </w:tc>
        <w:tc>
          <w:tcPr>
            <w:tcW w:w="2900" w:type="dxa"/>
            <w:vAlign w:val="bottom"/>
          </w:tcPr>
          <w:p>
            <w:pPr>
              <w:jc w:val="center"/>
              <w:ind w:left="400"/>
              <w:spacing w:after="0"/>
              <w:rPr>
                <w:sz w:val="20"/>
                <w:szCs w:val="20"/>
                <w:color w:val="auto"/>
              </w:rPr>
            </w:pPr>
            <w:r>
              <w:rPr>
                <w:rFonts w:ascii="Arial" w:cs="Arial" w:eastAsia="Arial" w:hAnsi="Arial"/>
                <w:sz w:val="14"/>
                <w:szCs w:val="14"/>
                <w:b w:val="1"/>
                <w:bCs w:val="1"/>
                <w:color w:val="auto"/>
              </w:rPr>
              <w:t>(a)</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320" w:type="dxa"/>
            <w:vAlign w:val="bottom"/>
            <w:tcBorders>
              <w:right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5"/>
        </w:trPr>
        <w:tc>
          <w:tcPr>
            <w:tcW w:w="3640" w:type="dxa"/>
            <w:vAlign w:val="bottom"/>
            <w:tcBorders>
              <w:left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Equity compensation plans approved by</w:t>
            </w:r>
          </w:p>
        </w:tc>
        <w:tc>
          <w:tcPr>
            <w:tcW w:w="2900" w:type="dxa"/>
            <w:vAlign w:val="bottom"/>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 xml:space="preserve">8,425,904 </w:t>
            </w:r>
            <w:r>
              <w:rPr>
                <w:rFonts w:ascii="Arial" w:cs="Arial" w:eastAsia="Arial" w:hAnsi="Arial"/>
                <w:sz w:val="24"/>
                <w:szCs w:val="24"/>
                <w:color w:val="auto"/>
                <w:vertAlign w:val="superscript"/>
              </w:rPr>
              <w:t>(1)</w:t>
            </w:r>
          </w:p>
        </w:tc>
        <w:tc>
          <w:tcPr>
            <w:tcW w:w="2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 xml:space="preserve">4.36 </w:t>
            </w:r>
            <w:r>
              <w:rPr>
                <w:rFonts w:ascii="Arial" w:cs="Arial" w:eastAsia="Arial" w:hAnsi="Arial"/>
                <w:sz w:val="24"/>
                <w:szCs w:val="24"/>
                <w:color w:val="auto"/>
                <w:vertAlign w:val="superscript"/>
              </w:rPr>
              <w:t>(2)</w:t>
            </w:r>
          </w:p>
        </w:tc>
        <w:tc>
          <w:tcPr>
            <w:tcW w:w="2320" w:type="dxa"/>
            <w:vAlign w:val="bottom"/>
            <w:tcBorders>
              <w:right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 xml:space="preserve">7,655,677 </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244"/>
        </w:trPr>
        <w:tc>
          <w:tcPr>
            <w:tcW w:w="3640" w:type="dxa"/>
            <w:vAlign w:val="bottom"/>
            <w:tcBorders>
              <w:left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security holders</w:t>
            </w:r>
          </w:p>
        </w:tc>
        <w:tc>
          <w:tcPr>
            <w:tcW w:w="2900" w:type="dxa"/>
            <w:vAlign w:val="bottom"/>
            <w:tcBorders>
              <w:bottom w:val="single" w:sz="8" w:color="auto"/>
            </w:tcBorders>
            <w:vMerge w:val="continue"/>
            <w:shd w:val="clear" w:color="auto" w:fill="CFF0FC"/>
          </w:tcPr>
          <w:p>
            <w:pPr>
              <w:spacing w:after="0"/>
              <w:rPr>
                <w:sz w:val="21"/>
                <w:szCs w:val="21"/>
                <w:color w:val="auto"/>
              </w:rPr>
            </w:pPr>
          </w:p>
        </w:tc>
        <w:tc>
          <w:tcPr>
            <w:tcW w:w="2380" w:type="dxa"/>
            <w:vAlign w:val="bottom"/>
            <w:tcBorders>
              <w:bottom w:val="single" w:sz="8" w:color="auto"/>
            </w:tcBorders>
            <w:vMerge w:val="continue"/>
            <w:shd w:val="clear" w:color="auto" w:fill="CFF0FC"/>
          </w:tcPr>
          <w:p>
            <w:pPr>
              <w:spacing w:after="0"/>
              <w:rPr>
                <w:sz w:val="21"/>
                <w:szCs w:val="21"/>
                <w:color w:val="auto"/>
              </w:rPr>
            </w:pPr>
          </w:p>
        </w:tc>
        <w:tc>
          <w:tcPr>
            <w:tcW w:w="2320" w:type="dxa"/>
            <w:vAlign w:val="bottom"/>
            <w:tcBorders>
              <w:bottom w:val="single" w:sz="8" w:color="auto"/>
              <w:right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6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Equity compensation plans not approved</w:t>
            </w:r>
          </w:p>
        </w:tc>
        <w:tc>
          <w:tcPr>
            <w:tcW w:w="29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by security holders</w:t>
            </w:r>
          </w:p>
        </w:tc>
        <w:tc>
          <w:tcPr>
            <w:tcW w:w="29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N/A</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8"/>
        </w:trPr>
        <w:tc>
          <w:tcPr>
            <w:tcW w:w="3640" w:type="dxa"/>
            <w:vAlign w:val="bottom"/>
            <w:tcBorders>
              <w:left w:val="single" w:sz="8" w:color="auto"/>
              <w:bottom w:val="single" w:sz="8" w:color="auto"/>
            </w:tcBorders>
            <w:shd w:val="clear" w:color="auto" w:fill="CFF0FC"/>
          </w:tcPr>
          <w:p>
            <w:pPr>
              <w:ind w:left="220"/>
              <w:spacing w:after="0"/>
              <w:rPr>
                <w:sz w:val="20"/>
                <w:szCs w:val="20"/>
                <w:color w:val="auto"/>
              </w:rPr>
            </w:pPr>
            <w:r>
              <w:rPr>
                <w:rFonts w:ascii="Arial" w:cs="Arial" w:eastAsia="Arial" w:hAnsi="Arial"/>
                <w:sz w:val="18"/>
                <w:szCs w:val="18"/>
                <w:b w:val="1"/>
                <w:bCs w:val="1"/>
                <w:color w:val="auto"/>
              </w:rPr>
              <w:t>Total</w:t>
            </w:r>
          </w:p>
        </w:tc>
        <w:tc>
          <w:tcPr>
            <w:tcW w:w="29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8"/>
                <w:szCs w:val="18"/>
                <w:color w:val="auto"/>
              </w:rPr>
              <w:t>8,425,904</w:t>
            </w:r>
          </w:p>
        </w:tc>
        <w:tc>
          <w:tcPr>
            <w:tcW w:w="23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4.36</w:t>
            </w:r>
          </w:p>
        </w:tc>
        <w:tc>
          <w:tcPr>
            <w:tcW w:w="2320" w:type="dxa"/>
            <w:vAlign w:val="bottom"/>
            <w:tcBorders>
              <w:bottom w:val="single" w:sz="8" w:color="auto"/>
              <w:right w:val="single" w:sz="8" w:color="auto"/>
            </w:tcBorders>
            <w:shd w:val="clear" w:color="auto" w:fill="CFF0FC"/>
          </w:tcPr>
          <w:p>
            <w:pPr>
              <w:jc w:val="right"/>
              <w:ind w:right="3"/>
              <w:spacing w:after="0"/>
              <w:rPr>
                <w:sz w:val="20"/>
                <w:szCs w:val="20"/>
                <w:color w:val="auto"/>
              </w:rPr>
            </w:pPr>
            <w:r>
              <w:rPr>
                <w:rFonts w:ascii="Arial" w:cs="Arial" w:eastAsia="Arial" w:hAnsi="Arial"/>
                <w:sz w:val="18"/>
                <w:szCs w:val="18"/>
                <w:color w:val="auto"/>
              </w:rPr>
              <w:t>7,655,677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number of shares associated with options, RSUs and DSUs outstanding as of December 31, 2022.</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the 4,012,761 options disclosed in column (a).</w:t>
      </w:r>
    </w:p>
    <w:p>
      <w:pPr>
        <w:spacing w:after="0" w:line="8" w:lineRule="exact"/>
        <w:rPr>
          <w:rFonts w:ascii="Arial" w:cs="Arial" w:eastAsia="Arial" w:hAnsi="Arial"/>
          <w:sz w:val="18"/>
          <w:szCs w:val="18"/>
          <w:color w:val="auto"/>
        </w:rPr>
      </w:pPr>
    </w:p>
    <w:p>
      <w:pPr>
        <w:ind w:left="520" w:right="40" w:hanging="512"/>
        <w:spacing w:after="0" w:line="253"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number of shares remaining available for future issuance under our Second Amended and Restated 2016 Omnibus Incentive Plan (6,939,571 shares), 2013 Omnibus Incentive Plan (2,015 shares) and ESPP (714,091 shares). Of this number, only 4,787,000 shares are available for issuance with respect to RSUs, DSUs and other awards based on the full value of stock (rather than an increase in value) under the 2016 Omnibus Plan and 2013 Omnibus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1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filed the following documents as part of this Annual Report on Form 10-K:</w:t>
      </w:r>
    </w:p>
    <w:p>
      <w:pPr>
        <w:spacing w:after="0" w:line="117"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Page No.</w:t>
            </w:r>
          </w:p>
        </w:tc>
      </w:tr>
      <w:tr>
        <w:trPr>
          <w:trHeight w:val="189"/>
        </w:trPr>
        <w:tc>
          <w:tcPr>
            <w:tcW w:w="20" w:type="dxa"/>
            <w:vAlign w:val="bottom"/>
          </w:tcPr>
          <w:p>
            <w:pPr>
              <w:spacing w:after="0"/>
              <w:rPr>
                <w:sz w:val="16"/>
                <w:szCs w:val="16"/>
                <w:color w:val="auto"/>
              </w:rPr>
            </w:pPr>
          </w:p>
        </w:tc>
        <w:tc>
          <w:tcPr>
            <w:tcW w:w="4220" w:type="dxa"/>
            <w:vAlign w:val="bottom"/>
            <w:tcBorders>
              <w:bottom w:val="single" w:sz="8" w:color="0000FF"/>
            </w:tcBorders>
            <w:gridSpan w:val="8"/>
          </w:tcPr>
          <w:p>
            <w:pPr>
              <w:spacing w:after="0" w:line="189" w:lineRule="exact"/>
              <w:rPr>
                <w:sz w:val="20"/>
                <w:szCs w:val="20"/>
                <w:color w:val="auto"/>
              </w:rPr>
            </w:pPr>
            <w:r>
              <w:rPr>
                <w:rFonts w:ascii="Arial" w:cs="Arial" w:eastAsia="Arial" w:hAnsi="Arial"/>
                <w:sz w:val="18"/>
                <w:szCs w:val="18"/>
                <w:color w:val="0000FF"/>
                <w:w w:val="91"/>
              </w:rPr>
              <w:t>Report of Independent Registered Public Accounting Firm</w:t>
            </w:r>
          </w:p>
        </w:tc>
        <w:tc>
          <w:tcPr>
            <w:tcW w:w="6000" w:type="dxa"/>
            <w:vAlign w:val="bottom"/>
            <w:gridSpan w:val="2"/>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55</w:t>
            </w:r>
          </w:p>
        </w:tc>
      </w:tr>
      <w:tr>
        <w:trPr>
          <w:trHeight w:val="223"/>
        </w:trPr>
        <w:tc>
          <w:tcPr>
            <w:tcW w:w="20" w:type="dxa"/>
            <w:vAlign w:val="bottom"/>
          </w:tcPr>
          <w:p>
            <w:pPr>
              <w:spacing w:after="0"/>
              <w:rPr>
                <w:sz w:val="19"/>
                <w:szCs w:val="19"/>
                <w:color w:val="auto"/>
              </w:rPr>
            </w:pPr>
          </w:p>
        </w:tc>
        <w:tc>
          <w:tcPr>
            <w:tcW w:w="10220" w:type="dxa"/>
            <w:vAlign w:val="bottom"/>
            <w:gridSpan w:val="10"/>
          </w:tcPr>
          <w:p>
            <w:pPr>
              <w:spacing w:after="0"/>
              <w:rPr>
                <w:sz w:val="20"/>
                <w:szCs w:val="20"/>
                <w:color w:val="auto"/>
              </w:rPr>
            </w:pPr>
            <w:r>
              <w:rPr>
                <w:rFonts w:ascii="Arial" w:cs="Arial" w:eastAsia="Arial" w:hAnsi="Arial"/>
                <w:sz w:val="18"/>
                <w:szCs w:val="18"/>
                <w:color w:val="0000FF"/>
              </w:rPr>
              <w:t>Consolidated Balance Sheets</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Consolidated Statements of Operations</w:t>
            </w:r>
          </w:p>
        </w:tc>
        <w:tc>
          <w:tcPr>
            <w:tcW w:w="20" w:type="dxa"/>
            <w:vAlign w:val="bottom"/>
            <w:tcBorders>
              <w:bottom w:val="single" w:sz="8" w:color="0000EE"/>
            </w:tcBorders>
          </w:tcPr>
          <w:p>
            <w:pPr>
              <w:spacing w:after="0"/>
              <w:rPr>
                <w:sz w:val="19"/>
                <w:szCs w:val="19"/>
                <w:color w:val="auto"/>
              </w:rPr>
            </w:pPr>
          </w:p>
        </w:tc>
        <w:tc>
          <w:tcPr>
            <w:tcW w:w="7380" w:type="dxa"/>
            <w:vAlign w:val="bottom"/>
            <w:gridSpan w:val="6"/>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Consolidated Statements of Comprehensive Income (Loss)</w:t>
            </w:r>
          </w:p>
        </w:tc>
        <w:tc>
          <w:tcPr>
            <w:tcW w:w="59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20" w:type="dxa"/>
            <w:vAlign w:val="bottom"/>
          </w:tcPr>
          <w:p>
            <w:pPr>
              <w:spacing w:after="0"/>
              <w:rPr>
                <w:sz w:val="19"/>
                <w:szCs w:val="19"/>
                <w:color w:val="auto"/>
              </w:rPr>
            </w:pPr>
          </w:p>
        </w:tc>
        <w:tc>
          <w:tcPr>
            <w:tcW w:w="10220" w:type="dxa"/>
            <w:vAlign w:val="bottom"/>
            <w:gridSpan w:val="10"/>
          </w:tcPr>
          <w:p>
            <w:pPr>
              <w:spacing w:after="0"/>
              <w:rPr>
                <w:sz w:val="20"/>
                <w:szCs w:val="20"/>
                <w:color w:val="auto"/>
              </w:rPr>
            </w:pPr>
            <w:r>
              <w:rPr>
                <w:rFonts w:ascii="Arial" w:cs="Arial" w:eastAsia="Arial" w:hAnsi="Arial"/>
                <w:sz w:val="18"/>
                <w:szCs w:val="18"/>
                <w:color w:val="0000FF"/>
              </w:rPr>
              <w:t>Consolidated Statements of Cash Flows</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0" w:type="dxa"/>
            <w:vAlign w:val="bottom"/>
          </w:tcPr>
          <w:p>
            <w:pPr>
              <w:spacing w:after="0" w:line="20" w:lineRule="exact"/>
              <w:rPr>
                <w:sz w:val="1"/>
                <w:szCs w:val="1"/>
                <w:color w:val="auto"/>
              </w:rPr>
            </w:pPr>
          </w:p>
        </w:tc>
        <w:tc>
          <w:tcPr>
            <w:tcW w:w="288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20" w:type="dxa"/>
            <w:vAlign w:val="bottom"/>
            <w:gridSpan w:val="10"/>
          </w:tcPr>
          <w:p>
            <w:pPr>
              <w:spacing w:after="0"/>
              <w:rPr>
                <w:sz w:val="20"/>
                <w:szCs w:val="20"/>
                <w:color w:val="auto"/>
              </w:rPr>
            </w:pPr>
            <w:r>
              <w:rPr>
                <w:rFonts w:ascii="Arial" w:cs="Arial" w:eastAsia="Arial" w:hAnsi="Arial"/>
                <w:sz w:val="18"/>
                <w:szCs w:val="18"/>
                <w:color w:val="0000FF"/>
              </w:rPr>
              <w:t>Consolidated Statements of Stockholders’ Equity (Deficit)</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6020" w:type="dxa"/>
            <w:vAlign w:val="bottom"/>
            <w:gridSpan w:val="3"/>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58"/>
        </w:trPr>
        <w:tc>
          <w:tcPr>
            <w:tcW w:w="340" w:type="dxa"/>
            <w:vAlign w:val="bottom"/>
            <w:gridSpan w:val="2"/>
          </w:tcPr>
          <w:p>
            <w:pPr>
              <w:spacing w:after="0"/>
              <w:rPr>
                <w:sz w:val="20"/>
                <w:szCs w:val="20"/>
                <w:color w:val="auto"/>
              </w:rPr>
            </w:pPr>
            <w:r>
              <w:rPr>
                <w:rFonts w:ascii="Arial" w:cs="Arial" w:eastAsia="Arial" w:hAnsi="Arial"/>
                <w:sz w:val="18"/>
                <w:szCs w:val="18"/>
                <w:color w:val="auto"/>
              </w:rPr>
              <w:t>2.</w:t>
            </w:r>
          </w:p>
        </w:tc>
        <w:tc>
          <w:tcPr>
            <w:tcW w:w="9900" w:type="dxa"/>
            <w:vAlign w:val="bottom"/>
            <w:gridSpan w:val="9"/>
          </w:tcPr>
          <w:p>
            <w:pPr>
              <w:ind w:left="180"/>
              <w:spacing w:after="0"/>
              <w:rPr>
                <w:sz w:val="20"/>
                <w:szCs w:val="20"/>
                <w:color w:val="auto"/>
              </w:rPr>
            </w:pPr>
            <w:r>
              <w:rPr>
                <w:rFonts w:ascii="Arial" w:cs="Arial" w:eastAsia="Arial" w:hAnsi="Arial"/>
                <w:sz w:val="18"/>
                <w:szCs w:val="18"/>
                <w:color w:val="auto"/>
              </w:rPr>
              <w:t>Financial Statement Schedules:</w:t>
            </w:r>
          </w:p>
        </w:tc>
        <w:tc>
          <w:tcPr>
            <w:tcW w:w="1000" w:type="dxa"/>
            <w:vAlign w:val="bottom"/>
          </w:tcPr>
          <w:p>
            <w:pPr>
              <w:spacing w:after="0"/>
              <w:rPr>
                <w:sz w:val="24"/>
                <w:szCs w:val="24"/>
                <w:color w:val="auto"/>
              </w:rPr>
            </w:pPr>
          </w:p>
        </w:tc>
      </w:tr>
    </w:tbl>
    <w:p>
      <w:pPr>
        <w:spacing w:after="0" w:line="93"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All schedules have been omitted because they are not required, not applicable, not present in amounts sufficient to require submission of the schedule, or the required information is otherwise included.</w:t>
      </w:r>
    </w:p>
    <w:p>
      <w:pPr>
        <w:spacing w:after="0" w:line="62"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w:t>
            </w:r>
          </w:p>
        </w:tc>
        <w:tc>
          <w:tcPr>
            <w:tcW w:w="72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4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Number</w:t>
            </w:r>
          </w:p>
        </w:tc>
        <w:tc>
          <w:tcPr>
            <w:tcW w:w="9880" w:type="dxa"/>
            <w:vAlign w:val="bottom"/>
            <w:gridSpan w:val="32"/>
          </w:tcPr>
          <w:p>
            <w:pPr>
              <w:spacing w:after="0" w:line="195" w:lineRule="exact"/>
              <w:rPr>
                <w:sz w:val="20"/>
                <w:szCs w:val="20"/>
                <w:color w:val="auto"/>
              </w:rPr>
            </w:pPr>
            <w:r>
              <w:rPr>
                <w:rFonts w:ascii="Arial" w:cs="Arial" w:eastAsia="Arial" w:hAnsi="Arial"/>
                <w:sz w:val="18"/>
                <w:szCs w:val="18"/>
                <w:b w:val="1"/>
                <w:bCs w:val="1"/>
                <w:color w:val="auto"/>
              </w:rPr>
              <w:t>Description of Exhibits</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2.1**†</w:t>
            </w:r>
          </w:p>
        </w:tc>
        <w:tc>
          <w:tcPr>
            <w:tcW w:w="700" w:type="dxa"/>
            <w:vAlign w:val="bottom"/>
          </w:tcPr>
          <w:p>
            <w:pPr>
              <w:spacing w:after="0"/>
              <w:rPr>
                <w:sz w:val="19"/>
                <w:szCs w:val="19"/>
                <w:color w:val="auto"/>
              </w:rPr>
            </w:pPr>
          </w:p>
        </w:tc>
        <w:tc>
          <w:tcPr>
            <w:tcW w:w="9560" w:type="dxa"/>
            <w:vAlign w:val="bottom"/>
            <w:tcBorders>
              <w:bottom w:val="single" w:sz="8" w:color="0000FF"/>
            </w:tcBorders>
            <w:gridSpan w:val="23"/>
          </w:tcPr>
          <w:p>
            <w:pPr>
              <w:spacing w:after="0"/>
              <w:rPr>
                <w:rFonts w:ascii="Arial" w:cs="Arial" w:eastAsia="Arial" w:hAnsi="Arial"/>
                <w:sz w:val="18"/>
                <w:szCs w:val="18"/>
                <w:color w:val="0000FF"/>
                <w:w w:val="90"/>
              </w:rPr>
            </w:pPr>
            <w:hyperlink r:id="rId431">
              <w:r>
                <w:rPr>
                  <w:rFonts w:ascii="Arial" w:cs="Arial" w:eastAsia="Arial" w:hAnsi="Arial"/>
                  <w:sz w:val="18"/>
                  <w:szCs w:val="18"/>
                  <w:color w:val="0000FF"/>
                  <w:w w:val="90"/>
                </w:rPr>
                <w:t>Purchase and Sale Agreement by and among Gogo Inc. and Intelsat Jackson Holdings S.A., dated August 31, 2020 (incorporated by</w:t>
              </w:r>
            </w:hyperlink>
          </w:p>
        </w:tc>
        <w:tc>
          <w:tcPr>
            <w:tcW w:w="320" w:type="dxa"/>
            <w:vAlign w:val="bottom"/>
            <w:gridSpan w:val="9"/>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80" w:type="dxa"/>
            <w:vAlign w:val="bottom"/>
            <w:gridSpan w:val="32"/>
          </w:tcPr>
          <w:p>
            <w:pPr>
              <w:spacing w:after="0" w:line="195" w:lineRule="exact"/>
              <w:rPr>
                <w:rFonts w:ascii="Arial" w:cs="Arial" w:eastAsia="Arial" w:hAnsi="Arial"/>
                <w:sz w:val="18"/>
                <w:szCs w:val="18"/>
                <w:color w:val="0000FF"/>
              </w:rPr>
            </w:pPr>
            <w:hyperlink r:id="rId431">
              <w:r>
                <w:rPr>
                  <w:rFonts w:ascii="Arial" w:cs="Arial" w:eastAsia="Arial" w:hAnsi="Arial"/>
                  <w:sz w:val="18"/>
                  <w:szCs w:val="18"/>
                  <w:color w:val="0000FF"/>
                </w:rPr>
                <w:t>reference to Exhibit 2.1 to Form 8-K filed on September 1, 2020 (File No. 001-35975))</w:t>
              </w:r>
            </w:hyperlink>
          </w:p>
        </w:tc>
      </w:tr>
      <w:tr>
        <w:trPr>
          <w:trHeight w:val="20"/>
        </w:trPr>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540" w:type="dxa"/>
            <w:vAlign w:val="bottom"/>
            <w:tcBorders>
              <w:bottom w:val="single" w:sz="8" w:color="0000FF"/>
            </w:tcBorders>
            <w:gridSpan w:val="22"/>
          </w:tcPr>
          <w:p>
            <w:pPr>
              <w:spacing w:after="0"/>
              <w:rPr>
                <w:rFonts w:ascii="Arial" w:cs="Arial" w:eastAsia="Arial" w:hAnsi="Arial"/>
                <w:sz w:val="18"/>
                <w:szCs w:val="18"/>
                <w:color w:val="0000FF"/>
                <w:w w:val="92"/>
              </w:rPr>
            </w:pPr>
            <w:hyperlink r:id="rId432">
              <w:r>
                <w:rPr>
                  <w:rFonts w:ascii="Arial" w:cs="Arial" w:eastAsia="Arial" w:hAnsi="Arial"/>
                  <w:sz w:val="18"/>
                  <w:szCs w:val="18"/>
                  <w:color w:val="0000FF"/>
                  <w:w w:val="92"/>
                </w:rPr>
                <w:t>Third Amended and Restated Certificate of Incorporation (incorporated by reference to Exhibit 3.1 to Form 10-Q filed on August 7,</w:t>
              </w:r>
            </w:hyperlink>
          </w:p>
        </w:tc>
        <w:tc>
          <w:tcPr>
            <w:tcW w:w="340" w:type="dxa"/>
            <w:vAlign w:val="bottom"/>
            <w:gridSpan w:val="10"/>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80" w:type="dxa"/>
            <w:vAlign w:val="bottom"/>
            <w:gridSpan w:val="32"/>
          </w:tcPr>
          <w:p>
            <w:pPr>
              <w:spacing w:after="0" w:line="195" w:lineRule="exact"/>
              <w:rPr>
                <w:rFonts w:ascii="Arial" w:cs="Arial" w:eastAsia="Arial" w:hAnsi="Arial"/>
                <w:sz w:val="18"/>
                <w:szCs w:val="18"/>
                <w:color w:val="0000FF"/>
              </w:rPr>
            </w:pPr>
            <w:hyperlink r:id="rId432">
              <w:r>
                <w:rPr>
                  <w:rFonts w:ascii="Arial" w:cs="Arial" w:eastAsia="Arial" w:hAnsi="Arial"/>
                  <w:sz w:val="18"/>
                  <w:szCs w:val="18"/>
                  <w:color w:val="0000FF"/>
                </w:rPr>
                <w:t>2013 (File No. 001-35975))</w:t>
              </w:r>
            </w:hyperlink>
          </w:p>
        </w:tc>
      </w:tr>
      <w:tr>
        <w:trPr>
          <w:trHeight w:val="20"/>
        </w:trPr>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60" w:type="dxa"/>
            <w:vAlign w:val="bottom"/>
            <w:tcBorders>
              <w:bottom w:val="single" w:sz="8" w:color="0000FF"/>
            </w:tcBorders>
            <w:gridSpan w:val="28"/>
          </w:tcPr>
          <w:p>
            <w:pPr>
              <w:spacing w:after="0"/>
              <w:rPr>
                <w:rFonts w:ascii="Arial" w:cs="Arial" w:eastAsia="Arial" w:hAnsi="Arial"/>
                <w:sz w:val="18"/>
                <w:szCs w:val="18"/>
                <w:color w:val="0000FF"/>
                <w:w w:val="91"/>
              </w:rPr>
            </w:pPr>
            <w:hyperlink r:id="rId433">
              <w:r>
                <w:rPr>
                  <w:rFonts w:ascii="Arial" w:cs="Arial" w:eastAsia="Arial" w:hAnsi="Arial"/>
                  <w:sz w:val="18"/>
                  <w:szCs w:val="18"/>
                  <w:color w:val="0000FF"/>
                  <w:w w:val="91"/>
                </w:rPr>
                <w:t>Amended and Restated Bylaws (incorporated by reference to Exhibit 3.2 to Form 10-Q filed on August 7, 2013 (File No. 001-35975))</w:t>
              </w:r>
            </w:hyperlink>
          </w:p>
        </w:tc>
        <w:tc>
          <w:tcPr>
            <w:tcW w:w="220" w:type="dxa"/>
            <w:vAlign w:val="bottom"/>
            <w:gridSpan w:val="4"/>
          </w:tcPr>
          <w:p>
            <w:pPr>
              <w:spacing w:after="0"/>
              <w:rPr>
                <w:sz w:val="19"/>
                <w:szCs w:val="19"/>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560" w:type="dxa"/>
            <w:vAlign w:val="bottom"/>
            <w:tcBorders>
              <w:bottom w:val="single" w:sz="8" w:color="0000FF"/>
            </w:tcBorders>
            <w:gridSpan w:val="23"/>
          </w:tcPr>
          <w:p>
            <w:pPr>
              <w:spacing w:after="0"/>
              <w:rPr>
                <w:rFonts w:ascii="Arial" w:cs="Arial" w:eastAsia="Arial" w:hAnsi="Arial"/>
                <w:sz w:val="18"/>
                <w:szCs w:val="18"/>
                <w:color w:val="0000FF"/>
                <w:w w:val="91"/>
              </w:rPr>
            </w:pPr>
            <w:hyperlink r:id="rId434">
              <w:r>
                <w:rPr>
                  <w:rFonts w:ascii="Arial" w:cs="Arial" w:eastAsia="Arial" w:hAnsi="Arial"/>
                  <w:sz w:val="18"/>
                  <w:szCs w:val="18"/>
                  <w:color w:val="0000FF"/>
                  <w:w w:val="91"/>
                </w:rPr>
                <w:t>Certificate of Designations of Series A Preferred Stock of Gogo Inc., as filed with the Secretary of State of the State of Delaware on</w:t>
              </w:r>
            </w:hyperlink>
          </w:p>
        </w:tc>
        <w:tc>
          <w:tcPr>
            <w:tcW w:w="320" w:type="dxa"/>
            <w:vAlign w:val="bottom"/>
            <w:gridSpan w:val="9"/>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100" w:type="dxa"/>
            <w:vAlign w:val="bottom"/>
            <w:tcBorders>
              <w:bottom w:val="single" w:sz="8" w:color="0000FF"/>
            </w:tcBorders>
            <w:gridSpan w:val="17"/>
          </w:tcPr>
          <w:p>
            <w:pPr>
              <w:spacing w:after="0" w:line="195" w:lineRule="exact"/>
              <w:rPr>
                <w:rFonts w:ascii="Arial" w:cs="Arial" w:eastAsia="Arial" w:hAnsi="Arial"/>
                <w:sz w:val="18"/>
                <w:szCs w:val="18"/>
                <w:color w:val="0000FF"/>
                <w:w w:val="91"/>
              </w:rPr>
            </w:pPr>
            <w:hyperlink r:id="rId434">
              <w:r>
                <w:rPr>
                  <w:rFonts w:ascii="Arial" w:cs="Arial" w:eastAsia="Arial" w:hAnsi="Arial"/>
                  <w:sz w:val="18"/>
                  <w:szCs w:val="18"/>
                  <w:color w:val="0000FF"/>
                  <w:w w:val="91"/>
                </w:rPr>
                <w:t>September 23, 2020 (incorporated by reference to Exhibit 3.1 to Form 8-K filed on September 23, 2020 (File No. 001-35975))</w:t>
              </w:r>
            </w:hyperlink>
          </w:p>
        </w:tc>
        <w:tc>
          <w:tcPr>
            <w:tcW w:w="20" w:type="dxa"/>
            <w:vAlign w:val="bottom"/>
            <w:tcBorders>
              <w:bottom w:val="single" w:sz="8" w:color="0000EE"/>
            </w:tcBorders>
          </w:tcPr>
          <w:p>
            <w:pPr>
              <w:spacing w:after="0"/>
              <w:rPr>
                <w:sz w:val="17"/>
                <w:szCs w:val="17"/>
                <w:color w:val="auto"/>
              </w:rPr>
            </w:pPr>
          </w:p>
        </w:tc>
        <w:tc>
          <w:tcPr>
            <w:tcW w:w="760" w:type="dxa"/>
            <w:vAlign w:val="bottom"/>
            <w:gridSpan w:val="14"/>
          </w:tcPr>
          <w:p>
            <w:pPr>
              <w:spacing w:after="0"/>
              <w:rPr>
                <w:sz w:val="17"/>
                <w:szCs w:val="17"/>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80" w:type="dxa"/>
            <w:vAlign w:val="bottom"/>
            <w:tcBorders>
              <w:bottom w:val="single" w:sz="8" w:color="0000FF"/>
            </w:tcBorders>
            <w:gridSpan w:val="32"/>
          </w:tcPr>
          <w:p>
            <w:pPr>
              <w:spacing w:after="0"/>
              <w:rPr>
                <w:rFonts w:ascii="Arial" w:cs="Arial" w:eastAsia="Arial" w:hAnsi="Arial"/>
                <w:sz w:val="18"/>
                <w:szCs w:val="18"/>
                <w:color w:val="0000FF"/>
                <w:w w:val="92"/>
              </w:rPr>
            </w:pPr>
            <w:hyperlink r:id="rId435">
              <w:r>
                <w:rPr>
                  <w:rFonts w:ascii="Arial" w:cs="Arial" w:eastAsia="Arial" w:hAnsi="Arial"/>
                  <w:sz w:val="18"/>
                  <w:szCs w:val="18"/>
                  <w:color w:val="0000FF"/>
                  <w:w w:val="92"/>
                </w:rPr>
                <w:t>Form of Common Stock Certificate (incorporated by reference to Exhibit 4.1 to Gogo Inc. Registration Statement on Form S-1 (File No.</w:t>
              </w:r>
            </w:hyperlink>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Borders>
              <w:bottom w:val="single" w:sz="8" w:color="0000FF"/>
            </w:tcBorders>
            <w:gridSpan w:val="3"/>
          </w:tcPr>
          <w:p>
            <w:pPr>
              <w:spacing w:after="0" w:line="195" w:lineRule="exact"/>
              <w:rPr>
                <w:rFonts w:ascii="Arial" w:cs="Arial" w:eastAsia="Arial" w:hAnsi="Arial"/>
                <w:sz w:val="18"/>
                <w:szCs w:val="18"/>
                <w:color w:val="0000FF"/>
                <w:w w:val="90"/>
              </w:rPr>
            </w:pPr>
            <w:hyperlink r:id="rId435">
              <w:r>
                <w:rPr>
                  <w:rFonts w:ascii="Arial" w:cs="Arial" w:eastAsia="Arial" w:hAnsi="Arial"/>
                  <w:sz w:val="18"/>
                  <w:szCs w:val="18"/>
                  <w:color w:val="0000FF"/>
                  <w:w w:val="90"/>
                </w:rPr>
                <w:t>333-178727))</w:t>
              </w:r>
            </w:hyperlink>
          </w:p>
        </w:tc>
        <w:tc>
          <w:tcPr>
            <w:tcW w:w="20" w:type="dxa"/>
            <w:vAlign w:val="bottom"/>
            <w:tcBorders>
              <w:bottom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20" w:type="dxa"/>
            <w:vAlign w:val="bottom"/>
            <w:tcBorders>
              <w:bottom w:val="single" w:sz="8" w:color="0000FF"/>
            </w:tcBorders>
            <w:gridSpan w:val="18"/>
          </w:tcPr>
          <w:p>
            <w:pPr>
              <w:spacing w:after="0"/>
              <w:rPr>
                <w:rFonts w:ascii="Arial" w:cs="Arial" w:eastAsia="Arial" w:hAnsi="Arial"/>
                <w:sz w:val="18"/>
                <w:szCs w:val="18"/>
                <w:color w:val="0000FF"/>
                <w:w w:val="90"/>
              </w:rPr>
            </w:pPr>
            <w:hyperlink r:id="rId436">
              <w:r>
                <w:rPr>
                  <w:rFonts w:ascii="Arial" w:cs="Arial" w:eastAsia="Arial" w:hAnsi="Arial"/>
                  <w:sz w:val="18"/>
                  <w:szCs w:val="18"/>
                  <w:color w:val="0000FF"/>
                  <w:w w:val="90"/>
                </w:rPr>
                <w:t>Registration Rights Agreement, dated as of December 31, 2009, by and between AC Holdco Inc. and the Class A Holders, the</w:t>
              </w:r>
            </w:hyperlink>
          </w:p>
        </w:tc>
        <w:tc>
          <w:tcPr>
            <w:tcW w:w="760" w:type="dxa"/>
            <w:vAlign w:val="bottom"/>
            <w:gridSpan w:val="14"/>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80" w:type="dxa"/>
            <w:vAlign w:val="bottom"/>
            <w:tcBorders>
              <w:bottom w:val="single" w:sz="8" w:color="0000FF"/>
            </w:tcBorders>
            <w:gridSpan w:val="32"/>
          </w:tcPr>
          <w:p>
            <w:pPr>
              <w:spacing w:after="0" w:line="195" w:lineRule="exact"/>
              <w:rPr>
                <w:rFonts w:ascii="Arial" w:cs="Arial" w:eastAsia="Arial" w:hAnsi="Arial"/>
                <w:sz w:val="18"/>
                <w:szCs w:val="18"/>
                <w:color w:val="0000FF"/>
                <w:w w:val="90"/>
              </w:rPr>
            </w:pPr>
            <w:hyperlink r:id="rId436">
              <w:r>
                <w:rPr>
                  <w:rFonts w:ascii="Arial" w:cs="Arial" w:eastAsia="Arial" w:hAnsi="Arial"/>
                  <w:sz w:val="18"/>
                  <w:szCs w:val="18"/>
                  <w:color w:val="0000FF"/>
                  <w:w w:val="90"/>
                </w:rPr>
                <w:t>Ripplewood Investors, the Thorne Investors and the other investors named therein (incorporated by reference to Exhibit 4.3 to Gogo Inc.</w:t>
              </w:r>
            </w:hyperlink>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40" w:type="dxa"/>
            <w:vAlign w:val="bottom"/>
            <w:tcBorders>
              <w:bottom w:val="single" w:sz="8" w:color="0000FF"/>
            </w:tcBorders>
            <w:gridSpan w:val="9"/>
          </w:tcPr>
          <w:p>
            <w:pPr>
              <w:spacing w:after="0" w:line="195" w:lineRule="exact"/>
              <w:rPr>
                <w:rFonts w:ascii="Arial" w:cs="Arial" w:eastAsia="Arial" w:hAnsi="Arial"/>
                <w:sz w:val="18"/>
                <w:szCs w:val="18"/>
                <w:color w:val="0000FF"/>
                <w:w w:val="91"/>
              </w:rPr>
            </w:pPr>
            <w:hyperlink r:id="rId436">
              <w:r>
                <w:rPr>
                  <w:rFonts w:ascii="Arial" w:cs="Arial" w:eastAsia="Arial" w:hAnsi="Arial"/>
                  <w:sz w:val="18"/>
                  <w:szCs w:val="18"/>
                  <w:color w:val="0000FF"/>
                  <w:w w:val="91"/>
                </w:rPr>
                <w:t>Registration Statement on Form S-1 (File No. 333-178727))</w:t>
              </w:r>
            </w:hyperlink>
          </w:p>
        </w:tc>
        <w:tc>
          <w:tcPr>
            <w:tcW w:w="20" w:type="dxa"/>
            <w:vAlign w:val="bottom"/>
            <w:tcBorders>
              <w:bottom w:val="single" w:sz="8" w:color="0000EE"/>
            </w:tcBorders>
          </w:tcPr>
          <w:p>
            <w:pPr>
              <w:spacing w:after="0"/>
              <w:rPr>
                <w:sz w:val="17"/>
                <w:szCs w:val="17"/>
                <w:color w:val="auto"/>
              </w:rPr>
            </w:pPr>
          </w:p>
        </w:tc>
        <w:tc>
          <w:tcPr>
            <w:tcW w:w="5520" w:type="dxa"/>
            <w:vAlign w:val="bottom"/>
            <w:gridSpan w:val="22"/>
          </w:tcPr>
          <w:p>
            <w:pPr>
              <w:spacing w:after="0"/>
              <w:rPr>
                <w:sz w:val="17"/>
                <w:szCs w:val="17"/>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60" w:type="dxa"/>
            <w:vAlign w:val="bottom"/>
            <w:tcBorders>
              <w:bottom w:val="single" w:sz="8" w:color="0000FF"/>
            </w:tcBorders>
            <w:gridSpan w:val="31"/>
          </w:tcPr>
          <w:p>
            <w:pPr>
              <w:spacing w:after="0"/>
              <w:rPr>
                <w:rFonts w:ascii="Arial" w:cs="Arial" w:eastAsia="Arial" w:hAnsi="Arial"/>
                <w:sz w:val="18"/>
                <w:szCs w:val="18"/>
                <w:color w:val="0000FF"/>
                <w:w w:val="91"/>
              </w:rPr>
            </w:pPr>
            <w:hyperlink r:id="rId437">
              <w:r>
                <w:rPr>
                  <w:rFonts w:ascii="Arial" w:cs="Arial" w:eastAsia="Arial" w:hAnsi="Arial"/>
                  <w:sz w:val="18"/>
                  <w:szCs w:val="18"/>
                  <w:color w:val="0000FF"/>
                  <w:w w:val="91"/>
                </w:rPr>
                <w:t>Description of Capital Stock and Registered Securities (incorporated by reference to Exhibit 4.10 to Form 10-K filed on March 11, 2021</w:t>
              </w:r>
            </w:hyperlink>
          </w:p>
        </w:tc>
        <w:tc>
          <w:tcPr>
            <w:tcW w:w="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Borders>
              <w:bottom w:val="single" w:sz="8" w:color="0000EE"/>
            </w:tcBorders>
            <w:gridSpan w:val="5"/>
          </w:tcPr>
          <w:p>
            <w:pPr>
              <w:spacing w:after="0" w:line="195" w:lineRule="exact"/>
              <w:rPr>
                <w:rFonts w:ascii="Arial" w:cs="Arial" w:eastAsia="Arial" w:hAnsi="Arial"/>
                <w:sz w:val="18"/>
                <w:szCs w:val="18"/>
                <w:color w:val="0000FF"/>
                <w:w w:val="94"/>
              </w:rPr>
            </w:pPr>
            <w:hyperlink r:id="rId437">
              <w:r>
                <w:rPr>
                  <w:rFonts w:ascii="Arial" w:cs="Arial" w:eastAsia="Arial" w:hAnsi="Arial"/>
                  <w:sz w:val="18"/>
                  <w:szCs w:val="18"/>
                  <w:color w:val="0000FF"/>
                  <w:w w:val="94"/>
                </w:rPr>
                <w:t>(File No. 001-35975))</w:t>
              </w:r>
            </w:hyperlink>
          </w:p>
        </w:tc>
        <w:tc>
          <w:tcPr>
            <w:tcW w:w="8240" w:type="dxa"/>
            <w:vAlign w:val="bottom"/>
            <w:gridSpan w:val="27"/>
          </w:tcPr>
          <w:p>
            <w:pPr>
              <w:spacing w:after="0"/>
              <w:rPr>
                <w:sz w:val="17"/>
                <w:szCs w:val="17"/>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0" w:type="dxa"/>
            <w:vAlign w:val="bottom"/>
            <w:tcBorders>
              <w:bottom w:val="single" w:sz="8" w:color="0000FF"/>
            </w:tcBorders>
            <w:gridSpan w:val="29"/>
          </w:tcPr>
          <w:p>
            <w:pPr>
              <w:spacing w:after="0"/>
              <w:rPr>
                <w:rFonts w:ascii="Arial" w:cs="Arial" w:eastAsia="Arial" w:hAnsi="Arial"/>
                <w:sz w:val="18"/>
                <w:szCs w:val="18"/>
                <w:color w:val="0000FF"/>
                <w:w w:val="89"/>
              </w:rPr>
            </w:pPr>
            <w:hyperlink r:id="rId438">
              <w:r>
                <w:rPr>
                  <w:rFonts w:ascii="Arial" w:cs="Arial" w:eastAsia="Arial" w:hAnsi="Arial"/>
                  <w:sz w:val="18"/>
                  <w:szCs w:val="18"/>
                  <w:color w:val="0000FF"/>
                  <w:w w:val="89"/>
                </w:rPr>
                <w:t>Section 382 Rights Agreement, dated as of September 23, 2020, between Gogo Inc. and Computershare Trust Company, N.A., as rights</w:t>
              </w:r>
            </w:hyperlink>
          </w:p>
        </w:tc>
        <w:tc>
          <w:tcPr>
            <w:tcW w:w="80" w:type="dxa"/>
            <w:vAlign w:val="bottom"/>
            <w:gridSpan w:val="3"/>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80" w:type="dxa"/>
            <w:vAlign w:val="bottom"/>
            <w:gridSpan w:val="32"/>
          </w:tcPr>
          <w:p>
            <w:pPr>
              <w:spacing w:after="0" w:line="195" w:lineRule="exact"/>
              <w:rPr>
                <w:rFonts w:ascii="Arial" w:cs="Arial" w:eastAsia="Arial" w:hAnsi="Arial"/>
                <w:sz w:val="18"/>
                <w:szCs w:val="18"/>
                <w:color w:val="0000FF"/>
              </w:rPr>
            </w:pPr>
            <w:hyperlink r:id="rId438">
              <w:r>
                <w:rPr>
                  <w:rFonts w:ascii="Arial" w:cs="Arial" w:eastAsia="Arial" w:hAnsi="Arial"/>
                  <w:sz w:val="18"/>
                  <w:szCs w:val="18"/>
                  <w:color w:val="0000FF"/>
                </w:rPr>
                <w:t>agent (incorporated by reference to Exhibit 4.1 to Form 8-K filed on September 23, 2020 (File No. 001-35975))</w:t>
              </w:r>
            </w:hyperlink>
          </w:p>
        </w:tc>
      </w:tr>
      <w:tr>
        <w:trPr>
          <w:trHeight w:val="20"/>
        </w:trPr>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gridSpan w:val="6"/>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520" w:type="dxa"/>
            <w:vAlign w:val="bottom"/>
            <w:tcBorders>
              <w:bottom w:val="single" w:sz="8" w:color="0000FF"/>
            </w:tcBorders>
            <w:gridSpan w:val="21"/>
          </w:tcPr>
          <w:p>
            <w:pPr>
              <w:spacing w:after="0"/>
              <w:rPr>
                <w:rFonts w:ascii="Arial" w:cs="Arial" w:eastAsia="Arial" w:hAnsi="Arial"/>
                <w:sz w:val="18"/>
                <w:szCs w:val="18"/>
                <w:color w:val="0000FF"/>
                <w:w w:val="93"/>
              </w:rPr>
            </w:pPr>
            <w:hyperlink r:id="rId439">
              <w:r>
                <w:rPr>
                  <w:rFonts w:ascii="Arial" w:cs="Arial" w:eastAsia="Arial" w:hAnsi="Arial"/>
                  <w:sz w:val="18"/>
                  <w:szCs w:val="18"/>
                  <w:color w:val="0000FF"/>
                  <w:w w:val="93"/>
                </w:rPr>
                <w:t>Registration Rights Agreement, dated as of April 9, 2021, by and among Gogo Inc., Silver (XII) Holdings, LLC and Silver (Equity)</w:t>
              </w:r>
            </w:hyperlink>
          </w:p>
        </w:tc>
        <w:tc>
          <w:tcPr>
            <w:tcW w:w="360" w:type="dxa"/>
            <w:vAlign w:val="bottom"/>
            <w:gridSpan w:val="11"/>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320" w:type="dxa"/>
            <w:vAlign w:val="bottom"/>
            <w:tcBorders>
              <w:bottom w:val="single" w:sz="8" w:color="0000FF"/>
            </w:tcBorders>
            <w:gridSpan w:val="14"/>
          </w:tcPr>
          <w:p>
            <w:pPr>
              <w:spacing w:after="0" w:line="195" w:lineRule="exact"/>
              <w:rPr>
                <w:rFonts w:ascii="Arial" w:cs="Arial" w:eastAsia="Arial" w:hAnsi="Arial"/>
                <w:sz w:val="18"/>
                <w:szCs w:val="18"/>
                <w:color w:val="0000FF"/>
                <w:w w:val="93"/>
              </w:rPr>
            </w:pPr>
            <w:hyperlink r:id="rId439">
              <w:r>
                <w:rPr>
                  <w:rFonts w:ascii="Arial" w:cs="Arial" w:eastAsia="Arial" w:hAnsi="Arial"/>
                  <w:sz w:val="18"/>
                  <w:szCs w:val="18"/>
                  <w:color w:val="0000FF"/>
                  <w:w w:val="93"/>
                </w:rPr>
                <w:t>Holdings, LP (incorporated by reference to Exhibit 10.2 to Form 8-K filed on April 14, 2021 (File No. 001-35975))</w:t>
              </w:r>
            </w:hyperlink>
          </w:p>
        </w:tc>
        <w:tc>
          <w:tcPr>
            <w:tcW w:w="20" w:type="dxa"/>
            <w:vAlign w:val="bottom"/>
            <w:tcBorders>
              <w:bottom w:val="single" w:sz="8" w:color="0000EE"/>
            </w:tcBorders>
          </w:tcPr>
          <w:p>
            <w:pPr>
              <w:spacing w:after="0"/>
              <w:rPr>
                <w:sz w:val="17"/>
                <w:szCs w:val="17"/>
                <w:color w:val="auto"/>
              </w:rPr>
            </w:pPr>
          </w:p>
        </w:tc>
        <w:tc>
          <w:tcPr>
            <w:tcW w:w="1540" w:type="dxa"/>
            <w:vAlign w:val="bottom"/>
            <w:gridSpan w:val="17"/>
          </w:tcPr>
          <w:p>
            <w:pPr>
              <w:spacing w:after="0"/>
              <w:rPr>
                <w:sz w:val="17"/>
                <w:szCs w:val="17"/>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580" w:type="dxa"/>
            <w:vAlign w:val="bottom"/>
            <w:tcBorders>
              <w:bottom w:val="single" w:sz="8" w:color="0000FF"/>
            </w:tcBorders>
            <w:gridSpan w:val="24"/>
          </w:tcPr>
          <w:p>
            <w:pPr>
              <w:spacing w:after="0"/>
              <w:rPr>
                <w:rFonts w:ascii="Arial" w:cs="Arial" w:eastAsia="Arial" w:hAnsi="Arial"/>
                <w:sz w:val="18"/>
                <w:szCs w:val="18"/>
                <w:color w:val="0000FF"/>
                <w:w w:val="92"/>
              </w:rPr>
            </w:pPr>
            <w:hyperlink r:id="rId440">
              <w:r>
                <w:rPr>
                  <w:rFonts w:ascii="Arial" w:cs="Arial" w:eastAsia="Arial" w:hAnsi="Arial"/>
                  <w:sz w:val="18"/>
                  <w:szCs w:val="18"/>
                  <w:color w:val="0000FF"/>
                  <w:w w:val="92"/>
                </w:rPr>
                <w:t>Amendment to the Registration Rights Agreement, dated as of April 9, 2021, by and between Gogo Inc. (f/k/a AC HoldCo Inc.) and</w:t>
              </w:r>
            </w:hyperlink>
          </w:p>
        </w:tc>
        <w:tc>
          <w:tcPr>
            <w:tcW w:w="300" w:type="dxa"/>
            <w:vAlign w:val="bottom"/>
            <w:gridSpan w:val="8"/>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80" w:type="dxa"/>
            <w:vAlign w:val="bottom"/>
            <w:tcBorders>
              <w:bottom w:val="single" w:sz="8" w:color="0000FF"/>
            </w:tcBorders>
            <w:gridSpan w:val="19"/>
          </w:tcPr>
          <w:p>
            <w:pPr>
              <w:spacing w:after="0" w:line="195" w:lineRule="exact"/>
              <w:rPr>
                <w:rFonts w:ascii="Arial" w:cs="Arial" w:eastAsia="Arial" w:hAnsi="Arial"/>
                <w:sz w:val="18"/>
                <w:szCs w:val="18"/>
                <w:color w:val="0000FF"/>
                <w:w w:val="90"/>
              </w:rPr>
            </w:pPr>
            <w:hyperlink r:id="rId440">
              <w:r>
                <w:rPr>
                  <w:rFonts w:ascii="Arial" w:cs="Arial" w:eastAsia="Arial" w:hAnsi="Arial"/>
                  <w:sz w:val="18"/>
                  <w:szCs w:val="18"/>
                  <w:color w:val="0000FF"/>
                  <w:w w:val="90"/>
                </w:rPr>
                <w:t>Thorndale Farm Gogo, LLC (as assignee to the interests of the Thorne Investors, as defined therein) (incorporated by reference to</w:t>
              </w:r>
            </w:hyperlink>
          </w:p>
        </w:tc>
        <w:tc>
          <w:tcPr>
            <w:tcW w:w="500" w:type="dxa"/>
            <w:vAlign w:val="bottom"/>
            <w:gridSpan w:val="1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180" w:type="dxa"/>
            <w:vAlign w:val="bottom"/>
            <w:tcBorders>
              <w:bottom w:val="single" w:sz="8" w:color="0000FF"/>
            </w:tcBorders>
            <w:gridSpan w:val="11"/>
          </w:tcPr>
          <w:p>
            <w:pPr>
              <w:spacing w:after="0" w:line="195" w:lineRule="exact"/>
              <w:rPr>
                <w:rFonts w:ascii="Arial" w:cs="Arial" w:eastAsia="Arial" w:hAnsi="Arial"/>
                <w:sz w:val="18"/>
                <w:szCs w:val="18"/>
                <w:color w:val="0000FF"/>
                <w:w w:val="93"/>
              </w:rPr>
            </w:pPr>
            <w:hyperlink r:id="rId440">
              <w:r>
                <w:rPr>
                  <w:rFonts w:ascii="Arial" w:cs="Arial" w:eastAsia="Arial" w:hAnsi="Arial"/>
                  <w:sz w:val="18"/>
                  <w:szCs w:val="18"/>
                  <w:color w:val="0000FF"/>
                  <w:w w:val="93"/>
                </w:rPr>
                <w:t>Exhibit 10.3 to Form 8-K filed on April 14, 2021 (File No. 001-35975))</w:t>
              </w:r>
            </w:hyperlink>
          </w:p>
        </w:tc>
        <w:tc>
          <w:tcPr>
            <w:tcW w:w="4700" w:type="dxa"/>
            <w:vAlign w:val="bottom"/>
            <w:gridSpan w:val="21"/>
          </w:tcPr>
          <w:p>
            <w:pPr>
              <w:spacing w:after="0"/>
              <w:rPr>
                <w:sz w:val="17"/>
                <w:szCs w:val="17"/>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40" w:type="dxa"/>
            <w:vAlign w:val="bottom"/>
            <w:tcBorders>
              <w:bottom w:val="single" w:sz="8" w:color="0000FF"/>
            </w:tcBorders>
            <w:gridSpan w:val="30"/>
          </w:tcPr>
          <w:p>
            <w:pPr>
              <w:spacing w:after="0"/>
              <w:rPr>
                <w:rFonts w:ascii="Arial" w:cs="Arial" w:eastAsia="Arial" w:hAnsi="Arial"/>
                <w:sz w:val="18"/>
                <w:szCs w:val="18"/>
                <w:color w:val="0000FF"/>
                <w:w w:val="92"/>
              </w:rPr>
            </w:pPr>
            <w:hyperlink r:id="rId441">
              <w:r>
                <w:rPr>
                  <w:rFonts w:ascii="Arial" w:cs="Arial" w:eastAsia="Arial" w:hAnsi="Arial"/>
                  <w:sz w:val="18"/>
                  <w:szCs w:val="18"/>
                  <w:color w:val="0000FF"/>
                  <w:w w:val="92"/>
                </w:rPr>
                <w:t>Amendment to the Registration Rights Agreement, dated as of May 25, 2021, by and among Gogo Inc., Silver (XII) Holdings, LLC and</w:t>
              </w:r>
            </w:hyperlink>
          </w:p>
        </w:tc>
        <w:tc>
          <w:tcPr>
            <w:tcW w:w="40" w:type="dxa"/>
            <w:vAlign w:val="bottom"/>
            <w:gridSpan w:val="2"/>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80" w:type="dxa"/>
            <w:vAlign w:val="bottom"/>
            <w:gridSpan w:val="32"/>
          </w:tcPr>
          <w:p>
            <w:pPr>
              <w:spacing w:after="0" w:line="195" w:lineRule="exact"/>
              <w:rPr>
                <w:rFonts w:ascii="Arial" w:cs="Arial" w:eastAsia="Arial" w:hAnsi="Arial"/>
                <w:sz w:val="18"/>
                <w:szCs w:val="18"/>
                <w:color w:val="0000FF"/>
                <w:w w:val="96"/>
              </w:rPr>
            </w:pPr>
            <w:hyperlink r:id="rId441">
              <w:r>
                <w:rPr>
                  <w:rFonts w:ascii="Arial" w:cs="Arial" w:eastAsia="Arial" w:hAnsi="Arial"/>
                  <w:sz w:val="18"/>
                  <w:szCs w:val="18"/>
                  <w:color w:val="0000FF"/>
                  <w:w w:val="96"/>
                </w:rPr>
                <w:t>Silver (Equity) Holdings, LP (incorporated by reference to Exhibit 4.3 to Form 10-Q filed on August 5, 2021 (File No. 001-35975))</w:t>
              </w:r>
            </w:hyperlink>
          </w:p>
        </w:tc>
      </w:tr>
      <w:tr>
        <w:trPr>
          <w:trHeight w:val="20"/>
        </w:trPr>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gridSpan w:val="6"/>
            <w:shd w:val="clear" w:color="auto" w:fill="0000FF"/>
          </w:tcPr>
          <w:p>
            <w:pPr>
              <w:spacing w:after="0" w:line="20" w:lineRule="exact"/>
              <w:rPr>
                <w:sz w:val="1"/>
                <w:szCs w:val="1"/>
                <w:color w:val="auto"/>
              </w:rPr>
            </w:pPr>
          </w:p>
        </w:tc>
        <w:tc>
          <w:tcPr>
            <w:tcW w:w="6040" w:type="dxa"/>
            <w:vAlign w:val="bottom"/>
            <w:gridSpan w:val="8"/>
            <w:shd w:val="clear" w:color="auto" w:fill="0000FF"/>
          </w:tcPr>
          <w:p>
            <w:pPr>
              <w:spacing w:after="0" w:line="20" w:lineRule="exact"/>
              <w:rPr>
                <w:sz w:val="1"/>
                <w:szCs w:val="1"/>
                <w:color w:val="auto"/>
              </w:rPr>
            </w:pPr>
          </w:p>
        </w:tc>
        <w:tc>
          <w:tcPr>
            <w:tcW w:w="76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40" w:type="dxa"/>
            <w:vAlign w:val="bottom"/>
            <w:tcBorders>
              <w:bottom w:val="single" w:sz="8" w:color="0000FF"/>
            </w:tcBorders>
            <w:gridSpan w:val="27"/>
          </w:tcPr>
          <w:p>
            <w:pPr>
              <w:spacing w:after="0"/>
              <w:rPr>
                <w:rFonts w:ascii="Arial" w:cs="Arial" w:eastAsia="Arial" w:hAnsi="Arial"/>
                <w:sz w:val="18"/>
                <w:szCs w:val="18"/>
                <w:color w:val="0000FF"/>
                <w:w w:val="92"/>
              </w:rPr>
            </w:pPr>
            <w:hyperlink r:id="rId442">
              <w:r>
                <w:rPr>
                  <w:rFonts w:ascii="Arial" w:cs="Arial" w:eastAsia="Arial" w:hAnsi="Arial"/>
                  <w:sz w:val="18"/>
                  <w:szCs w:val="18"/>
                  <w:color w:val="0000FF"/>
                  <w:w w:val="92"/>
                </w:rPr>
                <w:t>Amendment No. 2 to the Registration Rights Agreement, dated as of March 2, 2022, by and among Gogo Inc., Silver (XII) Holdings,</w:t>
              </w:r>
            </w:hyperlink>
          </w:p>
        </w:tc>
        <w:tc>
          <w:tcPr>
            <w:tcW w:w="240" w:type="dxa"/>
            <w:vAlign w:val="bottom"/>
            <w:gridSpan w:val="5"/>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80" w:type="dxa"/>
            <w:vAlign w:val="bottom"/>
            <w:gridSpan w:val="32"/>
          </w:tcPr>
          <w:p>
            <w:pPr>
              <w:spacing w:after="0" w:line="195" w:lineRule="exact"/>
              <w:rPr>
                <w:rFonts w:ascii="Arial" w:cs="Arial" w:eastAsia="Arial" w:hAnsi="Arial"/>
                <w:sz w:val="18"/>
                <w:szCs w:val="18"/>
                <w:color w:val="0000FF"/>
                <w:w w:val="95"/>
              </w:rPr>
            </w:pPr>
            <w:hyperlink r:id="rId442">
              <w:r>
                <w:rPr>
                  <w:rFonts w:ascii="Arial" w:cs="Arial" w:eastAsia="Arial" w:hAnsi="Arial"/>
                  <w:sz w:val="18"/>
                  <w:szCs w:val="18"/>
                  <w:color w:val="0000FF"/>
                  <w:w w:val="95"/>
                </w:rPr>
                <w:t>LLC and Silver (Equity) Holdings LP (incorporated by reference to Exhibit 4.10 to Form 10-K filed on March 3, 2022 (File No. 001-</w:t>
              </w:r>
            </w:hyperlink>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5" w:lineRule="exact"/>
              <w:rPr>
                <w:rFonts w:ascii="Arial" w:cs="Arial" w:eastAsia="Arial" w:hAnsi="Arial"/>
                <w:sz w:val="18"/>
                <w:szCs w:val="18"/>
                <w:color w:val="0000FF"/>
                <w:w w:val="90"/>
              </w:rPr>
            </w:pPr>
            <w:hyperlink r:id="rId442">
              <w:r>
                <w:rPr>
                  <w:rFonts w:ascii="Arial" w:cs="Arial" w:eastAsia="Arial" w:hAnsi="Arial"/>
                  <w:sz w:val="18"/>
                  <w:szCs w:val="18"/>
                  <w:color w:val="0000FF"/>
                  <w:w w:val="90"/>
                </w:rPr>
                <w:t>35975)</w:t>
              </w:r>
              <w:r>
                <w:rPr>
                  <w:rFonts w:ascii="Arial" w:cs="Arial" w:eastAsia="Arial" w:hAnsi="Arial"/>
                  <w:sz w:val="18"/>
                  <w:szCs w:val="18"/>
                  <w:u w:val="single" w:color="auto"/>
                  <w:color w:val="0000FF"/>
                  <w:w w:val="90"/>
                </w:rPr>
                <w:t>)</w:t>
              </w:r>
            </w:hyperlink>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640" w:type="dxa"/>
            <w:vAlign w:val="bottom"/>
            <w:gridSpan w:val="2"/>
          </w:tcPr>
          <w:p>
            <w:pPr>
              <w:ind w:lef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2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0"/>
              </w:rPr>
              <w:t>Amendment No. 1 to Section 382 Rights Agreement, dated as of December 27, 2022, by and between Gogo Inc. and Computershare</w:t>
            </w:r>
          </w:p>
        </w:tc>
        <w:tc>
          <w:tcPr>
            <w:tcW w:w="260" w:type="dxa"/>
            <w:vAlign w:val="bottom"/>
            <w:gridSpan w:val="6"/>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80" w:type="dxa"/>
            <w:vAlign w:val="bottom"/>
            <w:gridSpan w:val="32"/>
          </w:tcPr>
          <w:p>
            <w:pPr>
              <w:spacing w:after="0" w:line="195" w:lineRule="exact"/>
              <w:rPr>
                <w:sz w:val="20"/>
                <w:szCs w:val="20"/>
                <w:color w:val="auto"/>
              </w:rPr>
            </w:pPr>
            <w:r>
              <w:rPr>
                <w:rFonts w:ascii="Arial" w:cs="Arial" w:eastAsia="Arial" w:hAnsi="Arial"/>
                <w:sz w:val="18"/>
                <w:szCs w:val="18"/>
                <w:color w:val="0000FF"/>
              </w:rPr>
              <w:t>Trust Company, N.A., as rights agent</w:t>
            </w:r>
          </w:p>
        </w:tc>
      </w:tr>
      <w:tr>
        <w:trPr>
          <w:trHeight w:val="20"/>
        </w:trPr>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700" w:type="dxa"/>
            <w:vAlign w:val="bottom"/>
            <w:tcBorders>
              <w:right w:val="single" w:sz="8" w:color="0000EE"/>
            </w:tcBorders>
            <w:gridSpan w:val="8"/>
            <w:shd w:val="clear" w:color="auto" w:fill="0000FF"/>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10.1.1†</w:t>
            </w:r>
          </w:p>
        </w:tc>
        <w:tc>
          <w:tcPr>
            <w:tcW w:w="9560" w:type="dxa"/>
            <w:vAlign w:val="bottom"/>
            <w:tcBorders>
              <w:bottom w:val="single" w:sz="8" w:color="0000FF"/>
            </w:tcBorders>
            <w:gridSpan w:val="23"/>
          </w:tcPr>
          <w:p>
            <w:pPr>
              <w:spacing w:after="0"/>
              <w:rPr>
                <w:rFonts w:ascii="Arial" w:cs="Arial" w:eastAsia="Arial" w:hAnsi="Arial"/>
                <w:sz w:val="18"/>
                <w:szCs w:val="18"/>
                <w:color w:val="0000FF"/>
                <w:w w:val="90"/>
              </w:rPr>
            </w:pPr>
            <w:hyperlink r:id="rId443">
              <w:r>
                <w:rPr>
                  <w:rFonts w:ascii="Arial" w:cs="Arial" w:eastAsia="Arial" w:hAnsi="Arial"/>
                  <w:sz w:val="18"/>
                  <w:szCs w:val="18"/>
                  <w:color w:val="0000FF"/>
                  <w:w w:val="90"/>
                </w:rPr>
                <w:t>Qualcomm Technologies, Inc. Master Software Agreement, dated June 13, 2018, by and between Qualcomm Technologies, Inc. and</w:t>
              </w:r>
            </w:hyperlink>
          </w:p>
        </w:tc>
        <w:tc>
          <w:tcPr>
            <w:tcW w:w="320" w:type="dxa"/>
            <w:vAlign w:val="bottom"/>
            <w:gridSpan w:val="9"/>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80" w:type="dxa"/>
            <w:vAlign w:val="bottom"/>
            <w:gridSpan w:val="32"/>
          </w:tcPr>
          <w:p>
            <w:pPr>
              <w:spacing w:after="0" w:line="195" w:lineRule="exact"/>
              <w:rPr>
                <w:rFonts w:ascii="Arial" w:cs="Arial" w:eastAsia="Arial" w:hAnsi="Arial"/>
                <w:sz w:val="18"/>
                <w:szCs w:val="18"/>
                <w:color w:val="0000FF"/>
              </w:rPr>
            </w:pPr>
            <w:hyperlink r:id="rId443">
              <w:r>
                <w:rPr>
                  <w:rFonts w:ascii="Arial" w:cs="Arial" w:eastAsia="Arial" w:hAnsi="Arial"/>
                  <w:sz w:val="18"/>
                  <w:szCs w:val="18"/>
                  <w:color w:val="0000FF"/>
                </w:rPr>
                <w:t>Gogo LLC (incorporated by reference to Exhibit 10.1.48 to Form 10-Q filed on November 6, 2018 (File No. 001-35975))</w:t>
              </w:r>
            </w:hyperlink>
          </w:p>
        </w:tc>
      </w:tr>
      <w:tr>
        <w:trPr>
          <w:trHeight w:val="4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80" w:type="dxa"/>
            <w:vAlign w:val="bottom"/>
            <w:tcBorders>
              <w:top w:val="single" w:sz="8" w:color="0000FF"/>
            </w:tcBorders>
            <w:gridSpan w:val="11"/>
          </w:tcPr>
          <w:p>
            <w:pPr>
              <w:ind w:left="4180"/>
              <w:spacing w:after="0"/>
              <w:rPr>
                <w:sz w:val="20"/>
                <w:szCs w:val="20"/>
                <w:color w:val="auto"/>
              </w:rPr>
            </w:pPr>
            <w:r>
              <w:rPr>
                <w:rFonts w:ascii="Arial" w:cs="Arial" w:eastAsia="Arial" w:hAnsi="Arial"/>
                <w:sz w:val="18"/>
                <w:szCs w:val="18"/>
                <w:color w:val="auto"/>
              </w:rPr>
              <w:t>95</w:t>
            </w:r>
          </w:p>
        </w:tc>
        <w:tc>
          <w:tcPr>
            <w:tcW w:w="1100" w:type="dxa"/>
            <w:vAlign w:val="bottom"/>
            <w:tcBorders>
              <w:top w:val="single" w:sz="8" w:color="0000FF"/>
            </w:tcBorders>
          </w:tcPr>
          <w:p>
            <w:pPr>
              <w:spacing w:after="0"/>
              <w:rPr>
                <w:sz w:val="24"/>
                <w:szCs w:val="24"/>
                <w:color w:val="auto"/>
              </w:rPr>
            </w:pPr>
          </w:p>
        </w:tc>
        <w:tc>
          <w:tcPr>
            <w:tcW w:w="1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360" w:type="dxa"/>
            <w:vAlign w:val="bottom"/>
          </w:tcPr>
          <w:p>
            <w:pPr>
              <w:ind w:left="20"/>
              <w:spacing w:after="0"/>
              <w:rPr>
                <w:sz w:val="20"/>
                <w:szCs w:val="20"/>
                <w:color w:val="auto"/>
              </w:rPr>
            </w:pPr>
            <w:r>
              <w:rPr>
                <w:rFonts w:ascii="Arial" w:cs="Arial" w:eastAsia="Arial" w:hAnsi="Arial"/>
                <w:sz w:val="18"/>
                <w:szCs w:val="18"/>
                <w:color w:val="auto"/>
              </w:rPr>
              <w:t>10.1.2†</w:t>
            </w:r>
          </w:p>
        </w:tc>
        <w:tc>
          <w:tcPr>
            <w:tcW w:w="9660" w:type="dxa"/>
            <w:vAlign w:val="bottom"/>
            <w:tcBorders>
              <w:bottom w:val="single" w:sz="8" w:color="0000FF"/>
            </w:tcBorders>
            <w:gridSpan w:val="27"/>
          </w:tcPr>
          <w:p>
            <w:pPr>
              <w:spacing w:after="0"/>
              <w:rPr>
                <w:rFonts w:ascii="Arial" w:cs="Arial" w:eastAsia="Arial" w:hAnsi="Arial"/>
                <w:sz w:val="18"/>
                <w:szCs w:val="18"/>
                <w:color w:val="0000FF"/>
                <w:w w:val="90"/>
              </w:rPr>
            </w:pPr>
            <w:hyperlink r:id="rId446">
              <w:r>
                <w:rPr>
                  <w:rFonts w:ascii="Arial" w:cs="Arial" w:eastAsia="Arial" w:hAnsi="Arial"/>
                  <w:sz w:val="18"/>
                  <w:szCs w:val="18"/>
                  <w:color w:val="0000FF"/>
                  <w:w w:val="90"/>
                </w:rPr>
                <w:t>Qualcomm Technologies, Inc. AMSS6695 Software Addendum to Master Software Agreement, dated June 13, 2018, by and between</w:t>
              </w:r>
            </w:hyperlink>
          </w:p>
        </w:tc>
        <w:tc>
          <w:tcPr>
            <w:tcW w:w="22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80" w:type="dxa"/>
            <w:vAlign w:val="bottom"/>
            <w:tcBorders>
              <w:bottom w:val="single" w:sz="8" w:color="0000FF"/>
            </w:tcBorders>
            <w:gridSpan w:val="28"/>
          </w:tcPr>
          <w:p>
            <w:pPr>
              <w:spacing w:after="0" w:line="195" w:lineRule="exact"/>
              <w:rPr>
                <w:rFonts w:ascii="Arial" w:cs="Arial" w:eastAsia="Arial" w:hAnsi="Arial"/>
                <w:sz w:val="18"/>
                <w:szCs w:val="18"/>
                <w:color w:val="0000FF"/>
                <w:w w:val="92"/>
              </w:rPr>
            </w:pPr>
            <w:hyperlink r:id="rId446">
              <w:r>
                <w:rPr>
                  <w:rFonts w:ascii="Arial" w:cs="Arial" w:eastAsia="Arial" w:hAnsi="Arial"/>
                  <w:sz w:val="18"/>
                  <w:szCs w:val="18"/>
                  <w:color w:val="0000FF"/>
                  <w:w w:val="92"/>
                </w:rPr>
                <w:t>Qualcomm Technologies, Inc. and Gogo LLC (incorporated by reference to Exhibit 10.1.49 to Form 10-Q filed on November 6, 2018</w:t>
              </w:r>
            </w:hyperlink>
          </w:p>
        </w:tc>
        <w:tc>
          <w:tcPr>
            <w:tcW w:w="20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rPr>
            </w:pPr>
            <w:hyperlink r:id="rId446">
              <w:r>
                <w:rPr>
                  <w:rFonts w:ascii="Arial" w:cs="Arial" w:eastAsia="Arial" w:hAnsi="Arial"/>
                  <w:sz w:val="18"/>
                  <w:szCs w:val="18"/>
                  <w:color w:val="0000FF"/>
                </w:rPr>
                <w:t>(File No. 001-35975))</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10.1.3†</w:t>
            </w:r>
          </w:p>
        </w:tc>
        <w:tc>
          <w:tcPr>
            <w:tcW w:w="9760" w:type="dxa"/>
            <w:vAlign w:val="bottom"/>
            <w:tcBorders>
              <w:bottom w:val="single" w:sz="8" w:color="0000FF"/>
            </w:tcBorders>
            <w:gridSpan w:val="32"/>
          </w:tcPr>
          <w:p>
            <w:pPr>
              <w:spacing w:after="0"/>
              <w:rPr>
                <w:rFonts w:ascii="Arial" w:cs="Arial" w:eastAsia="Arial" w:hAnsi="Arial"/>
                <w:sz w:val="18"/>
                <w:szCs w:val="18"/>
                <w:color w:val="0000FF"/>
                <w:w w:val="90"/>
              </w:rPr>
            </w:pPr>
            <w:hyperlink r:id="rId447">
              <w:r>
                <w:rPr>
                  <w:rFonts w:ascii="Arial" w:cs="Arial" w:eastAsia="Arial" w:hAnsi="Arial"/>
                  <w:sz w:val="18"/>
                  <w:szCs w:val="18"/>
                  <w:color w:val="0000FF"/>
                  <w:w w:val="90"/>
                </w:rPr>
                <w:t>Access Point Patent License Agreement, dated July 6, 2018, by and between Qualcomm Incorporated and Gogo LLC (incorporated by</w:t>
              </w:r>
            </w:hyperlink>
          </w:p>
        </w:tc>
        <w:tc>
          <w:tcPr>
            <w:tcW w:w="120" w:type="dxa"/>
            <w:vAlign w:val="bottom"/>
            <w:gridSpan w:val="2"/>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6720" w:type="dxa"/>
            <w:vAlign w:val="bottom"/>
            <w:tcBorders>
              <w:bottom w:val="single" w:sz="8" w:color="0000EE"/>
            </w:tcBorders>
            <w:gridSpan w:val="9"/>
          </w:tcPr>
          <w:p>
            <w:pPr>
              <w:spacing w:after="0" w:line="195" w:lineRule="exact"/>
              <w:rPr>
                <w:rFonts w:ascii="Arial" w:cs="Arial" w:eastAsia="Arial" w:hAnsi="Arial"/>
                <w:sz w:val="18"/>
                <w:szCs w:val="18"/>
                <w:color w:val="0000FF"/>
                <w:w w:val="92"/>
              </w:rPr>
            </w:pPr>
            <w:hyperlink r:id="rId447">
              <w:r>
                <w:rPr>
                  <w:rFonts w:ascii="Arial" w:cs="Arial" w:eastAsia="Arial" w:hAnsi="Arial"/>
                  <w:sz w:val="18"/>
                  <w:szCs w:val="18"/>
                  <w:color w:val="0000FF"/>
                  <w:w w:val="92"/>
                </w:rPr>
                <w:t>reference to Exhibit 10.1.50 to Form 10-Q filed on November 6, 2018 (File No. 001-35975))</w:t>
              </w:r>
            </w:hyperlink>
          </w:p>
        </w:tc>
        <w:tc>
          <w:tcPr>
            <w:tcW w:w="3160" w:type="dxa"/>
            <w:vAlign w:val="bottom"/>
            <w:gridSpan w:val="25"/>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10.1.4†</w:t>
            </w:r>
          </w:p>
        </w:tc>
        <w:tc>
          <w:tcPr>
            <w:tcW w:w="9280" w:type="dxa"/>
            <w:vAlign w:val="bottom"/>
            <w:tcBorders>
              <w:bottom w:val="single" w:sz="8" w:color="0000FF"/>
            </w:tcBorders>
            <w:gridSpan w:val="19"/>
          </w:tcPr>
          <w:p>
            <w:pPr>
              <w:spacing w:after="0"/>
              <w:rPr>
                <w:rFonts w:ascii="Arial" w:cs="Arial" w:eastAsia="Arial" w:hAnsi="Arial"/>
                <w:sz w:val="18"/>
                <w:szCs w:val="18"/>
                <w:color w:val="0000FF"/>
                <w:w w:val="91"/>
              </w:rPr>
            </w:pPr>
            <w:hyperlink r:id="rId448">
              <w:r>
                <w:rPr>
                  <w:rFonts w:ascii="Arial" w:cs="Arial" w:eastAsia="Arial" w:hAnsi="Arial"/>
                  <w:sz w:val="18"/>
                  <w:szCs w:val="18"/>
                  <w:color w:val="0000FF"/>
                  <w:w w:val="91"/>
                </w:rPr>
                <w:t>ATG Network Sharing Agreement, dated as of December 1, 2020, by and between Gogo Business Aviation LLC and Gogo LLC</w:t>
              </w:r>
            </w:hyperlink>
          </w:p>
        </w:tc>
        <w:tc>
          <w:tcPr>
            <w:tcW w:w="600" w:type="dxa"/>
            <w:vAlign w:val="bottom"/>
            <w:gridSpan w:val="15"/>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rPr>
            </w:pPr>
            <w:hyperlink r:id="rId448">
              <w:r>
                <w:rPr>
                  <w:rFonts w:ascii="Arial" w:cs="Arial" w:eastAsia="Arial" w:hAnsi="Arial"/>
                  <w:sz w:val="18"/>
                  <w:szCs w:val="18"/>
                  <w:color w:val="0000FF"/>
                </w:rPr>
                <w:t>(incorporated by reference to Exhibit 10.1 to Form 8-K filed on December 1, 2020 (File No. 001-35975))</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7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10.1.5†</w:t>
            </w:r>
          </w:p>
        </w:tc>
        <w:tc>
          <w:tcPr>
            <w:tcW w:w="9760" w:type="dxa"/>
            <w:vAlign w:val="bottom"/>
            <w:tcBorders>
              <w:bottom w:val="single" w:sz="8" w:color="0000FF"/>
            </w:tcBorders>
            <w:gridSpan w:val="32"/>
          </w:tcPr>
          <w:p>
            <w:pPr>
              <w:spacing w:after="0"/>
              <w:rPr>
                <w:rFonts w:ascii="Arial" w:cs="Arial" w:eastAsia="Arial" w:hAnsi="Arial"/>
                <w:sz w:val="18"/>
                <w:szCs w:val="18"/>
                <w:color w:val="0000FF"/>
                <w:w w:val="90"/>
              </w:rPr>
            </w:pPr>
            <w:hyperlink r:id="rId449">
              <w:r>
                <w:rPr>
                  <w:rFonts w:ascii="Arial" w:cs="Arial" w:eastAsia="Arial" w:hAnsi="Arial"/>
                  <w:sz w:val="18"/>
                  <w:szCs w:val="18"/>
                  <w:color w:val="0000FF"/>
                  <w:w w:val="90"/>
                </w:rPr>
                <w:t>Master Services Agreement, dated as of November 25, 2019, by and between Gogo Business Aviation LLC and Airspan Networks Inc.</w:t>
              </w:r>
            </w:hyperlink>
          </w:p>
        </w:tc>
        <w:tc>
          <w:tcPr>
            <w:tcW w:w="120" w:type="dxa"/>
            <w:vAlign w:val="bottom"/>
            <w:gridSpan w:val="2"/>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7640" w:type="dxa"/>
            <w:vAlign w:val="bottom"/>
            <w:tcBorders>
              <w:bottom w:val="single" w:sz="8" w:color="0000FF"/>
            </w:tcBorders>
            <w:gridSpan w:val="11"/>
          </w:tcPr>
          <w:p>
            <w:pPr>
              <w:spacing w:after="0" w:line="195" w:lineRule="exact"/>
              <w:rPr>
                <w:rFonts w:ascii="Arial" w:cs="Arial" w:eastAsia="Arial" w:hAnsi="Arial"/>
                <w:sz w:val="18"/>
                <w:szCs w:val="18"/>
                <w:color w:val="0000FF"/>
                <w:w w:val="92"/>
              </w:rPr>
            </w:pPr>
            <w:hyperlink r:id="rId449">
              <w:r>
                <w:rPr>
                  <w:rFonts w:ascii="Arial" w:cs="Arial" w:eastAsia="Arial" w:hAnsi="Arial"/>
                  <w:sz w:val="18"/>
                  <w:szCs w:val="18"/>
                  <w:color w:val="0000FF"/>
                  <w:w w:val="92"/>
                </w:rPr>
                <w:t>(incorporated by reference to Exhibit 10.1.5 to Form 10-K filed on March 11, 2021 (File No. 001-35975))</w:t>
              </w:r>
            </w:hyperlink>
          </w:p>
        </w:tc>
        <w:tc>
          <w:tcPr>
            <w:tcW w:w="2240" w:type="dxa"/>
            <w:vAlign w:val="bottom"/>
            <w:gridSpan w:val="23"/>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10.1.6†</w:t>
            </w:r>
          </w:p>
        </w:tc>
        <w:tc>
          <w:tcPr>
            <w:tcW w:w="9580" w:type="dxa"/>
            <w:vAlign w:val="bottom"/>
            <w:tcBorders>
              <w:bottom w:val="single" w:sz="8" w:color="0000FF"/>
            </w:tcBorders>
            <w:gridSpan w:val="23"/>
          </w:tcPr>
          <w:p>
            <w:pPr>
              <w:spacing w:after="0"/>
              <w:rPr>
                <w:rFonts w:ascii="Arial" w:cs="Arial" w:eastAsia="Arial" w:hAnsi="Arial"/>
                <w:sz w:val="18"/>
                <w:szCs w:val="18"/>
                <w:color w:val="0000FF"/>
                <w:w w:val="90"/>
              </w:rPr>
            </w:pPr>
            <w:hyperlink r:id="rId450">
              <w:r>
                <w:rPr>
                  <w:rFonts w:ascii="Arial" w:cs="Arial" w:eastAsia="Arial" w:hAnsi="Arial"/>
                  <w:sz w:val="18"/>
                  <w:szCs w:val="18"/>
                  <w:color w:val="0000FF"/>
                  <w:w w:val="90"/>
                </w:rPr>
                <w:t>Supply and Product Support Agreement, dated as of November 25, 2019, by and between Gogo Business Aviation LLC and Airspan</w:t>
              </w:r>
            </w:hyperlink>
          </w:p>
        </w:tc>
        <w:tc>
          <w:tcPr>
            <w:tcW w:w="300" w:type="dxa"/>
            <w:vAlign w:val="bottom"/>
            <w:gridSpan w:val="11"/>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rPr>
            </w:pPr>
            <w:hyperlink r:id="rId450">
              <w:r>
                <w:rPr>
                  <w:rFonts w:ascii="Arial" w:cs="Arial" w:eastAsia="Arial" w:hAnsi="Arial"/>
                  <w:sz w:val="18"/>
                  <w:szCs w:val="18"/>
                  <w:color w:val="0000FF"/>
                </w:rPr>
                <w:t>Networks Inc. (incorporated by reference to Exhibit 10.1.6 to Form 10-K filed on March 11, 2021 (File No. 001-35975))</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7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10.1.7†</w:t>
            </w:r>
          </w:p>
        </w:tc>
        <w:tc>
          <w:tcPr>
            <w:tcW w:w="9640" w:type="dxa"/>
            <w:vAlign w:val="bottom"/>
            <w:tcBorders>
              <w:bottom w:val="single" w:sz="8" w:color="0000FF"/>
            </w:tcBorders>
            <w:gridSpan w:val="26"/>
          </w:tcPr>
          <w:p>
            <w:pPr>
              <w:spacing w:after="0"/>
              <w:rPr>
                <w:rFonts w:ascii="Arial" w:cs="Arial" w:eastAsia="Arial" w:hAnsi="Arial"/>
                <w:sz w:val="18"/>
                <w:szCs w:val="18"/>
                <w:color w:val="0000FF"/>
                <w:w w:val="90"/>
              </w:rPr>
            </w:pPr>
            <w:hyperlink r:id="rId451">
              <w:r>
                <w:rPr>
                  <w:rFonts w:ascii="Arial" w:cs="Arial" w:eastAsia="Arial" w:hAnsi="Arial"/>
                  <w:sz w:val="18"/>
                  <w:szCs w:val="18"/>
                  <w:color w:val="0000FF"/>
                  <w:w w:val="90"/>
                </w:rPr>
                <w:t>Master Services Agreement, dated as of May 21, 2022, by and between Gogo Business Aviation LLC and Hughes Network Systems,</w:t>
              </w:r>
            </w:hyperlink>
          </w:p>
        </w:tc>
        <w:tc>
          <w:tcPr>
            <w:tcW w:w="240" w:type="dxa"/>
            <w:vAlign w:val="bottom"/>
            <w:gridSpan w:val="8"/>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rPr>
            </w:pPr>
            <w:hyperlink r:id="rId451">
              <w:r>
                <w:rPr>
                  <w:rFonts w:ascii="Arial" w:cs="Arial" w:eastAsia="Arial" w:hAnsi="Arial"/>
                  <w:sz w:val="18"/>
                  <w:szCs w:val="18"/>
                  <w:color w:val="0000FF"/>
                </w:rPr>
                <w:t>LLC (incorporated by reference to Exhibit 10.1 to Form 8-K filed on May 26, 2022 (File No. 001-35975))</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7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10.1.8†</w:t>
            </w:r>
          </w:p>
        </w:tc>
        <w:tc>
          <w:tcPr>
            <w:tcW w:w="9740" w:type="dxa"/>
            <w:vAlign w:val="bottom"/>
            <w:tcBorders>
              <w:bottom w:val="single" w:sz="8" w:color="0000FF"/>
            </w:tcBorders>
            <w:gridSpan w:val="31"/>
          </w:tcPr>
          <w:p>
            <w:pPr>
              <w:spacing w:after="0"/>
              <w:rPr>
                <w:rFonts w:ascii="Arial" w:cs="Arial" w:eastAsia="Arial" w:hAnsi="Arial"/>
                <w:sz w:val="18"/>
                <w:szCs w:val="18"/>
                <w:color w:val="0000FF"/>
                <w:w w:val="90"/>
              </w:rPr>
            </w:pPr>
            <w:hyperlink r:id="rId452">
              <w:r>
                <w:rPr>
                  <w:rFonts w:ascii="Arial" w:cs="Arial" w:eastAsia="Arial" w:hAnsi="Arial"/>
                  <w:sz w:val="18"/>
                  <w:szCs w:val="18"/>
                  <w:color w:val="0000FF"/>
                  <w:w w:val="90"/>
                </w:rPr>
                <w:t>Supply and Product Support Agreement, dated as of June 6, 2022, by and between Gogo Business Aviation LLC and Hughes Network</w:t>
              </w:r>
            </w:hyperlink>
          </w:p>
        </w:tc>
        <w:tc>
          <w:tcPr>
            <w:tcW w:w="140" w:type="dxa"/>
            <w:vAlign w:val="bottom"/>
            <w:gridSpan w:val="3"/>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8340" w:type="dxa"/>
            <w:vAlign w:val="bottom"/>
            <w:tcBorders>
              <w:bottom w:val="single" w:sz="8" w:color="0000FF"/>
            </w:tcBorders>
            <w:gridSpan w:val="13"/>
          </w:tcPr>
          <w:p>
            <w:pPr>
              <w:spacing w:after="0" w:line="195" w:lineRule="exact"/>
              <w:rPr>
                <w:rFonts w:ascii="Arial" w:cs="Arial" w:eastAsia="Arial" w:hAnsi="Arial"/>
                <w:sz w:val="18"/>
                <w:szCs w:val="18"/>
                <w:color w:val="0000FF"/>
                <w:w w:val="91"/>
              </w:rPr>
            </w:pPr>
            <w:hyperlink r:id="rId452">
              <w:r>
                <w:rPr>
                  <w:rFonts w:ascii="Arial" w:cs="Arial" w:eastAsia="Arial" w:hAnsi="Arial"/>
                  <w:sz w:val="18"/>
                  <w:szCs w:val="18"/>
                  <w:color w:val="0000FF"/>
                  <w:w w:val="91"/>
                </w:rPr>
                <w:t>Systems, LLC (incorporated by reference to Exhibit 10.1 to Form 8-K filed on June 14, 2022 (File No. 001-35975))</w:t>
              </w:r>
            </w:hyperlink>
          </w:p>
        </w:tc>
        <w:tc>
          <w:tcPr>
            <w:tcW w:w="20" w:type="dxa"/>
            <w:vAlign w:val="bottom"/>
            <w:tcBorders>
              <w:bottom w:val="single" w:sz="8" w:color="0000EE"/>
            </w:tcBorders>
          </w:tcPr>
          <w:p>
            <w:pPr>
              <w:spacing w:after="0"/>
              <w:rPr>
                <w:sz w:val="17"/>
                <w:szCs w:val="17"/>
                <w:color w:val="auto"/>
              </w:rPr>
            </w:pPr>
          </w:p>
        </w:tc>
        <w:tc>
          <w:tcPr>
            <w:tcW w:w="1520" w:type="dxa"/>
            <w:vAlign w:val="bottom"/>
            <w:gridSpan w:val="20"/>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10.2.1#</w:t>
            </w:r>
          </w:p>
        </w:tc>
        <w:tc>
          <w:tcPr>
            <w:tcW w:w="9600" w:type="dxa"/>
            <w:vAlign w:val="bottom"/>
            <w:tcBorders>
              <w:bottom w:val="single" w:sz="8" w:color="0000FF"/>
            </w:tcBorders>
            <w:gridSpan w:val="24"/>
          </w:tcPr>
          <w:p>
            <w:pPr>
              <w:spacing w:after="0"/>
              <w:rPr>
                <w:rFonts w:ascii="Arial" w:cs="Arial" w:eastAsia="Arial" w:hAnsi="Arial"/>
                <w:sz w:val="18"/>
                <w:szCs w:val="18"/>
                <w:color w:val="0000FF"/>
                <w:w w:val="91"/>
              </w:rPr>
            </w:pPr>
            <w:hyperlink r:id="rId453">
              <w:r>
                <w:rPr>
                  <w:rFonts w:ascii="Arial" w:cs="Arial" w:eastAsia="Arial" w:hAnsi="Arial"/>
                  <w:sz w:val="18"/>
                  <w:szCs w:val="18"/>
                  <w:color w:val="0000FF"/>
                  <w:w w:val="91"/>
                </w:rPr>
                <w:t>Employment Agreement, by and between Gogo Business Aviation LLC, as assignee of Gogo LLC, and Barry Rowan, effective as of</w:t>
              </w:r>
            </w:hyperlink>
          </w:p>
        </w:tc>
        <w:tc>
          <w:tcPr>
            <w:tcW w:w="280" w:type="dxa"/>
            <w:vAlign w:val="bottom"/>
            <w:gridSpan w:val="10"/>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rPr>
            </w:pPr>
            <w:hyperlink r:id="rId453">
              <w:r>
                <w:rPr>
                  <w:rFonts w:ascii="Arial" w:cs="Arial" w:eastAsia="Arial" w:hAnsi="Arial"/>
                  <w:sz w:val="18"/>
                  <w:szCs w:val="18"/>
                  <w:color w:val="0000FF"/>
                </w:rPr>
                <w:t>April 24, 2017 (incorporated by reference to Exhibit 10.2.14 to Form 10-Q filed on May 4, 2017 (File No. 001-35975))</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7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10.2.2#</w:t>
            </w:r>
          </w:p>
        </w:tc>
        <w:tc>
          <w:tcPr>
            <w:tcW w:w="9500" w:type="dxa"/>
            <w:vAlign w:val="bottom"/>
            <w:tcBorders>
              <w:bottom w:val="single" w:sz="8" w:color="0000FF"/>
            </w:tcBorders>
            <w:gridSpan w:val="22"/>
          </w:tcPr>
          <w:p>
            <w:pPr>
              <w:spacing w:after="0"/>
              <w:rPr>
                <w:rFonts w:ascii="Arial" w:cs="Arial" w:eastAsia="Arial" w:hAnsi="Arial"/>
                <w:sz w:val="18"/>
                <w:szCs w:val="18"/>
                <w:color w:val="0000FF"/>
                <w:w w:val="90"/>
              </w:rPr>
            </w:pPr>
            <w:hyperlink r:id="rId454">
              <w:r>
                <w:rPr>
                  <w:rFonts w:ascii="Arial" w:cs="Arial" w:eastAsia="Arial" w:hAnsi="Arial"/>
                  <w:sz w:val="18"/>
                  <w:szCs w:val="18"/>
                  <w:color w:val="0000FF"/>
                  <w:w w:val="90"/>
                </w:rPr>
                <w:t>Change in Control Severance Agreement, dated as of April 24, 2017, by and between Gogo Inc. and Barry Rowan (incorporated by</w:t>
              </w:r>
            </w:hyperlink>
          </w:p>
        </w:tc>
        <w:tc>
          <w:tcPr>
            <w:tcW w:w="380" w:type="dxa"/>
            <w:vAlign w:val="bottom"/>
            <w:gridSpan w:val="12"/>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rPr>
            </w:pPr>
            <w:hyperlink r:id="rId454">
              <w:r>
                <w:rPr>
                  <w:rFonts w:ascii="Arial" w:cs="Arial" w:eastAsia="Arial" w:hAnsi="Arial"/>
                  <w:sz w:val="18"/>
                  <w:szCs w:val="18"/>
                  <w:color w:val="0000FF"/>
                </w:rPr>
                <w:t>reference to Exhibit 10.2.15 to Form 10-Q filed on May 4, 2017 (File No. 001-35975))</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7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10.2.3#</w:t>
            </w:r>
          </w:p>
        </w:tc>
        <w:tc>
          <w:tcPr>
            <w:tcW w:w="9340" w:type="dxa"/>
            <w:vAlign w:val="bottom"/>
            <w:tcBorders>
              <w:bottom w:val="single" w:sz="8" w:color="0000FF"/>
            </w:tcBorders>
            <w:gridSpan w:val="20"/>
          </w:tcPr>
          <w:p>
            <w:pPr>
              <w:spacing w:after="0"/>
              <w:rPr>
                <w:rFonts w:ascii="Arial" w:cs="Arial" w:eastAsia="Arial" w:hAnsi="Arial"/>
                <w:sz w:val="18"/>
                <w:szCs w:val="18"/>
                <w:color w:val="0000FF"/>
                <w:w w:val="91"/>
              </w:rPr>
            </w:pPr>
            <w:hyperlink r:id="rId455">
              <w:r>
                <w:rPr>
                  <w:rFonts w:ascii="Arial" w:cs="Arial" w:eastAsia="Arial" w:hAnsi="Arial"/>
                  <w:sz w:val="18"/>
                  <w:szCs w:val="18"/>
                  <w:color w:val="0000FF"/>
                  <w:w w:val="91"/>
                </w:rPr>
                <w:t>Employment Agreement, dated March 4, 2018, between Gogo Inc., Gogo Business Aviation LLC, as assignee of Gogo LLC, and</w:t>
              </w:r>
            </w:hyperlink>
          </w:p>
        </w:tc>
        <w:tc>
          <w:tcPr>
            <w:tcW w:w="540" w:type="dxa"/>
            <w:vAlign w:val="bottom"/>
            <w:gridSpan w:val="14"/>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8760" w:type="dxa"/>
            <w:vAlign w:val="bottom"/>
            <w:tcBorders>
              <w:bottom w:val="single" w:sz="8" w:color="0000FF"/>
            </w:tcBorders>
            <w:gridSpan w:val="17"/>
          </w:tcPr>
          <w:p>
            <w:pPr>
              <w:spacing w:after="0" w:line="195" w:lineRule="exact"/>
              <w:rPr>
                <w:rFonts w:ascii="Arial" w:cs="Arial" w:eastAsia="Arial" w:hAnsi="Arial"/>
                <w:sz w:val="18"/>
                <w:szCs w:val="18"/>
                <w:color w:val="0000FF"/>
                <w:w w:val="92"/>
              </w:rPr>
            </w:pPr>
            <w:hyperlink r:id="rId455">
              <w:r>
                <w:rPr>
                  <w:rFonts w:ascii="Arial" w:cs="Arial" w:eastAsia="Arial" w:hAnsi="Arial"/>
                  <w:sz w:val="18"/>
                  <w:szCs w:val="18"/>
                  <w:color w:val="0000FF"/>
                  <w:w w:val="92"/>
                </w:rPr>
                <w:t>Oakleigh Thorne (incorporated by reference to Exhibit 10.2.12 to Form 10-Q filed on May 4, 2018 (File No. 001-35975))</w:t>
              </w:r>
            </w:hyperlink>
          </w:p>
        </w:tc>
        <w:tc>
          <w:tcPr>
            <w:tcW w:w="20" w:type="dxa"/>
            <w:vAlign w:val="bottom"/>
            <w:tcBorders>
              <w:bottom w:val="single" w:sz="8" w:color="0000EE"/>
            </w:tcBorders>
          </w:tcPr>
          <w:p>
            <w:pPr>
              <w:spacing w:after="0"/>
              <w:rPr>
                <w:sz w:val="17"/>
                <w:szCs w:val="17"/>
                <w:color w:val="auto"/>
              </w:rPr>
            </w:pPr>
          </w:p>
        </w:tc>
        <w:tc>
          <w:tcPr>
            <w:tcW w:w="1100" w:type="dxa"/>
            <w:vAlign w:val="bottom"/>
            <w:gridSpan w:val="16"/>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10.2.4#</w:t>
            </w:r>
          </w:p>
        </w:tc>
        <w:tc>
          <w:tcPr>
            <w:tcW w:w="9740" w:type="dxa"/>
            <w:vAlign w:val="bottom"/>
            <w:tcBorders>
              <w:bottom w:val="single" w:sz="8" w:color="0000FF"/>
            </w:tcBorders>
            <w:gridSpan w:val="31"/>
          </w:tcPr>
          <w:p>
            <w:pPr>
              <w:spacing w:after="0"/>
              <w:rPr>
                <w:rFonts w:ascii="Arial" w:cs="Arial" w:eastAsia="Arial" w:hAnsi="Arial"/>
                <w:sz w:val="18"/>
                <w:szCs w:val="18"/>
                <w:color w:val="0000FF"/>
                <w:w w:val="90"/>
              </w:rPr>
            </w:pPr>
            <w:hyperlink r:id="rId456">
              <w:r>
                <w:rPr>
                  <w:rFonts w:ascii="Arial" w:cs="Arial" w:eastAsia="Arial" w:hAnsi="Arial"/>
                  <w:sz w:val="18"/>
                  <w:szCs w:val="18"/>
                  <w:color w:val="0000FF"/>
                  <w:w w:val="90"/>
                </w:rPr>
                <w:t>Form of Change in Control Severance Agreement, for named executive officers other than Oakleigh Thorne, Barry Rowan and Jessica</w:t>
              </w:r>
            </w:hyperlink>
          </w:p>
        </w:tc>
        <w:tc>
          <w:tcPr>
            <w:tcW w:w="140" w:type="dxa"/>
            <w:vAlign w:val="bottom"/>
            <w:gridSpan w:val="3"/>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rPr>
            </w:pPr>
            <w:hyperlink r:id="rId456">
              <w:r>
                <w:rPr>
                  <w:rFonts w:ascii="Arial" w:cs="Arial" w:eastAsia="Arial" w:hAnsi="Arial"/>
                  <w:sz w:val="18"/>
                  <w:szCs w:val="18"/>
                  <w:color w:val="0000FF"/>
                </w:rPr>
                <w:t>Betjemann (incorporated by reference to Exhibit 10.2.10 to Form 10-K filed on March 13, 2020 (File No. 001-25975))</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7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gridSpan w:val="3"/>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10.2.5#</w:t>
            </w:r>
          </w:p>
        </w:tc>
        <w:tc>
          <w:tcPr>
            <w:tcW w:w="9880" w:type="dxa"/>
            <w:vAlign w:val="bottom"/>
            <w:tcBorders>
              <w:bottom w:val="single" w:sz="8" w:color="0000FF"/>
            </w:tcBorders>
            <w:gridSpan w:val="34"/>
          </w:tcPr>
          <w:p>
            <w:pPr>
              <w:spacing w:after="0"/>
              <w:rPr>
                <w:rFonts w:ascii="Arial" w:cs="Arial" w:eastAsia="Arial" w:hAnsi="Arial"/>
                <w:sz w:val="18"/>
                <w:szCs w:val="18"/>
                <w:color w:val="0000FF"/>
                <w:w w:val="90"/>
              </w:rPr>
            </w:pPr>
            <w:hyperlink r:id="rId457">
              <w:r>
                <w:rPr>
                  <w:rFonts w:ascii="Arial" w:cs="Arial" w:eastAsia="Arial" w:hAnsi="Arial"/>
                  <w:sz w:val="18"/>
                  <w:szCs w:val="18"/>
                  <w:color w:val="0000FF"/>
                  <w:w w:val="90"/>
                </w:rPr>
                <w:t>Amendment No. 1 to the Form of Change in Control Severance Agreement for named executive officers other than Oakleigh Thorne and</w:t>
              </w:r>
            </w:hyperlink>
          </w:p>
        </w:tc>
      </w:tr>
      <w:tr>
        <w:trPr>
          <w:trHeight w:val="196"/>
        </w:trPr>
        <w:tc>
          <w:tcPr>
            <w:tcW w:w="1360" w:type="dxa"/>
            <w:vAlign w:val="bottom"/>
          </w:tcPr>
          <w:p>
            <w:pPr>
              <w:spacing w:after="0"/>
              <w:rPr>
                <w:sz w:val="17"/>
                <w:szCs w:val="17"/>
                <w:color w:val="auto"/>
              </w:rPr>
            </w:pPr>
          </w:p>
        </w:tc>
        <w:tc>
          <w:tcPr>
            <w:tcW w:w="8540" w:type="dxa"/>
            <w:vAlign w:val="bottom"/>
            <w:tcBorders>
              <w:bottom w:val="single" w:sz="8" w:color="0000FF"/>
            </w:tcBorders>
            <w:gridSpan w:val="15"/>
          </w:tcPr>
          <w:p>
            <w:pPr>
              <w:spacing w:after="0" w:line="195" w:lineRule="exact"/>
              <w:rPr>
                <w:rFonts w:ascii="Arial" w:cs="Arial" w:eastAsia="Arial" w:hAnsi="Arial"/>
                <w:sz w:val="18"/>
                <w:szCs w:val="18"/>
                <w:color w:val="0000FF"/>
                <w:w w:val="92"/>
              </w:rPr>
            </w:pPr>
            <w:hyperlink r:id="rId457">
              <w:r>
                <w:rPr>
                  <w:rFonts w:ascii="Arial" w:cs="Arial" w:eastAsia="Arial" w:hAnsi="Arial"/>
                  <w:sz w:val="18"/>
                  <w:szCs w:val="18"/>
                  <w:color w:val="0000FF"/>
                  <w:w w:val="92"/>
                </w:rPr>
                <w:t>Barry Rowan (incorporated by reference to Exhibit 10.2.18 to Form 10-Q filed on May 4, 2018 (File No. 001-35975))</w:t>
              </w:r>
            </w:hyperlink>
          </w:p>
        </w:tc>
        <w:tc>
          <w:tcPr>
            <w:tcW w:w="1340" w:type="dxa"/>
            <w:vAlign w:val="bottom"/>
            <w:gridSpan w:val="19"/>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10.2.6#</w:t>
            </w:r>
          </w:p>
        </w:tc>
        <w:tc>
          <w:tcPr>
            <w:tcW w:w="9660" w:type="dxa"/>
            <w:vAlign w:val="bottom"/>
            <w:tcBorders>
              <w:bottom w:val="single" w:sz="8" w:color="0000FF"/>
            </w:tcBorders>
            <w:gridSpan w:val="27"/>
          </w:tcPr>
          <w:p>
            <w:pPr>
              <w:spacing w:after="0"/>
              <w:rPr>
                <w:rFonts w:ascii="Arial" w:cs="Arial" w:eastAsia="Arial" w:hAnsi="Arial"/>
                <w:sz w:val="18"/>
                <w:szCs w:val="18"/>
                <w:color w:val="0000FF"/>
                <w:w w:val="91"/>
              </w:rPr>
            </w:pPr>
            <w:hyperlink r:id="rId458">
              <w:r>
                <w:rPr>
                  <w:rFonts w:ascii="Arial" w:cs="Arial" w:eastAsia="Arial" w:hAnsi="Arial"/>
                  <w:sz w:val="18"/>
                  <w:szCs w:val="18"/>
                  <w:color w:val="0000FF"/>
                  <w:w w:val="91"/>
                </w:rPr>
                <w:t>Employment Agreement, dated as of January 1, 2008, between Gogo Business Aviation LLC, as assignee of Gogo LLC (f/k/a Aircell</w:t>
              </w:r>
            </w:hyperlink>
          </w:p>
        </w:tc>
        <w:tc>
          <w:tcPr>
            <w:tcW w:w="220" w:type="dxa"/>
            <w:vAlign w:val="bottom"/>
            <w:gridSpan w:val="7"/>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w w:val="96"/>
              </w:rPr>
            </w:pPr>
            <w:hyperlink r:id="rId458">
              <w:r>
                <w:rPr>
                  <w:rFonts w:ascii="Arial" w:cs="Arial" w:eastAsia="Arial" w:hAnsi="Arial"/>
                  <w:sz w:val="18"/>
                  <w:szCs w:val="18"/>
                  <w:color w:val="0000FF"/>
                  <w:w w:val="96"/>
                </w:rPr>
                <w:t>LLC) and Marguerite Elias (incorporated by reference to Exhibit 10.2.20 to Form 10-Q filed on May 9, 2019 (File No. 001-35975))</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7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9"/>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10.2.7#</w:t>
            </w:r>
          </w:p>
        </w:tc>
        <w:tc>
          <w:tcPr>
            <w:tcW w:w="9860" w:type="dxa"/>
            <w:vAlign w:val="bottom"/>
            <w:tcBorders>
              <w:bottom w:val="single" w:sz="8" w:color="0000FF"/>
            </w:tcBorders>
            <w:gridSpan w:val="33"/>
          </w:tcPr>
          <w:p>
            <w:pPr>
              <w:spacing w:after="0"/>
              <w:rPr>
                <w:rFonts w:ascii="Arial" w:cs="Arial" w:eastAsia="Arial" w:hAnsi="Arial"/>
                <w:sz w:val="18"/>
                <w:szCs w:val="18"/>
                <w:color w:val="0000FF"/>
                <w:w w:val="92"/>
              </w:rPr>
            </w:pPr>
            <w:hyperlink r:id="rId459">
              <w:r>
                <w:rPr>
                  <w:rFonts w:ascii="Arial" w:cs="Arial" w:eastAsia="Arial" w:hAnsi="Arial"/>
                  <w:sz w:val="18"/>
                  <w:szCs w:val="18"/>
                  <w:color w:val="0000FF"/>
                  <w:w w:val="92"/>
                </w:rPr>
                <w:t>Amendment No. 1 to the Employment Agreement, between Gogo Business Aviation LLC, as assignee of Gogo LLC (f/k/a Aircell LLC)</w:t>
              </w:r>
            </w:hyperlink>
          </w:p>
        </w:tc>
        <w:tc>
          <w:tcPr>
            <w:tcW w:w="20" w:type="dxa"/>
            <w:vAlign w:val="bottom"/>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600" w:type="dxa"/>
            <w:vAlign w:val="bottom"/>
            <w:tcBorders>
              <w:bottom w:val="single" w:sz="8" w:color="0000FF"/>
            </w:tcBorders>
            <w:gridSpan w:val="24"/>
          </w:tcPr>
          <w:p>
            <w:pPr>
              <w:spacing w:after="0" w:line="195" w:lineRule="exact"/>
              <w:rPr>
                <w:rFonts w:ascii="Arial" w:cs="Arial" w:eastAsia="Arial" w:hAnsi="Arial"/>
                <w:sz w:val="18"/>
                <w:szCs w:val="18"/>
                <w:color w:val="0000FF"/>
                <w:w w:val="91"/>
              </w:rPr>
            </w:pPr>
            <w:hyperlink r:id="rId459">
              <w:r>
                <w:rPr>
                  <w:rFonts w:ascii="Arial" w:cs="Arial" w:eastAsia="Arial" w:hAnsi="Arial"/>
                  <w:sz w:val="18"/>
                  <w:szCs w:val="18"/>
                  <w:color w:val="0000FF"/>
                  <w:w w:val="91"/>
                </w:rPr>
                <w:t>and Marguerite Elias, effective as of December 31, 2008 (incorporated by reference to Exhibit 10.2.21 to Form 10-Q filed on May 9,</w:t>
              </w:r>
            </w:hyperlink>
          </w:p>
        </w:tc>
        <w:tc>
          <w:tcPr>
            <w:tcW w:w="28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rPr>
            </w:pPr>
            <w:hyperlink r:id="rId459">
              <w:r>
                <w:rPr>
                  <w:rFonts w:ascii="Arial" w:cs="Arial" w:eastAsia="Arial" w:hAnsi="Arial"/>
                  <w:sz w:val="18"/>
                  <w:szCs w:val="18"/>
                  <w:color w:val="0000FF"/>
                </w:rPr>
                <w:t>2019 (File No. 001-35975))</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10.2.8#</w:t>
            </w:r>
          </w:p>
        </w:tc>
        <w:tc>
          <w:tcPr>
            <w:tcW w:w="9860" w:type="dxa"/>
            <w:vAlign w:val="bottom"/>
            <w:tcBorders>
              <w:bottom w:val="single" w:sz="8" w:color="0000FF"/>
            </w:tcBorders>
            <w:gridSpan w:val="33"/>
          </w:tcPr>
          <w:p>
            <w:pPr>
              <w:spacing w:after="0"/>
              <w:rPr>
                <w:rFonts w:ascii="Arial" w:cs="Arial" w:eastAsia="Arial" w:hAnsi="Arial"/>
                <w:sz w:val="18"/>
                <w:szCs w:val="18"/>
                <w:color w:val="0000FF"/>
                <w:w w:val="92"/>
              </w:rPr>
            </w:pPr>
            <w:hyperlink r:id="rId460">
              <w:r>
                <w:rPr>
                  <w:rFonts w:ascii="Arial" w:cs="Arial" w:eastAsia="Arial" w:hAnsi="Arial"/>
                  <w:sz w:val="18"/>
                  <w:szCs w:val="18"/>
                  <w:color w:val="0000FF"/>
                  <w:w w:val="92"/>
                </w:rPr>
                <w:t>Amendment No. 2 to the Employment Agreement, between Gogo Business Aviation LLC, as assignee of Gogo LLC (f/k/a Aircell LLC)</w:t>
              </w:r>
            </w:hyperlink>
          </w:p>
        </w:tc>
        <w:tc>
          <w:tcPr>
            <w:tcW w:w="20" w:type="dxa"/>
            <w:vAlign w:val="bottom"/>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640" w:type="dxa"/>
            <w:vAlign w:val="bottom"/>
            <w:tcBorders>
              <w:bottom w:val="single" w:sz="8" w:color="0000FF"/>
            </w:tcBorders>
            <w:gridSpan w:val="26"/>
          </w:tcPr>
          <w:p>
            <w:pPr>
              <w:spacing w:after="0" w:line="195" w:lineRule="exact"/>
              <w:rPr>
                <w:rFonts w:ascii="Arial" w:cs="Arial" w:eastAsia="Arial" w:hAnsi="Arial"/>
                <w:sz w:val="18"/>
                <w:szCs w:val="18"/>
                <w:color w:val="0000FF"/>
                <w:w w:val="92"/>
              </w:rPr>
            </w:pPr>
            <w:hyperlink r:id="rId460">
              <w:r>
                <w:rPr>
                  <w:rFonts w:ascii="Arial" w:cs="Arial" w:eastAsia="Arial" w:hAnsi="Arial"/>
                  <w:sz w:val="18"/>
                  <w:szCs w:val="18"/>
                  <w:color w:val="0000FF"/>
                  <w:w w:val="92"/>
                </w:rPr>
                <w:t>and Marguerite Elias, effective as of November 30, 2017 (incorporated by reference to Exhibit 10.2.22 to Form 10-Q filed on May 9,</w:t>
              </w:r>
            </w:hyperlink>
          </w:p>
        </w:tc>
        <w:tc>
          <w:tcPr>
            <w:tcW w:w="24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rPr>
            </w:pPr>
            <w:hyperlink r:id="rId460">
              <w:r>
                <w:rPr>
                  <w:rFonts w:ascii="Arial" w:cs="Arial" w:eastAsia="Arial" w:hAnsi="Arial"/>
                  <w:sz w:val="18"/>
                  <w:szCs w:val="18"/>
                  <w:color w:val="0000FF"/>
                </w:rPr>
                <w:t>2019 (File No. 001-35975))</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10.2.9#</w:t>
            </w:r>
          </w:p>
        </w:tc>
        <w:tc>
          <w:tcPr>
            <w:tcW w:w="9700" w:type="dxa"/>
            <w:vAlign w:val="bottom"/>
            <w:tcBorders>
              <w:bottom w:val="single" w:sz="8" w:color="0000FF"/>
            </w:tcBorders>
            <w:gridSpan w:val="29"/>
          </w:tcPr>
          <w:p>
            <w:pPr>
              <w:spacing w:after="0"/>
              <w:rPr>
                <w:rFonts w:ascii="Arial" w:cs="Arial" w:eastAsia="Arial" w:hAnsi="Arial"/>
                <w:sz w:val="18"/>
                <w:szCs w:val="18"/>
                <w:color w:val="0000FF"/>
                <w:w w:val="92"/>
              </w:rPr>
            </w:pPr>
            <w:hyperlink r:id="rId461">
              <w:r>
                <w:rPr>
                  <w:rFonts w:ascii="Arial" w:cs="Arial" w:eastAsia="Arial" w:hAnsi="Arial"/>
                  <w:sz w:val="18"/>
                  <w:szCs w:val="18"/>
                  <w:color w:val="0000FF"/>
                  <w:w w:val="92"/>
                </w:rPr>
                <w:t>Director Compensation Policy, effective March 4, 2021 (incorporated by reference to Exhibit 10.6 to Form 10-Q filed on May 6, 2021</w:t>
              </w:r>
            </w:hyperlink>
          </w:p>
        </w:tc>
        <w:tc>
          <w:tcPr>
            <w:tcW w:w="180" w:type="dxa"/>
            <w:vAlign w:val="bottom"/>
            <w:gridSpan w:val="5"/>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rPr>
            </w:pPr>
            <w:hyperlink r:id="rId461">
              <w:r>
                <w:rPr>
                  <w:rFonts w:ascii="Arial" w:cs="Arial" w:eastAsia="Arial" w:hAnsi="Arial"/>
                  <w:sz w:val="18"/>
                  <w:szCs w:val="18"/>
                  <w:color w:val="0000FF"/>
                </w:rPr>
                <w:t>(File No. 001-35975))</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10.2.10#</w:t>
            </w:r>
          </w:p>
        </w:tc>
        <w:tc>
          <w:tcPr>
            <w:tcW w:w="9880" w:type="dxa"/>
            <w:vAlign w:val="bottom"/>
            <w:gridSpan w:val="34"/>
          </w:tcPr>
          <w:p>
            <w:pPr>
              <w:spacing w:after="0"/>
              <w:rPr>
                <w:rFonts w:ascii="Arial" w:cs="Arial" w:eastAsia="Arial" w:hAnsi="Arial"/>
                <w:sz w:val="18"/>
                <w:szCs w:val="18"/>
                <w:color w:val="0000FF"/>
                <w:w w:val="91"/>
              </w:rPr>
            </w:pPr>
            <w:hyperlink r:id="rId462">
              <w:r>
                <w:rPr>
                  <w:rFonts w:ascii="Arial" w:cs="Arial" w:eastAsia="Arial" w:hAnsi="Arial"/>
                  <w:sz w:val="18"/>
                  <w:szCs w:val="18"/>
                  <w:color w:val="0000FF"/>
                  <w:w w:val="91"/>
                </w:rPr>
                <w:t>Amended and Restated Employment Agreement, dated as of February 10, 2020, between Gogo LLC and Karen Jackson (incorporated</w:t>
              </w:r>
            </w:hyperlink>
          </w:p>
        </w:tc>
      </w:tr>
      <w:tr>
        <w:trPr>
          <w:trHeight w:val="196"/>
        </w:trPr>
        <w:tc>
          <w:tcPr>
            <w:tcW w:w="1360" w:type="dxa"/>
            <w:vAlign w:val="bottom"/>
          </w:tcPr>
          <w:p>
            <w:pPr>
              <w:spacing w:after="0"/>
              <w:rPr>
                <w:sz w:val="17"/>
                <w:szCs w:val="17"/>
                <w:color w:val="auto"/>
              </w:rPr>
            </w:pPr>
          </w:p>
        </w:tc>
        <w:tc>
          <w:tcPr>
            <w:tcW w:w="6440" w:type="dxa"/>
            <w:vAlign w:val="bottom"/>
            <w:tcBorders>
              <w:top w:val="single" w:sz="8" w:color="0000FF"/>
              <w:bottom w:val="single" w:sz="8" w:color="0000FF"/>
            </w:tcBorders>
            <w:gridSpan w:val="7"/>
          </w:tcPr>
          <w:p>
            <w:pPr>
              <w:spacing w:after="0" w:line="195" w:lineRule="exact"/>
              <w:rPr>
                <w:rFonts w:ascii="Arial" w:cs="Arial" w:eastAsia="Arial" w:hAnsi="Arial"/>
                <w:sz w:val="18"/>
                <w:szCs w:val="18"/>
                <w:color w:val="0000FF"/>
                <w:w w:val="92"/>
              </w:rPr>
            </w:pPr>
            <w:hyperlink r:id="rId462">
              <w:r>
                <w:rPr>
                  <w:rFonts w:ascii="Arial" w:cs="Arial" w:eastAsia="Arial" w:hAnsi="Arial"/>
                  <w:sz w:val="18"/>
                  <w:szCs w:val="18"/>
                  <w:color w:val="0000FF"/>
                  <w:w w:val="92"/>
                </w:rPr>
                <w:t>by reference to Exhibit 10.5 to Form 10-Q filed on August 5, 2021 (File No. 001-35795))</w:t>
              </w:r>
            </w:hyperlink>
          </w:p>
        </w:tc>
        <w:tc>
          <w:tcPr>
            <w:tcW w:w="20" w:type="dxa"/>
            <w:vAlign w:val="bottom"/>
            <w:tcBorders>
              <w:top w:val="single" w:sz="8" w:color="0000FF"/>
              <w:bottom w:val="single" w:sz="8" w:color="0000EE"/>
            </w:tcBorders>
          </w:tcPr>
          <w:p>
            <w:pPr>
              <w:spacing w:after="0"/>
              <w:rPr>
                <w:sz w:val="17"/>
                <w:szCs w:val="17"/>
                <w:color w:val="auto"/>
              </w:rPr>
            </w:pPr>
          </w:p>
        </w:tc>
        <w:tc>
          <w:tcPr>
            <w:tcW w:w="3400" w:type="dxa"/>
            <w:vAlign w:val="bottom"/>
            <w:tcBorders>
              <w:top w:val="single" w:sz="8" w:color="0000FF"/>
            </w:tcBorders>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10.2.11#</w:t>
            </w:r>
          </w:p>
        </w:tc>
        <w:tc>
          <w:tcPr>
            <w:tcW w:w="9480" w:type="dxa"/>
            <w:vAlign w:val="bottom"/>
            <w:tcBorders>
              <w:bottom w:val="single" w:sz="8" w:color="0000FF"/>
            </w:tcBorders>
            <w:gridSpan w:val="21"/>
          </w:tcPr>
          <w:p>
            <w:pPr>
              <w:spacing w:after="0"/>
              <w:rPr>
                <w:rFonts w:ascii="Arial" w:cs="Arial" w:eastAsia="Arial" w:hAnsi="Arial"/>
                <w:sz w:val="18"/>
                <w:szCs w:val="18"/>
                <w:color w:val="0000FF"/>
                <w:w w:val="91"/>
              </w:rPr>
            </w:pPr>
            <w:hyperlink r:id="rId463">
              <w:r>
                <w:rPr>
                  <w:rFonts w:ascii="Arial" w:cs="Arial" w:eastAsia="Arial" w:hAnsi="Arial"/>
                  <w:sz w:val="18"/>
                  <w:szCs w:val="18"/>
                  <w:color w:val="0000FF"/>
                  <w:w w:val="91"/>
                </w:rPr>
                <w:t>Employment Agreement, dated as of August 27, 2018, between Gogo Business Aviation LLC and Sergio Aguirre (incorporated by</w:t>
              </w:r>
            </w:hyperlink>
          </w:p>
        </w:tc>
        <w:tc>
          <w:tcPr>
            <w:tcW w:w="400" w:type="dxa"/>
            <w:vAlign w:val="bottom"/>
            <w:gridSpan w:val="13"/>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6260" w:type="dxa"/>
            <w:vAlign w:val="bottom"/>
            <w:tcBorders>
              <w:bottom w:val="single" w:sz="8" w:color="0000EE"/>
            </w:tcBorders>
            <w:gridSpan w:val="6"/>
          </w:tcPr>
          <w:p>
            <w:pPr>
              <w:spacing w:after="0" w:line="195" w:lineRule="exact"/>
              <w:rPr>
                <w:rFonts w:ascii="Arial" w:cs="Arial" w:eastAsia="Arial" w:hAnsi="Arial"/>
                <w:sz w:val="18"/>
                <w:szCs w:val="18"/>
                <w:color w:val="0000FF"/>
                <w:w w:val="92"/>
              </w:rPr>
            </w:pPr>
            <w:hyperlink r:id="rId463">
              <w:r>
                <w:rPr>
                  <w:rFonts w:ascii="Arial" w:cs="Arial" w:eastAsia="Arial" w:hAnsi="Arial"/>
                  <w:sz w:val="18"/>
                  <w:szCs w:val="18"/>
                  <w:color w:val="0000FF"/>
                  <w:w w:val="92"/>
                </w:rPr>
                <w:t>reference to Exhibit 10.6 to Form 10-Q filed on August 5, 2021 (File No. 001-35795))</w:t>
              </w:r>
            </w:hyperlink>
          </w:p>
        </w:tc>
        <w:tc>
          <w:tcPr>
            <w:tcW w:w="3620" w:type="dxa"/>
            <w:vAlign w:val="bottom"/>
            <w:gridSpan w:val="28"/>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10.2.12#</w:t>
            </w:r>
          </w:p>
        </w:tc>
        <w:tc>
          <w:tcPr>
            <w:tcW w:w="9880" w:type="dxa"/>
            <w:vAlign w:val="bottom"/>
            <w:gridSpan w:val="34"/>
          </w:tcPr>
          <w:p>
            <w:pPr>
              <w:spacing w:after="0"/>
              <w:rPr>
                <w:rFonts w:ascii="Arial" w:cs="Arial" w:eastAsia="Arial" w:hAnsi="Arial"/>
                <w:sz w:val="18"/>
                <w:szCs w:val="18"/>
                <w:color w:val="0000FF"/>
              </w:rPr>
            </w:pPr>
            <w:hyperlink r:id="rId464">
              <w:r>
                <w:rPr>
                  <w:rFonts w:ascii="Arial" w:cs="Arial" w:eastAsia="Arial" w:hAnsi="Arial"/>
                  <w:sz w:val="18"/>
                  <w:szCs w:val="18"/>
                  <w:color w:val="0000FF"/>
                </w:rPr>
                <w:t>Form of Director Deferred Share Unit Agreement for Gogo Inc. Omnibus Incentive Plan (incorporated by</w:t>
              </w:r>
            </w:hyperlink>
          </w:p>
        </w:tc>
      </w:tr>
      <w:tr>
        <w:trPr>
          <w:trHeight w:val="196"/>
        </w:trPr>
        <w:tc>
          <w:tcPr>
            <w:tcW w:w="1360" w:type="dxa"/>
            <w:vAlign w:val="bottom"/>
          </w:tcPr>
          <w:p>
            <w:pPr>
              <w:spacing w:after="0"/>
              <w:rPr>
                <w:sz w:val="17"/>
                <w:szCs w:val="17"/>
                <w:color w:val="auto"/>
              </w:rPr>
            </w:pPr>
          </w:p>
        </w:tc>
        <w:tc>
          <w:tcPr>
            <w:tcW w:w="6260" w:type="dxa"/>
            <w:vAlign w:val="bottom"/>
            <w:tcBorders>
              <w:top w:val="single" w:sz="8" w:color="0000FF"/>
              <w:bottom w:val="single" w:sz="8" w:color="0000FF"/>
            </w:tcBorders>
            <w:gridSpan w:val="6"/>
          </w:tcPr>
          <w:p>
            <w:pPr>
              <w:spacing w:after="0" w:line="195" w:lineRule="exact"/>
              <w:rPr>
                <w:rFonts w:ascii="Arial" w:cs="Arial" w:eastAsia="Arial" w:hAnsi="Arial"/>
                <w:sz w:val="18"/>
                <w:szCs w:val="18"/>
                <w:color w:val="0000FF"/>
                <w:w w:val="92"/>
              </w:rPr>
            </w:pPr>
            <w:hyperlink r:id="rId464">
              <w:r>
                <w:rPr>
                  <w:rFonts w:ascii="Arial" w:cs="Arial" w:eastAsia="Arial" w:hAnsi="Arial"/>
                  <w:sz w:val="18"/>
                  <w:szCs w:val="18"/>
                  <w:color w:val="0000FF"/>
                  <w:w w:val="92"/>
                </w:rPr>
                <w:t>reference to Exhibit 10.7 to Form 10-Q filed on August 5, 2021 (File No. 001-35795))</w:t>
              </w:r>
            </w:hyperlink>
          </w:p>
        </w:tc>
        <w:tc>
          <w:tcPr>
            <w:tcW w:w="1380" w:type="dxa"/>
            <w:vAlign w:val="bottom"/>
            <w:tcBorders>
              <w:top w:val="single" w:sz="8" w:color="0000FF"/>
            </w:tcBorders>
            <w:gridSpan w:val="5"/>
          </w:tcPr>
          <w:p>
            <w:pPr>
              <w:spacing w:after="0"/>
              <w:rPr>
                <w:sz w:val="17"/>
                <w:szCs w:val="17"/>
                <w:color w:val="auto"/>
              </w:rPr>
            </w:pPr>
          </w:p>
        </w:tc>
        <w:tc>
          <w:tcPr>
            <w:tcW w:w="2240" w:type="dxa"/>
            <w:vAlign w:val="bottom"/>
            <w:gridSpan w:val="23"/>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10.2.13#</w:t>
            </w:r>
          </w:p>
        </w:tc>
        <w:tc>
          <w:tcPr>
            <w:tcW w:w="9880" w:type="dxa"/>
            <w:vAlign w:val="bottom"/>
            <w:gridSpan w:val="34"/>
          </w:tcPr>
          <w:p>
            <w:pPr>
              <w:spacing w:after="0"/>
              <w:rPr>
                <w:rFonts w:ascii="Arial" w:cs="Arial" w:eastAsia="Arial" w:hAnsi="Arial"/>
                <w:sz w:val="18"/>
                <w:szCs w:val="18"/>
                <w:color w:val="0000FF"/>
              </w:rPr>
            </w:pPr>
            <w:hyperlink r:id="rId465">
              <w:r>
                <w:rPr>
                  <w:rFonts w:ascii="Arial" w:cs="Arial" w:eastAsia="Arial" w:hAnsi="Arial"/>
                  <w:sz w:val="18"/>
                  <w:szCs w:val="18"/>
                  <w:color w:val="0000FF"/>
                </w:rPr>
                <w:t>Amendment to Non-Employee Director Options and Deferred Stock Units (incorporated by reference to Exhibit</w:t>
              </w:r>
            </w:hyperlink>
          </w:p>
        </w:tc>
      </w:tr>
      <w:tr>
        <w:trPr>
          <w:trHeight w:val="196"/>
        </w:trPr>
        <w:tc>
          <w:tcPr>
            <w:tcW w:w="1360" w:type="dxa"/>
            <w:vAlign w:val="bottom"/>
          </w:tcPr>
          <w:p>
            <w:pPr>
              <w:spacing w:after="0"/>
              <w:rPr>
                <w:sz w:val="17"/>
                <w:szCs w:val="17"/>
                <w:color w:val="auto"/>
              </w:rPr>
            </w:pPr>
          </w:p>
        </w:tc>
        <w:tc>
          <w:tcPr>
            <w:tcW w:w="8060" w:type="dxa"/>
            <w:vAlign w:val="bottom"/>
            <w:tcBorders>
              <w:top w:val="single" w:sz="8" w:color="0000FF"/>
            </w:tcBorders>
            <w:gridSpan w:val="12"/>
          </w:tcPr>
          <w:p>
            <w:pPr>
              <w:spacing w:after="0" w:line="195" w:lineRule="exact"/>
              <w:rPr>
                <w:rFonts w:ascii="Arial" w:cs="Arial" w:eastAsia="Arial" w:hAnsi="Arial"/>
                <w:sz w:val="18"/>
                <w:szCs w:val="18"/>
                <w:color w:val="0000FF"/>
              </w:rPr>
            </w:pPr>
            <w:hyperlink r:id="rId465">
              <w:r>
                <w:rPr>
                  <w:rFonts w:ascii="Arial" w:cs="Arial" w:eastAsia="Arial" w:hAnsi="Arial"/>
                  <w:sz w:val="18"/>
                  <w:szCs w:val="18"/>
                  <w:color w:val="0000FF"/>
                </w:rPr>
                <w:t>10.</w:t>
              </w:r>
              <w:r>
                <w:rPr>
                  <w:rFonts w:ascii="Arial" w:cs="Arial" w:eastAsia="Arial" w:hAnsi="Arial"/>
                  <w:sz w:val="18"/>
                  <w:szCs w:val="18"/>
                  <w:u w:val="single" w:color="auto"/>
                  <w:color w:val="0000FF"/>
                </w:rPr>
                <w:t>8</w:t>
              </w:r>
              <w:r>
                <w:rPr>
                  <w:rFonts w:ascii="Arial" w:cs="Arial" w:eastAsia="Arial" w:hAnsi="Arial"/>
                  <w:sz w:val="18"/>
                  <w:szCs w:val="18"/>
                  <w:color w:val="0000FF"/>
                </w:rPr>
                <w:t xml:space="preserve"> to Form 10-Q filed on August 5, 2021 (File No. 001-35795))</w:t>
              </w:r>
            </w:hyperlink>
          </w:p>
        </w:tc>
        <w:tc>
          <w:tcPr>
            <w:tcW w:w="1820" w:type="dxa"/>
            <w:vAlign w:val="bottom"/>
            <w:gridSpan w:val="2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540" w:type="dxa"/>
            <w:vAlign w:val="bottom"/>
            <w:tcBorders>
              <w:right w:val="single" w:sz="8" w:color="0000EE"/>
            </w:tcBorders>
            <w:gridSpan w:val="3"/>
            <w:shd w:val="clear" w:color="auto" w:fill="0000FF"/>
          </w:tcPr>
          <w:p>
            <w:pPr>
              <w:spacing w:after="0" w:line="20" w:lineRule="exact"/>
              <w:rPr>
                <w:sz w:val="1"/>
                <w:szCs w:val="1"/>
                <w:color w:val="auto"/>
              </w:rPr>
            </w:pPr>
          </w:p>
        </w:tc>
        <w:tc>
          <w:tcPr>
            <w:tcW w:w="486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10.2.14#</w:t>
            </w:r>
          </w:p>
        </w:tc>
        <w:tc>
          <w:tcPr>
            <w:tcW w:w="9720" w:type="dxa"/>
            <w:vAlign w:val="bottom"/>
            <w:tcBorders>
              <w:bottom w:val="single" w:sz="8" w:color="0000FF"/>
            </w:tcBorders>
            <w:gridSpan w:val="30"/>
          </w:tcPr>
          <w:p>
            <w:pPr>
              <w:spacing w:after="0"/>
              <w:rPr>
                <w:rFonts w:ascii="Arial" w:cs="Arial" w:eastAsia="Arial" w:hAnsi="Arial"/>
                <w:sz w:val="18"/>
                <w:szCs w:val="18"/>
                <w:color w:val="0000FF"/>
                <w:w w:val="91"/>
              </w:rPr>
            </w:pPr>
            <w:hyperlink r:id="rId466">
              <w:r>
                <w:rPr>
                  <w:rFonts w:ascii="Arial" w:cs="Arial" w:eastAsia="Arial" w:hAnsi="Arial"/>
                  <w:sz w:val="18"/>
                  <w:szCs w:val="18"/>
                  <w:color w:val="0000FF"/>
                  <w:w w:val="91"/>
                </w:rPr>
                <w:t>Amendment No. 1, dated March 25, 2022, to the Employment Agreement between Gogo Business Aviation LLC, as assignee of Gogo</w:t>
              </w:r>
            </w:hyperlink>
          </w:p>
        </w:tc>
        <w:tc>
          <w:tcPr>
            <w:tcW w:w="160" w:type="dxa"/>
            <w:vAlign w:val="bottom"/>
            <w:gridSpan w:val="4"/>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620" w:type="dxa"/>
            <w:vAlign w:val="bottom"/>
            <w:tcBorders>
              <w:bottom w:val="single" w:sz="8" w:color="0000FF"/>
            </w:tcBorders>
            <w:gridSpan w:val="25"/>
          </w:tcPr>
          <w:p>
            <w:pPr>
              <w:spacing w:after="0" w:line="195" w:lineRule="exact"/>
              <w:rPr>
                <w:rFonts w:ascii="Arial" w:cs="Arial" w:eastAsia="Arial" w:hAnsi="Arial"/>
                <w:sz w:val="18"/>
                <w:szCs w:val="18"/>
                <w:color w:val="0000FF"/>
                <w:w w:val="93"/>
              </w:rPr>
            </w:pPr>
            <w:hyperlink r:id="rId466">
              <w:r>
                <w:rPr>
                  <w:rFonts w:ascii="Arial" w:cs="Arial" w:eastAsia="Arial" w:hAnsi="Arial"/>
                  <w:sz w:val="18"/>
                  <w:szCs w:val="18"/>
                  <w:color w:val="0000FF"/>
                  <w:w w:val="93"/>
                </w:rPr>
                <w:t>LLC (f/k/a Aircell LLC), and Oakleigh Thorne (incorporated by reference to Exhibit 10.2.1 to Form 10-Q filed on May 5, 2022 (File</w:t>
              </w:r>
            </w:hyperlink>
          </w:p>
        </w:tc>
        <w:tc>
          <w:tcPr>
            <w:tcW w:w="26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20" w:type="dxa"/>
            <w:vAlign w:val="bottom"/>
            <w:tcBorders>
              <w:bottom w:val="single" w:sz="8" w:color="0000FF"/>
            </w:tcBorders>
            <w:gridSpan w:val="2"/>
          </w:tcPr>
          <w:p>
            <w:pPr>
              <w:spacing w:after="0" w:line="195" w:lineRule="exact"/>
              <w:rPr>
                <w:rFonts w:ascii="Arial" w:cs="Arial" w:eastAsia="Arial" w:hAnsi="Arial"/>
                <w:sz w:val="18"/>
                <w:szCs w:val="18"/>
                <w:color w:val="0000FF"/>
                <w:w w:val="91"/>
              </w:rPr>
            </w:pPr>
            <w:hyperlink r:id="rId466">
              <w:r>
                <w:rPr>
                  <w:rFonts w:ascii="Arial" w:cs="Arial" w:eastAsia="Arial" w:hAnsi="Arial"/>
                  <w:sz w:val="18"/>
                  <w:szCs w:val="18"/>
                  <w:color w:val="0000FF"/>
                  <w:w w:val="91"/>
                </w:rPr>
                <w:t>No. 001-35975))</w:t>
              </w:r>
            </w:hyperlink>
          </w:p>
        </w:tc>
        <w:tc>
          <w:tcPr>
            <w:tcW w:w="8660" w:type="dxa"/>
            <w:vAlign w:val="bottom"/>
            <w:gridSpan w:val="32"/>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10.2.15#</w:t>
            </w:r>
          </w:p>
        </w:tc>
        <w:tc>
          <w:tcPr>
            <w:tcW w:w="9720" w:type="dxa"/>
            <w:vAlign w:val="bottom"/>
            <w:tcBorders>
              <w:bottom w:val="single" w:sz="8" w:color="0000FF"/>
            </w:tcBorders>
            <w:gridSpan w:val="30"/>
          </w:tcPr>
          <w:p>
            <w:pPr>
              <w:spacing w:after="0"/>
              <w:rPr>
                <w:rFonts w:ascii="Arial" w:cs="Arial" w:eastAsia="Arial" w:hAnsi="Arial"/>
                <w:sz w:val="18"/>
                <w:szCs w:val="18"/>
                <w:color w:val="0000FF"/>
                <w:w w:val="91"/>
              </w:rPr>
            </w:pPr>
            <w:hyperlink r:id="rId467">
              <w:r>
                <w:rPr>
                  <w:rFonts w:ascii="Arial" w:cs="Arial" w:eastAsia="Arial" w:hAnsi="Arial"/>
                  <w:sz w:val="18"/>
                  <w:szCs w:val="18"/>
                  <w:color w:val="0000FF"/>
                  <w:w w:val="91"/>
                </w:rPr>
                <w:t>Amendment No. 1, dated March 25, 2022, to the Employment Agreement between Gogo Business Aviation LLC, as assignee of Gogo</w:t>
              </w:r>
            </w:hyperlink>
          </w:p>
        </w:tc>
        <w:tc>
          <w:tcPr>
            <w:tcW w:w="160" w:type="dxa"/>
            <w:vAlign w:val="bottom"/>
            <w:gridSpan w:val="4"/>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4"/>
          </w:tcPr>
          <w:p>
            <w:pPr>
              <w:spacing w:after="0" w:line="195" w:lineRule="exact"/>
              <w:rPr>
                <w:rFonts w:ascii="Arial" w:cs="Arial" w:eastAsia="Arial" w:hAnsi="Arial"/>
                <w:sz w:val="18"/>
                <w:szCs w:val="18"/>
                <w:color w:val="0000FF"/>
                <w:w w:val="95"/>
              </w:rPr>
            </w:pPr>
            <w:hyperlink r:id="rId467">
              <w:r>
                <w:rPr>
                  <w:rFonts w:ascii="Arial" w:cs="Arial" w:eastAsia="Arial" w:hAnsi="Arial"/>
                  <w:sz w:val="18"/>
                  <w:szCs w:val="18"/>
                  <w:color w:val="0000FF"/>
                  <w:w w:val="95"/>
                </w:rPr>
                <w:t>LLC (f/k/a Aircell LLC), and Barry Rowan (incorporated by reference to Exhibit 10.2.2 to Form 10-Q filed on May 5, 2022 (File No.</w:t>
              </w:r>
            </w:hyperlink>
          </w:p>
        </w:tc>
      </w:tr>
      <w:tr>
        <w:trPr>
          <w:trHeight w:val="196"/>
        </w:trPr>
        <w:tc>
          <w:tcPr>
            <w:tcW w:w="1360" w:type="dxa"/>
            <w:vAlign w:val="bottom"/>
          </w:tcPr>
          <w:p>
            <w:pPr>
              <w:spacing w:after="0"/>
              <w:rPr>
                <w:sz w:val="17"/>
                <w:szCs w:val="17"/>
                <w:color w:val="auto"/>
              </w:rPr>
            </w:pPr>
          </w:p>
        </w:tc>
        <w:tc>
          <w:tcPr>
            <w:tcW w:w="1220" w:type="dxa"/>
            <w:vAlign w:val="bottom"/>
            <w:tcBorders>
              <w:top w:val="single" w:sz="8" w:color="0000FF"/>
            </w:tcBorders>
            <w:gridSpan w:val="2"/>
          </w:tcPr>
          <w:p>
            <w:pPr>
              <w:spacing w:after="0" w:line="195" w:lineRule="exact"/>
              <w:rPr>
                <w:rFonts w:ascii="Arial" w:cs="Arial" w:eastAsia="Arial" w:hAnsi="Arial"/>
                <w:sz w:val="18"/>
                <w:szCs w:val="18"/>
                <w:color w:val="0000FF"/>
              </w:rPr>
            </w:pPr>
            <w:hyperlink r:id="rId467">
              <w:r>
                <w:rPr>
                  <w:rFonts w:ascii="Arial" w:cs="Arial" w:eastAsia="Arial" w:hAnsi="Arial"/>
                  <w:sz w:val="18"/>
                  <w:szCs w:val="18"/>
                  <w:color w:val="0000FF"/>
                </w:rPr>
                <w:t>001-35975))</w:t>
              </w:r>
            </w:hyperlink>
          </w:p>
        </w:tc>
        <w:tc>
          <w:tcPr>
            <w:tcW w:w="4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74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5"/>
        </w:trPr>
        <w:tc>
          <w:tcPr>
            <w:tcW w:w="136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860" w:type="dxa"/>
            <w:vAlign w:val="bottom"/>
            <w:gridSpan w:val="4"/>
          </w:tcPr>
          <w:p>
            <w:pPr>
              <w:jc w:val="right"/>
              <w:ind w:right="400"/>
              <w:spacing w:after="0"/>
              <w:rPr>
                <w:sz w:val="20"/>
                <w:szCs w:val="20"/>
                <w:color w:val="auto"/>
              </w:rPr>
            </w:pPr>
            <w:r>
              <w:rPr>
                <w:rFonts w:ascii="Arial" w:cs="Arial" w:eastAsia="Arial" w:hAnsi="Arial"/>
                <w:sz w:val="18"/>
                <w:szCs w:val="18"/>
                <w:color w:val="auto"/>
              </w:rPr>
              <w:t>96</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360" w:type="dxa"/>
            <w:vAlign w:val="bottom"/>
          </w:tcPr>
          <w:p>
            <w:pPr>
              <w:ind w:left="20"/>
              <w:spacing w:after="0"/>
              <w:rPr>
                <w:sz w:val="20"/>
                <w:szCs w:val="20"/>
                <w:color w:val="auto"/>
              </w:rPr>
            </w:pPr>
            <w:r>
              <w:rPr>
                <w:rFonts w:ascii="Arial" w:cs="Arial" w:eastAsia="Arial" w:hAnsi="Arial"/>
                <w:sz w:val="18"/>
                <w:szCs w:val="18"/>
                <w:color w:val="auto"/>
              </w:rPr>
              <w:t>10.2.16#</w:t>
            </w:r>
          </w:p>
        </w:tc>
        <w:tc>
          <w:tcPr>
            <w:tcW w:w="9600" w:type="dxa"/>
            <w:vAlign w:val="bottom"/>
            <w:tcBorders>
              <w:bottom w:val="single" w:sz="8" w:color="0000FF"/>
            </w:tcBorders>
            <w:gridSpan w:val="41"/>
          </w:tcPr>
          <w:p>
            <w:pPr>
              <w:spacing w:after="0"/>
              <w:rPr>
                <w:rFonts w:ascii="Arial" w:cs="Arial" w:eastAsia="Arial" w:hAnsi="Arial"/>
                <w:sz w:val="18"/>
                <w:szCs w:val="18"/>
                <w:color w:val="0000FF"/>
                <w:w w:val="91"/>
              </w:rPr>
            </w:pPr>
            <w:hyperlink r:id="rId470">
              <w:r>
                <w:rPr>
                  <w:rFonts w:ascii="Arial" w:cs="Arial" w:eastAsia="Arial" w:hAnsi="Arial"/>
                  <w:sz w:val="18"/>
                  <w:szCs w:val="18"/>
                  <w:color w:val="0000FF"/>
                  <w:w w:val="91"/>
                </w:rPr>
                <w:t>Amendment No. 1, dated March 25, 2022, to the Employment Agreement between Gogo Business Aviation LLC and Sergio Aguirre</w:t>
              </w:r>
            </w:hyperlink>
          </w:p>
        </w:tc>
        <w:tc>
          <w:tcPr>
            <w:tcW w:w="28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53"/>
          </w:tcPr>
          <w:p>
            <w:pPr>
              <w:spacing w:after="0" w:line="195" w:lineRule="exact"/>
              <w:rPr>
                <w:rFonts w:ascii="Arial" w:cs="Arial" w:eastAsia="Arial" w:hAnsi="Arial"/>
                <w:sz w:val="18"/>
                <w:szCs w:val="18"/>
                <w:color w:val="0000FF"/>
              </w:rPr>
            </w:pPr>
            <w:hyperlink r:id="rId470">
              <w:r>
                <w:rPr>
                  <w:rFonts w:ascii="Arial" w:cs="Arial" w:eastAsia="Arial" w:hAnsi="Arial"/>
                  <w:sz w:val="18"/>
                  <w:szCs w:val="18"/>
                  <w:color w:val="0000FF"/>
                </w:rPr>
                <w:t>(incorporated by reference to Exhibit 10.2.3 to Form 10-Q filed on May 5, 2022 (File No.</w:t>
              </w:r>
            </w:hyperlink>
          </w:p>
        </w:tc>
      </w:tr>
      <w:tr>
        <w:trPr>
          <w:trHeight w:val="196"/>
        </w:trPr>
        <w:tc>
          <w:tcPr>
            <w:tcW w:w="136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5" w:lineRule="exact"/>
              <w:rPr>
                <w:rFonts w:ascii="Arial" w:cs="Arial" w:eastAsia="Arial" w:hAnsi="Arial"/>
                <w:sz w:val="18"/>
                <w:szCs w:val="18"/>
                <w:color w:val="0000FF"/>
                <w:w w:val="89"/>
              </w:rPr>
            </w:pPr>
            <w:hyperlink r:id="rId470">
              <w:r>
                <w:rPr>
                  <w:rFonts w:ascii="Arial" w:cs="Arial" w:eastAsia="Arial" w:hAnsi="Arial"/>
                  <w:sz w:val="18"/>
                  <w:szCs w:val="18"/>
                  <w:color w:val="0000FF"/>
                  <w:w w:val="89"/>
                </w:rPr>
                <w:t>001-35975))</w:t>
              </w:r>
            </w:hyperlink>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10.2.17#</w:t>
            </w:r>
          </w:p>
        </w:tc>
        <w:tc>
          <w:tcPr>
            <w:tcW w:w="9720" w:type="dxa"/>
            <w:vAlign w:val="bottom"/>
            <w:tcBorders>
              <w:bottom w:val="single" w:sz="8" w:color="0000FF"/>
            </w:tcBorders>
            <w:gridSpan w:val="45"/>
          </w:tcPr>
          <w:p>
            <w:pPr>
              <w:spacing w:after="0"/>
              <w:rPr>
                <w:rFonts w:ascii="Arial" w:cs="Arial" w:eastAsia="Arial" w:hAnsi="Arial"/>
                <w:sz w:val="18"/>
                <w:szCs w:val="18"/>
                <w:color w:val="0000FF"/>
                <w:w w:val="91"/>
              </w:rPr>
            </w:pPr>
            <w:hyperlink r:id="rId471">
              <w:r>
                <w:rPr>
                  <w:rFonts w:ascii="Arial" w:cs="Arial" w:eastAsia="Arial" w:hAnsi="Arial"/>
                  <w:sz w:val="18"/>
                  <w:szCs w:val="18"/>
                  <w:color w:val="0000FF"/>
                  <w:w w:val="91"/>
                </w:rPr>
                <w:t>Amendment No. 3, dated March 25, 2022, to the Employment Agreement between Gogo Business Aviation LLC, as assignee of Gogo</w:t>
              </w:r>
            </w:hyperlink>
          </w:p>
        </w:tc>
        <w:tc>
          <w:tcPr>
            <w:tcW w:w="160" w:type="dxa"/>
            <w:vAlign w:val="bottom"/>
            <w:gridSpan w:val="8"/>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53"/>
          </w:tcPr>
          <w:p>
            <w:pPr>
              <w:spacing w:after="0" w:line="195" w:lineRule="exact"/>
              <w:rPr>
                <w:rFonts w:ascii="Arial" w:cs="Arial" w:eastAsia="Arial" w:hAnsi="Arial"/>
                <w:sz w:val="18"/>
                <w:szCs w:val="18"/>
                <w:color w:val="0000FF"/>
                <w:w w:val="93"/>
              </w:rPr>
            </w:pPr>
            <w:hyperlink r:id="rId471">
              <w:r>
                <w:rPr>
                  <w:rFonts w:ascii="Arial" w:cs="Arial" w:eastAsia="Arial" w:hAnsi="Arial"/>
                  <w:sz w:val="18"/>
                  <w:szCs w:val="18"/>
                  <w:color w:val="0000FF"/>
                  <w:w w:val="93"/>
                </w:rPr>
                <w:t>LLC (f/k/a Aircell LLC), and Marguerite Elias (incorporated by reference to Exhibit 10.2.4 to Form 10-Q filed on May 5, 2022 (File No.</w:t>
              </w:r>
            </w:hyperlink>
          </w:p>
        </w:tc>
      </w:tr>
      <w:tr>
        <w:trPr>
          <w:trHeight w:val="196"/>
        </w:trPr>
        <w:tc>
          <w:tcPr>
            <w:tcW w:w="1360" w:type="dxa"/>
            <w:vAlign w:val="bottom"/>
          </w:tcPr>
          <w:p>
            <w:pPr>
              <w:spacing w:after="0"/>
              <w:rPr>
                <w:sz w:val="17"/>
                <w:szCs w:val="17"/>
                <w:color w:val="auto"/>
              </w:rPr>
            </w:pPr>
          </w:p>
        </w:tc>
        <w:tc>
          <w:tcPr>
            <w:tcW w:w="900" w:type="dxa"/>
            <w:vAlign w:val="bottom"/>
            <w:tcBorders>
              <w:bottom w:val="single" w:sz="8" w:color="0000FF"/>
            </w:tcBorders>
          </w:tcPr>
          <w:p>
            <w:pPr>
              <w:spacing w:after="0" w:line="195" w:lineRule="exact"/>
              <w:rPr>
                <w:rFonts w:ascii="Arial" w:cs="Arial" w:eastAsia="Arial" w:hAnsi="Arial"/>
                <w:sz w:val="18"/>
                <w:szCs w:val="18"/>
                <w:color w:val="0000FF"/>
                <w:w w:val="89"/>
              </w:rPr>
            </w:pPr>
            <w:hyperlink r:id="rId471">
              <w:r>
                <w:rPr>
                  <w:rFonts w:ascii="Arial" w:cs="Arial" w:eastAsia="Arial" w:hAnsi="Arial"/>
                  <w:sz w:val="18"/>
                  <w:szCs w:val="18"/>
                  <w:color w:val="0000FF"/>
                  <w:w w:val="89"/>
                </w:rPr>
                <w:t>001-35975))</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10.2.18#</w:t>
            </w:r>
          </w:p>
        </w:tc>
        <w:tc>
          <w:tcPr>
            <w:tcW w:w="9720" w:type="dxa"/>
            <w:vAlign w:val="bottom"/>
            <w:tcBorders>
              <w:bottom w:val="single" w:sz="8" w:color="0000FF"/>
            </w:tcBorders>
            <w:gridSpan w:val="45"/>
          </w:tcPr>
          <w:p>
            <w:pPr>
              <w:spacing w:after="0"/>
              <w:rPr>
                <w:rFonts w:ascii="Arial" w:cs="Arial" w:eastAsia="Arial" w:hAnsi="Arial"/>
                <w:sz w:val="18"/>
                <w:szCs w:val="18"/>
                <w:color w:val="0000FF"/>
                <w:w w:val="91"/>
              </w:rPr>
            </w:pPr>
            <w:hyperlink r:id="rId472">
              <w:r>
                <w:rPr>
                  <w:rFonts w:ascii="Arial" w:cs="Arial" w:eastAsia="Arial" w:hAnsi="Arial"/>
                  <w:sz w:val="18"/>
                  <w:szCs w:val="18"/>
                  <w:color w:val="0000FF"/>
                  <w:w w:val="91"/>
                </w:rPr>
                <w:t>Amendment No. 1, dated March 25, 2022, to the Employment Agreement between Gogo Business Aviation LLC, as assignee of Gogo</w:t>
              </w:r>
            </w:hyperlink>
          </w:p>
        </w:tc>
        <w:tc>
          <w:tcPr>
            <w:tcW w:w="160" w:type="dxa"/>
            <w:vAlign w:val="bottom"/>
            <w:gridSpan w:val="8"/>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53"/>
          </w:tcPr>
          <w:p>
            <w:pPr>
              <w:spacing w:after="0" w:line="195" w:lineRule="exact"/>
              <w:rPr>
                <w:rFonts w:ascii="Arial" w:cs="Arial" w:eastAsia="Arial" w:hAnsi="Arial"/>
                <w:sz w:val="18"/>
                <w:szCs w:val="18"/>
                <w:color w:val="0000FF"/>
                <w:w w:val="94"/>
              </w:rPr>
            </w:pPr>
            <w:hyperlink r:id="rId472">
              <w:r>
                <w:rPr>
                  <w:rFonts w:ascii="Arial" w:cs="Arial" w:eastAsia="Arial" w:hAnsi="Arial"/>
                  <w:sz w:val="18"/>
                  <w:szCs w:val="18"/>
                  <w:color w:val="0000FF"/>
                  <w:w w:val="94"/>
                </w:rPr>
                <w:t>LLC (f/k/a Aircell LLC), and Karen Jackson (incorporated by reference to Exhibit 10.2.5 to Form 10-Q filed on May 5, 2022 (File No.</w:t>
              </w:r>
            </w:hyperlink>
          </w:p>
        </w:tc>
      </w:tr>
      <w:tr>
        <w:trPr>
          <w:trHeight w:val="196"/>
        </w:trPr>
        <w:tc>
          <w:tcPr>
            <w:tcW w:w="136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5" w:lineRule="exact"/>
              <w:rPr>
                <w:rFonts w:ascii="Arial" w:cs="Arial" w:eastAsia="Arial" w:hAnsi="Arial"/>
                <w:sz w:val="18"/>
                <w:szCs w:val="18"/>
                <w:color w:val="0000FF"/>
                <w:w w:val="89"/>
              </w:rPr>
            </w:pPr>
            <w:hyperlink r:id="rId472">
              <w:r>
                <w:rPr>
                  <w:rFonts w:ascii="Arial" w:cs="Arial" w:eastAsia="Arial" w:hAnsi="Arial"/>
                  <w:sz w:val="18"/>
                  <w:szCs w:val="18"/>
                  <w:color w:val="0000FF"/>
                  <w:w w:val="89"/>
                </w:rPr>
                <w:t>001-35975))</w:t>
              </w:r>
            </w:hyperlink>
          </w:p>
        </w:tc>
        <w:tc>
          <w:tcPr>
            <w:tcW w:w="20" w:type="dxa"/>
            <w:vAlign w:val="bottom"/>
            <w:tcBorders>
              <w:top w:val="single" w:sz="8" w:color="0000FF"/>
              <w:bottom w:val="single" w:sz="8" w:color="0000EE"/>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10.2.19#</w:t>
            </w:r>
          </w:p>
        </w:tc>
        <w:tc>
          <w:tcPr>
            <w:tcW w:w="9180" w:type="dxa"/>
            <w:vAlign w:val="bottom"/>
            <w:tcBorders>
              <w:bottom w:val="single" w:sz="8" w:color="0000FF"/>
            </w:tcBorders>
            <w:gridSpan w:val="36"/>
          </w:tcPr>
          <w:p>
            <w:pPr>
              <w:spacing w:after="0"/>
              <w:rPr>
                <w:rFonts w:ascii="Arial" w:cs="Arial" w:eastAsia="Arial" w:hAnsi="Arial"/>
                <w:sz w:val="18"/>
                <w:szCs w:val="18"/>
                <w:color w:val="0000FF"/>
                <w:w w:val="91"/>
              </w:rPr>
            </w:pPr>
            <w:hyperlink r:id="rId473">
              <w:r>
                <w:rPr>
                  <w:rFonts w:ascii="Arial" w:cs="Arial" w:eastAsia="Arial" w:hAnsi="Arial"/>
                  <w:sz w:val="18"/>
                  <w:szCs w:val="18"/>
                  <w:color w:val="0000FF"/>
                  <w:w w:val="91"/>
                </w:rPr>
                <w:t>Employment Agreement, effective as of March 11, 2023, by and between Gogo Business Aviation LLC and Jessica Betjemann</w:t>
              </w:r>
            </w:hyperlink>
          </w:p>
        </w:tc>
        <w:tc>
          <w:tcPr>
            <w:tcW w:w="700" w:type="dxa"/>
            <w:vAlign w:val="bottom"/>
            <w:gridSpan w:val="17"/>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53"/>
          </w:tcPr>
          <w:p>
            <w:pPr>
              <w:spacing w:after="0" w:line="195" w:lineRule="exact"/>
              <w:rPr>
                <w:rFonts w:ascii="Arial" w:cs="Arial" w:eastAsia="Arial" w:hAnsi="Arial"/>
                <w:sz w:val="18"/>
                <w:szCs w:val="18"/>
                <w:color w:val="0000FF"/>
              </w:rPr>
            </w:pPr>
            <w:hyperlink r:id="rId473">
              <w:r>
                <w:rPr>
                  <w:rFonts w:ascii="Arial" w:cs="Arial" w:eastAsia="Arial" w:hAnsi="Arial"/>
                  <w:sz w:val="18"/>
                  <w:szCs w:val="18"/>
                  <w:color w:val="0000FF"/>
                </w:rPr>
                <w:t>(incorporated by reference to Exhibit 10.1 to Form 8-K filed on February 14, 2023 (File No. 001-35975))</w:t>
              </w:r>
            </w:hyperlink>
          </w:p>
        </w:tc>
      </w:tr>
      <w:tr>
        <w:trPr>
          <w:trHeight w:val="20"/>
        </w:trPr>
        <w:tc>
          <w:tcPr>
            <w:tcW w:w="13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10.2.20#</w:t>
            </w:r>
          </w:p>
        </w:tc>
        <w:tc>
          <w:tcPr>
            <w:tcW w:w="8940" w:type="dxa"/>
            <w:vAlign w:val="bottom"/>
            <w:tcBorders>
              <w:bottom w:val="single" w:sz="8" w:color="0000FF"/>
            </w:tcBorders>
            <w:gridSpan w:val="34"/>
          </w:tcPr>
          <w:p>
            <w:pPr>
              <w:spacing w:after="0"/>
              <w:rPr>
                <w:rFonts w:ascii="Arial" w:cs="Arial" w:eastAsia="Arial" w:hAnsi="Arial"/>
                <w:sz w:val="18"/>
                <w:szCs w:val="18"/>
                <w:color w:val="0000FF"/>
                <w:w w:val="89"/>
              </w:rPr>
            </w:pPr>
            <w:hyperlink r:id="rId474">
              <w:r>
                <w:rPr>
                  <w:rFonts w:ascii="Arial" w:cs="Arial" w:eastAsia="Arial" w:hAnsi="Arial"/>
                  <w:sz w:val="18"/>
                  <w:szCs w:val="18"/>
                  <w:color w:val="0000FF"/>
                  <w:w w:val="89"/>
                </w:rPr>
                <w:t>Change in Control Severance Agreement, effective as of March 11, 2023, by and between Gogo Inc. and Jessica Betjemann</w:t>
              </w:r>
            </w:hyperlink>
          </w:p>
        </w:tc>
        <w:tc>
          <w:tcPr>
            <w:tcW w:w="940" w:type="dxa"/>
            <w:vAlign w:val="bottom"/>
            <w:gridSpan w:val="19"/>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53"/>
          </w:tcPr>
          <w:p>
            <w:pPr>
              <w:spacing w:after="0" w:line="195" w:lineRule="exact"/>
              <w:rPr>
                <w:rFonts w:ascii="Arial" w:cs="Arial" w:eastAsia="Arial" w:hAnsi="Arial"/>
                <w:sz w:val="18"/>
                <w:szCs w:val="18"/>
                <w:color w:val="0000FF"/>
              </w:rPr>
            </w:pPr>
            <w:hyperlink r:id="rId474">
              <w:r>
                <w:rPr>
                  <w:rFonts w:ascii="Arial" w:cs="Arial" w:eastAsia="Arial" w:hAnsi="Arial"/>
                  <w:sz w:val="18"/>
                  <w:szCs w:val="18"/>
                  <w:color w:val="0000FF"/>
                </w:rPr>
                <w:t>(incorporated by reference to Exhibit 10.2 to Form 8-K filed on February 14, 2023 (File No. 001-35975))</w:t>
              </w:r>
            </w:hyperlink>
          </w:p>
        </w:tc>
      </w:tr>
      <w:tr>
        <w:trPr>
          <w:trHeight w:val="20"/>
        </w:trPr>
        <w:tc>
          <w:tcPr>
            <w:tcW w:w="13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10.2.21#</w:t>
            </w:r>
          </w:p>
        </w:tc>
        <w:tc>
          <w:tcPr>
            <w:tcW w:w="9880" w:type="dxa"/>
            <w:vAlign w:val="bottom"/>
            <w:gridSpan w:val="53"/>
          </w:tcPr>
          <w:p>
            <w:pPr>
              <w:spacing w:after="0"/>
              <w:rPr>
                <w:sz w:val="20"/>
                <w:szCs w:val="20"/>
                <w:color w:val="auto"/>
              </w:rPr>
            </w:pPr>
            <w:r>
              <w:rPr>
                <w:rFonts w:ascii="Arial" w:cs="Arial" w:eastAsia="Arial" w:hAnsi="Arial"/>
                <w:sz w:val="18"/>
                <w:szCs w:val="18"/>
                <w:color w:val="0000FF"/>
                <w:w w:val="98"/>
              </w:rPr>
              <w:t>Employment Agreement, effective as of November 2, 2022, by and between Gogo Business Aviation LLC and Crystal Gordon</w:t>
            </w: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10.2.22#</w:t>
            </w:r>
          </w:p>
        </w:tc>
        <w:tc>
          <w:tcPr>
            <w:tcW w:w="8900" w:type="dxa"/>
            <w:vAlign w:val="bottom"/>
            <w:tcBorders>
              <w:top w:val="single" w:sz="8" w:color="0000FF"/>
              <w:bottom w:val="single" w:sz="8" w:color="0000FF"/>
            </w:tcBorders>
            <w:gridSpan w:val="32"/>
          </w:tcPr>
          <w:p>
            <w:pPr>
              <w:spacing w:after="0"/>
              <w:rPr>
                <w:sz w:val="20"/>
                <w:szCs w:val="20"/>
                <w:color w:val="auto"/>
              </w:rPr>
            </w:pPr>
            <w:r>
              <w:rPr>
                <w:rFonts w:ascii="Arial" w:cs="Arial" w:eastAsia="Arial" w:hAnsi="Arial"/>
                <w:sz w:val="18"/>
                <w:szCs w:val="18"/>
                <w:color w:val="0000FF"/>
                <w:w w:val="90"/>
              </w:rPr>
              <w:t>Change in Control Severance Agreement, effective as of November 2, 2022, by and between Gogo Inc. and Crystal Gordon</w:t>
            </w:r>
          </w:p>
        </w:tc>
        <w:tc>
          <w:tcPr>
            <w:tcW w:w="20" w:type="dxa"/>
            <w:vAlign w:val="bottom"/>
            <w:tcBorders>
              <w:top w:val="single" w:sz="8" w:color="0000FF"/>
              <w:bottom w:val="single" w:sz="8" w:color="0000EE"/>
            </w:tcBorders>
          </w:tcPr>
          <w:p>
            <w:pPr>
              <w:spacing w:after="0"/>
              <w:rPr>
                <w:sz w:val="19"/>
                <w:szCs w:val="19"/>
                <w:color w:val="auto"/>
              </w:rPr>
            </w:pPr>
          </w:p>
        </w:tc>
        <w:tc>
          <w:tcPr>
            <w:tcW w:w="200" w:type="dxa"/>
            <w:vAlign w:val="bottom"/>
            <w:tcBorders>
              <w:top w:val="single" w:sz="8" w:color="0000FF"/>
            </w:tcBorders>
            <w:gridSpan w:val="2"/>
          </w:tcPr>
          <w:p>
            <w:pPr>
              <w:spacing w:after="0"/>
              <w:rPr>
                <w:sz w:val="19"/>
                <w:szCs w:val="19"/>
                <w:color w:val="auto"/>
              </w:rPr>
            </w:pPr>
          </w:p>
        </w:tc>
        <w:tc>
          <w:tcPr>
            <w:tcW w:w="760" w:type="dxa"/>
            <w:vAlign w:val="bottom"/>
            <w:gridSpan w:val="18"/>
          </w:tcPr>
          <w:p>
            <w:pPr>
              <w:spacing w:after="0"/>
              <w:rPr>
                <w:sz w:val="19"/>
                <w:szCs w:val="19"/>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10.3.1#</w:t>
            </w:r>
          </w:p>
        </w:tc>
        <w:tc>
          <w:tcPr>
            <w:tcW w:w="9760" w:type="dxa"/>
            <w:vAlign w:val="bottom"/>
            <w:tcBorders>
              <w:bottom w:val="single" w:sz="8" w:color="0000FF"/>
            </w:tcBorders>
            <w:gridSpan w:val="47"/>
          </w:tcPr>
          <w:p>
            <w:pPr>
              <w:spacing w:after="0"/>
              <w:rPr>
                <w:rFonts w:ascii="Arial" w:cs="Arial" w:eastAsia="Arial" w:hAnsi="Arial"/>
                <w:sz w:val="18"/>
                <w:szCs w:val="18"/>
                <w:color w:val="0000FF"/>
                <w:w w:val="92"/>
              </w:rPr>
            </w:pPr>
            <w:hyperlink r:id="rId475">
              <w:r>
                <w:rPr>
                  <w:rFonts w:ascii="Arial" w:cs="Arial" w:eastAsia="Arial" w:hAnsi="Arial"/>
                  <w:sz w:val="18"/>
                  <w:szCs w:val="18"/>
                  <w:color w:val="0000FF"/>
                  <w:w w:val="92"/>
                </w:rPr>
                <w:t>Aircell Holdings Inc. Stock Option Plan (incorporated by reference to Exhibit 10.3.1 to Gogo Inc. Registration Statement on Form S-1</w:t>
              </w:r>
            </w:hyperlink>
          </w:p>
        </w:tc>
        <w:tc>
          <w:tcPr>
            <w:tcW w:w="120" w:type="dxa"/>
            <w:vAlign w:val="bottom"/>
            <w:gridSpan w:val="6"/>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1700" w:type="dxa"/>
            <w:vAlign w:val="bottom"/>
            <w:tcBorders>
              <w:bottom w:val="single" w:sz="8" w:color="0000FF"/>
            </w:tcBorders>
            <w:gridSpan w:val="5"/>
          </w:tcPr>
          <w:p>
            <w:pPr>
              <w:spacing w:after="0" w:line="195" w:lineRule="exact"/>
              <w:rPr>
                <w:rFonts w:ascii="Arial" w:cs="Arial" w:eastAsia="Arial" w:hAnsi="Arial"/>
                <w:sz w:val="18"/>
                <w:szCs w:val="18"/>
                <w:color w:val="0000FF"/>
                <w:w w:val="92"/>
              </w:rPr>
            </w:pPr>
            <w:hyperlink r:id="rId475">
              <w:r>
                <w:rPr>
                  <w:rFonts w:ascii="Arial" w:cs="Arial" w:eastAsia="Arial" w:hAnsi="Arial"/>
                  <w:sz w:val="18"/>
                  <w:szCs w:val="18"/>
                  <w:color w:val="0000FF"/>
                  <w:w w:val="92"/>
                </w:rPr>
                <w:t>(File No. 333-178727))</w:t>
              </w:r>
            </w:hyperlink>
          </w:p>
        </w:tc>
        <w:tc>
          <w:tcPr>
            <w:tcW w:w="20" w:type="dxa"/>
            <w:vAlign w:val="bottom"/>
            <w:tcBorders>
              <w:bottom w:val="single" w:sz="8" w:color="0000EE"/>
            </w:tcBorders>
          </w:tcPr>
          <w:p>
            <w:pPr>
              <w:spacing w:after="0"/>
              <w:rPr>
                <w:sz w:val="17"/>
                <w:szCs w:val="17"/>
                <w:color w:val="auto"/>
              </w:rPr>
            </w:pPr>
          </w:p>
        </w:tc>
        <w:tc>
          <w:tcPr>
            <w:tcW w:w="8160" w:type="dxa"/>
            <w:vAlign w:val="bottom"/>
            <w:gridSpan w:val="47"/>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10.3.2#</w:t>
            </w:r>
          </w:p>
        </w:tc>
        <w:tc>
          <w:tcPr>
            <w:tcW w:w="9540" w:type="dxa"/>
            <w:vAlign w:val="bottom"/>
            <w:tcBorders>
              <w:bottom w:val="single" w:sz="8" w:color="0000FF"/>
            </w:tcBorders>
            <w:gridSpan w:val="40"/>
          </w:tcPr>
          <w:p>
            <w:pPr>
              <w:spacing w:after="0"/>
              <w:rPr>
                <w:rFonts w:ascii="Arial" w:cs="Arial" w:eastAsia="Arial" w:hAnsi="Arial"/>
                <w:sz w:val="18"/>
                <w:szCs w:val="18"/>
                <w:color w:val="0000FF"/>
                <w:w w:val="92"/>
              </w:rPr>
            </w:pPr>
            <w:hyperlink r:id="rId476">
              <w:r>
                <w:rPr>
                  <w:rFonts w:ascii="Arial" w:cs="Arial" w:eastAsia="Arial" w:hAnsi="Arial"/>
                  <w:sz w:val="18"/>
                  <w:szCs w:val="18"/>
                  <w:color w:val="0000FF"/>
                  <w:w w:val="92"/>
                </w:rPr>
                <w:t>Amendment No. 1 to the Aircell Holdings Inc. Stock Option Plan, effective as of June 2, 2010 (incorporated by reference to Exhibit</w:t>
              </w:r>
            </w:hyperlink>
          </w:p>
        </w:tc>
        <w:tc>
          <w:tcPr>
            <w:tcW w:w="340" w:type="dxa"/>
            <w:vAlign w:val="bottom"/>
            <w:gridSpan w:val="13"/>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5780" w:type="dxa"/>
            <w:vAlign w:val="bottom"/>
            <w:tcBorders>
              <w:bottom w:val="single" w:sz="8" w:color="0000FF"/>
            </w:tcBorders>
            <w:gridSpan w:val="24"/>
          </w:tcPr>
          <w:p>
            <w:pPr>
              <w:spacing w:after="0" w:line="195" w:lineRule="exact"/>
              <w:rPr>
                <w:rFonts w:ascii="Arial" w:cs="Arial" w:eastAsia="Arial" w:hAnsi="Arial"/>
                <w:sz w:val="18"/>
                <w:szCs w:val="18"/>
                <w:color w:val="0000FF"/>
                <w:w w:val="91"/>
              </w:rPr>
            </w:pPr>
            <w:hyperlink r:id="rId47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3.2</w:t>
              </w:r>
              <w:r>
                <w:rPr>
                  <w:rFonts w:ascii="Arial" w:cs="Arial" w:eastAsia="Arial" w:hAnsi="Arial"/>
                  <w:sz w:val="18"/>
                  <w:szCs w:val="18"/>
                  <w:color w:val="0000FF"/>
                  <w:w w:val="91"/>
                </w:rPr>
                <w:t xml:space="preserve"> to Gogo Inc. Registration Statement on Form S-1 (File No. 333-178727))</w:t>
              </w:r>
            </w:hyperlink>
          </w:p>
        </w:tc>
        <w:tc>
          <w:tcPr>
            <w:tcW w:w="20" w:type="dxa"/>
            <w:vAlign w:val="bottom"/>
            <w:tcBorders>
              <w:bottom w:val="single" w:sz="8" w:color="0000EE"/>
            </w:tcBorders>
          </w:tcPr>
          <w:p>
            <w:pPr>
              <w:spacing w:after="0"/>
              <w:rPr>
                <w:sz w:val="17"/>
                <w:szCs w:val="17"/>
                <w:color w:val="auto"/>
              </w:rPr>
            </w:pPr>
          </w:p>
        </w:tc>
        <w:tc>
          <w:tcPr>
            <w:tcW w:w="4080" w:type="dxa"/>
            <w:vAlign w:val="bottom"/>
            <w:gridSpan w:val="28"/>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10.3.3#</w:t>
            </w:r>
          </w:p>
        </w:tc>
        <w:tc>
          <w:tcPr>
            <w:tcW w:w="9760" w:type="dxa"/>
            <w:vAlign w:val="bottom"/>
            <w:tcBorders>
              <w:bottom w:val="single" w:sz="8" w:color="0000FF"/>
            </w:tcBorders>
            <w:gridSpan w:val="48"/>
          </w:tcPr>
          <w:p>
            <w:pPr>
              <w:spacing w:after="0"/>
              <w:rPr>
                <w:rFonts w:ascii="Arial" w:cs="Arial" w:eastAsia="Arial" w:hAnsi="Arial"/>
                <w:sz w:val="18"/>
                <w:szCs w:val="18"/>
                <w:color w:val="0000FF"/>
                <w:w w:val="91"/>
              </w:rPr>
            </w:pPr>
            <w:hyperlink r:id="rId477">
              <w:r>
                <w:rPr>
                  <w:rFonts w:ascii="Arial" w:cs="Arial" w:eastAsia="Arial" w:hAnsi="Arial"/>
                  <w:sz w:val="18"/>
                  <w:szCs w:val="18"/>
                  <w:color w:val="0000FF"/>
                  <w:w w:val="91"/>
                </w:rPr>
                <w:t>Amendment No. 2 to the Aircell Holdings Inc. Stock Option Plan, dated as of December 14, 2011(incorporated by reference to Exhibit</w:t>
              </w:r>
            </w:hyperlink>
          </w:p>
        </w:tc>
        <w:tc>
          <w:tcPr>
            <w:tcW w:w="120" w:type="dxa"/>
            <w:vAlign w:val="bottom"/>
            <w:gridSpan w:val="5"/>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5780" w:type="dxa"/>
            <w:vAlign w:val="bottom"/>
            <w:tcBorders>
              <w:bottom w:val="single" w:sz="8" w:color="0000FF"/>
            </w:tcBorders>
            <w:gridSpan w:val="24"/>
          </w:tcPr>
          <w:p>
            <w:pPr>
              <w:spacing w:after="0" w:line="195" w:lineRule="exact"/>
              <w:rPr>
                <w:rFonts w:ascii="Arial" w:cs="Arial" w:eastAsia="Arial" w:hAnsi="Arial"/>
                <w:sz w:val="18"/>
                <w:szCs w:val="18"/>
                <w:color w:val="0000FF"/>
                <w:w w:val="91"/>
              </w:rPr>
            </w:pPr>
            <w:hyperlink r:id="rId47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3.3</w:t>
              </w:r>
              <w:r>
                <w:rPr>
                  <w:rFonts w:ascii="Arial" w:cs="Arial" w:eastAsia="Arial" w:hAnsi="Arial"/>
                  <w:sz w:val="18"/>
                  <w:szCs w:val="18"/>
                  <w:color w:val="0000FF"/>
                  <w:w w:val="91"/>
                </w:rPr>
                <w:t xml:space="preserve"> to Gogo Inc. Registration Statement on Form S-1 (File No. 333-178727))</w:t>
              </w:r>
            </w:hyperlink>
          </w:p>
        </w:tc>
        <w:tc>
          <w:tcPr>
            <w:tcW w:w="20" w:type="dxa"/>
            <w:vAlign w:val="bottom"/>
            <w:tcBorders>
              <w:bottom w:val="single" w:sz="8" w:color="0000EE"/>
            </w:tcBorders>
          </w:tcPr>
          <w:p>
            <w:pPr>
              <w:spacing w:after="0"/>
              <w:rPr>
                <w:sz w:val="17"/>
                <w:szCs w:val="17"/>
                <w:color w:val="auto"/>
              </w:rPr>
            </w:pPr>
          </w:p>
        </w:tc>
        <w:tc>
          <w:tcPr>
            <w:tcW w:w="4080" w:type="dxa"/>
            <w:vAlign w:val="bottom"/>
            <w:gridSpan w:val="28"/>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10.3.4#</w:t>
            </w:r>
          </w:p>
        </w:tc>
        <w:tc>
          <w:tcPr>
            <w:tcW w:w="9620" w:type="dxa"/>
            <w:vAlign w:val="bottom"/>
            <w:tcBorders>
              <w:bottom w:val="single" w:sz="8" w:color="0000FF"/>
            </w:tcBorders>
            <w:gridSpan w:val="42"/>
          </w:tcPr>
          <w:p>
            <w:pPr>
              <w:spacing w:after="0"/>
              <w:rPr>
                <w:rFonts w:ascii="Arial" w:cs="Arial" w:eastAsia="Arial" w:hAnsi="Arial"/>
                <w:sz w:val="18"/>
                <w:szCs w:val="18"/>
                <w:color w:val="0000FF"/>
                <w:w w:val="92"/>
              </w:rPr>
            </w:pPr>
            <w:hyperlink r:id="rId478">
              <w:r>
                <w:rPr>
                  <w:rFonts w:ascii="Arial" w:cs="Arial" w:eastAsia="Arial" w:hAnsi="Arial"/>
                  <w:sz w:val="18"/>
                  <w:szCs w:val="18"/>
                  <w:color w:val="0000FF"/>
                  <w:w w:val="92"/>
                </w:rPr>
                <w:t>Amendment No. 3 to the Aircell Holdings Inc. Stock Option Plan, effective as of May 31, 2013 (incorporated by reference to Exhibit</w:t>
              </w:r>
            </w:hyperlink>
          </w:p>
        </w:tc>
        <w:tc>
          <w:tcPr>
            <w:tcW w:w="260" w:type="dxa"/>
            <w:vAlign w:val="bottom"/>
            <w:gridSpan w:val="11"/>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5780" w:type="dxa"/>
            <w:vAlign w:val="bottom"/>
            <w:tcBorders>
              <w:bottom w:val="single" w:sz="8" w:color="0000FF"/>
            </w:tcBorders>
            <w:gridSpan w:val="24"/>
          </w:tcPr>
          <w:p>
            <w:pPr>
              <w:spacing w:after="0" w:line="195" w:lineRule="exact"/>
              <w:rPr>
                <w:rFonts w:ascii="Arial" w:cs="Arial" w:eastAsia="Arial" w:hAnsi="Arial"/>
                <w:sz w:val="18"/>
                <w:szCs w:val="18"/>
                <w:color w:val="0000FF"/>
                <w:w w:val="91"/>
              </w:rPr>
            </w:pPr>
            <w:hyperlink r:id="rId47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3.4</w:t>
              </w:r>
              <w:r>
                <w:rPr>
                  <w:rFonts w:ascii="Arial" w:cs="Arial" w:eastAsia="Arial" w:hAnsi="Arial"/>
                  <w:sz w:val="18"/>
                  <w:szCs w:val="18"/>
                  <w:color w:val="0000FF"/>
                  <w:w w:val="91"/>
                </w:rPr>
                <w:t xml:space="preserve"> to Gogo Inc. Registration Statement on Form S-1 (File No. 333-178727))</w:t>
              </w:r>
            </w:hyperlink>
          </w:p>
        </w:tc>
        <w:tc>
          <w:tcPr>
            <w:tcW w:w="20" w:type="dxa"/>
            <w:vAlign w:val="bottom"/>
            <w:tcBorders>
              <w:bottom w:val="single" w:sz="8" w:color="0000EE"/>
            </w:tcBorders>
          </w:tcPr>
          <w:p>
            <w:pPr>
              <w:spacing w:after="0"/>
              <w:rPr>
                <w:sz w:val="17"/>
                <w:szCs w:val="17"/>
                <w:color w:val="auto"/>
              </w:rPr>
            </w:pPr>
          </w:p>
        </w:tc>
        <w:tc>
          <w:tcPr>
            <w:tcW w:w="4080" w:type="dxa"/>
            <w:vAlign w:val="bottom"/>
            <w:gridSpan w:val="28"/>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10.3.5#</w:t>
            </w:r>
          </w:p>
        </w:tc>
        <w:tc>
          <w:tcPr>
            <w:tcW w:w="9820" w:type="dxa"/>
            <w:vAlign w:val="bottom"/>
            <w:tcBorders>
              <w:bottom w:val="single" w:sz="8" w:color="0000FF"/>
            </w:tcBorders>
            <w:gridSpan w:val="50"/>
          </w:tcPr>
          <w:p>
            <w:pPr>
              <w:spacing w:after="0"/>
              <w:rPr>
                <w:rFonts w:ascii="Arial" w:cs="Arial" w:eastAsia="Arial" w:hAnsi="Arial"/>
                <w:sz w:val="18"/>
                <w:szCs w:val="18"/>
                <w:color w:val="0000FF"/>
                <w:w w:val="92"/>
              </w:rPr>
            </w:pPr>
            <w:hyperlink r:id="rId478">
              <w:r>
                <w:rPr>
                  <w:rFonts w:ascii="Arial" w:cs="Arial" w:eastAsia="Arial" w:hAnsi="Arial"/>
                  <w:sz w:val="18"/>
                  <w:szCs w:val="18"/>
                  <w:color w:val="0000FF"/>
                  <w:w w:val="92"/>
                </w:rPr>
                <w:t>Form of Stock Option Agreement for Aircell Holdings Inc. Stock Option Plan (incorporated by reference to Exhibit 10.3.4 to Gogo Inc.</w:t>
              </w:r>
            </w:hyperlink>
          </w:p>
        </w:tc>
        <w:tc>
          <w:tcPr>
            <w:tcW w:w="60" w:type="dxa"/>
            <w:vAlign w:val="bottom"/>
            <w:gridSpan w:val="3"/>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4340" w:type="dxa"/>
            <w:vAlign w:val="bottom"/>
            <w:tcBorders>
              <w:bottom w:val="single" w:sz="8" w:color="0000FF"/>
            </w:tcBorders>
            <w:gridSpan w:val="16"/>
          </w:tcPr>
          <w:p>
            <w:pPr>
              <w:spacing w:after="0" w:line="195" w:lineRule="exact"/>
              <w:rPr>
                <w:rFonts w:ascii="Arial" w:cs="Arial" w:eastAsia="Arial" w:hAnsi="Arial"/>
                <w:sz w:val="18"/>
                <w:szCs w:val="18"/>
                <w:color w:val="0000FF"/>
                <w:w w:val="91"/>
              </w:rPr>
            </w:pPr>
            <w:hyperlink r:id="rId478">
              <w:r>
                <w:rPr>
                  <w:rFonts w:ascii="Arial" w:cs="Arial" w:eastAsia="Arial" w:hAnsi="Arial"/>
                  <w:sz w:val="18"/>
                  <w:szCs w:val="18"/>
                  <w:color w:val="0000FF"/>
                  <w:w w:val="91"/>
                </w:rPr>
                <w:t>Registration Statement on Form S-1 (File No. 333-178727))</w:t>
              </w:r>
            </w:hyperlink>
          </w:p>
        </w:tc>
        <w:tc>
          <w:tcPr>
            <w:tcW w:w="20" w:type="dxa"/>
            <w:vAlign w:val="bottom"/>
            <w:tcBorders>
              <w:bottom w:val="single" w:sz="8" w:color="0000EE"/>
            </w:tcBorders>
          </w:tcPr>
          <w:p>
            <w:pPr>
              <w:spacing w:after="0"/>
              <w:rPr>
                <w:sz w:val="17"/>
                <w:szCs w:val="17"/>
                <w:color w:val="auto"/>
              </w:rPr>
            </w:pPr>
          </w:p>
        </w:tc>
        <w:tc>
          <w:tcPr>
            <w:tcW w:w="5520" w:type="dxa"/>
            <w:vAlign w:val="bottom"/>
            <w:gridSpan w:val="36"/>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10.3.6#</w:t>
            </w:r>
          </w:p>
        </w:tc>
        <w:tc>
          <w:tcPr>
            <w:tcW w:w="9440" w:type="dxa"/>
            <w:vAlign w:val="bottom"/>
            <w:tcBorders>
              <w:bottom w:val="single" w:sz="8" w:color="0000FF"/>
            </w:tcBorders>
            <w:gridSpan w:val="38"/>
          </w:tcPr>
          <w:p>
            <w:pPr>
              <w:spacing w:after="0"/>
              <w:rPr>
                <w:rFonts w:ascii="Arial" w:cs="Arial" w:eastAsia="Arial" w:hAnsi="Arial"/>
                <w:sz w:val="18"/>
                <w:szCs w:val="18"/>
                <w:color w:val="0000FF"/>
                <w:w w:val="92"/>
              </w:rPr>
            </w:pPr>
            <w:hyperlink r:id="rId479">
              <w:r>
                <w:rPr>
                  <w:rFonts w:ascii="Arial" w:cs="Arial" w:eastAsia="Arial" w:hAnsi="Arial"/>
                  <w:sz w:val="18"/>
                  <w:szCs w:val="18"/>
                  <w:color w:val="0000FF"/>
                  <w:w w:val="92"/>
                </w:rPr>
                <w:t>Form of Stock Option Agreement for Aircell Holdings Inc. Stock Option Plan (for June 2013 grants) (incorporated by reference to</w:t>
              </w:r>
            </w:hyperlink>
          </w:p>
        </w:tc>
        <w:tc>
          <w:tcPr>
            <w:tcW w:w="440" w:type="dxa"/>
            <w:vAlign w:val="bottom"/>
            <w:gridSpan w:val="15"/>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53"/>
          </w:tcPr>
          <w:p>
            <w:pPr>
              <w:spacing w:after="0" w:line="195" w:lineRule="exact"/>
              <w:rPr>
                <w:rFonts w:ascii="Arial" w:cs="Arial" w:eastAsia="Arial" w:hAnsi="Arial"/>
                <w:sz w:val="18"/>
                <w:szCs w:val="18"/>
                <w:color w:val="0000FF"/>
              </w:rPr>
            </w:pPr>
            <w:hyperlink r:id="rId479">
              <w:r>
                <w:rPr>
                  <w:rFonts w:ascii="Arial" w:cs="Arial" w:eastAsia="Arial" w:hAnsi="Arial"/>
                  <w:sz w:val="18"/>
                  <w:szCs w:val="18"/>
                  <w:color w:val="0000FF"/>
                </w:rPr>
                <w:t>Exhibit 10.3.6 to Gogo Inc. Registration Statement on Form S-1 (File No. 333-178727))</w:t>
              </w:r>
            </w:hyperlink>
          </w:p>
        </w:tc>
      </w:tr>
      <w:tr>
        <w:trPr>
          <w:trHeight w:val="20"/>
        </w:trPr>
        <w:tc>
          <w:tcPr>
            <w:tcW w:w="13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10.4.1#</w:t>
            </w:r>
          </w:p>
        </w:tc>
        <w:tc>
          <w:tcPr>
            <w:tcW w:w="9880" w:type="dxa"/>
            <w:vAlign w:val="bottom"/>
            <w:tcBorders>
              <w:bottom w:val="single" w:sz="8" w:color="0000FF"/>
            </w:tcBorders>
            <w:gridSpan w:val="53"/>
          </w:tcPr>
          <w:p>
            <w:pPr>
              <w:spacing w:after="0"/>
              <w:rPr>
                <w:rFonts w:ascii="Arial" w:cs="Arial" w:eastAsia="Arial" w:hAnsi="Arial"/>
                <w:sz w:val="18"/>
                <w:szCs w:val="18"/>
                <w:color w:val="0000FF"/>
                <w:w w:val="91"/>
              </w:rPr>
            </w:pPr>
            <w:hyperlink r:id="rId480">
              <w:r>
                <w:rPr>
                  <w:rFonts w:ascii="Arial" w:cs="Arial" w:eastAsia="Arial" w:hAnsi="Arial"/>
                  <w:sz w:val="18"/>
                  <w:szCs w:val="18"/>
                  <w:color w:val="0000FF"/>
                  <w:w w:val="91"/>
                </w:rPr>
                <w:t>Gogo Inc. Omnibus Incentive Plan (incorporated by reference to Exhibit 10.5 to Gogo Inc. Registration Statement on Form S-1 (File No.</w:t>
              </w:r>
            </w:hyperlink>
          </w:p>
        </w:tc>
      </w:tr>
      <w:tr>
        <w:trPr>
          <w:trHeight w:val="196"/>
        </w:trPr>
        <w:tc>
          <w:tcPr>
            <w:tcW w:w="1360" w:type="dxa"/>
            <w:vAlign w:val="bottom"/>
          </w:tcPr>
          <w:p>
            <w:pPr>
              <w:spacing w:after="0"/>
              <w:rPr>
                <w:sz w:val="17"/>
                <w:szCs w:val="17"/>
                <w:color w:val="auto"/>
              </w:rPr>
            </w:pPr>
          </w:p>
        </w:tc>
        <w:tc>
          <w:tcPr>
            <w:tcW w:w="1000" w:type="dxa"/>
            <w:vAlign w:val="bottom"/>
            <w:tcBorders>
              <w:bottom w:val="single" w:sz="8" w:color="0000FF"/>
            </w:tcBorders>
            <w:gridSpan w:val="3"/>
          </w:tcPr>
          <w:p>
            <w:pPr>
              <w:spacing w:after="0" w:line="195" w:lineRule="exact"/>
              <w:rPr>
                <w:rFonts w:ascii="Arial" w:cs="Arial" w:eastAsia="Arial" w:hAnsi="Arial"/>
                <w:sz w:val="18"/>
                <w:szCs w:val="18"/>
                <w:color w:val="0000FF"/>
                <w:w w:val="90"/>
              </w:rPr>
            </w:pPr>
            <w:hyperlink r:id="rId480">
              <w:r>
                <w:rPr>
                  <w:rFonts w:ascii="Arial" w:cs="Arial" w:eastAsia="Arial" w:hAnsi="Arial"/>
                  <w:sz w:val="18"/>
                  <w:szCs w:val="18"/>
                  <w:color w:val="0000FF"/>
                  <w:w w:val="90"/>
                </w:rPr>
                <w:t>333-178727))</w:t>
              </w:r>
            </w:hyperlink>
          </w:p>
        </w:tc>
        <w:tc>
          <w:tcPr>
            <w:tcW w:w="20" w:type="dxa"/>
            <w:vAlign w:val="bottom"/>
            <w:tcBorders>
              <w:bottom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10.4.2#</w:t>
            </w:r>
          </w:p>
        </w:tc>
        <w:tc>
          <w:tcPr>
            <w:tcW w:w="9880" w:type="dxa"/>
            <w:vAlign w:val="bottom"/>
            <w:tcBorders>
              <w:bottom w:val="single" w:sz="8" w:color="0000FF"/>
            </w:tcBorders>
            <w:gridSpan w:val="53"/>
          </w:tcPr>
          <w:p>
            <w:pPr>
              <w:spacing w:after="0"/>
              <w:rPr>
                <w:rFonts w:ascii="Arial" w:cs="Arial" w:eastAsia="Arial" w:hAnsi="Arial"/>
                <w:sz w:val="18"/>
                <w:szCs w:val="18"/>
                <w:color w:val="0000FF"/>
                <w:w w:val="92"/>
              </w:rPr>
            </w:pPr>
            <w:hyperlink r:id="rId481">
              <w:r>
                <w:rPr>
                  <w:rFonts w:ascii="Arial" w:cs="Arial" w:eastAsia="Arial" w:hAnsi="Arial"/>
                  <w:sz w:val="18"/>
                  <w:szCs w:val="18"/>
                  <w:color w:val="0000FF"/>
                  <w:w w:val="92"/>
                </w:rPr>
                <w:t>Form of Stock Option Agreement for Gogo Inc. Omnibus Incentive Plan (incorporated by reference to Exhibit 10.5.2 to Form 10-K filed</w:t>
              </w:r>
            </w:hyperlink>
          </w:p>
        </w:tc>
      </w:tr>
      <w:tr>
        <w:trPr>
          <w:trHeight w:val="196"/>
        </w:trPr>
        <w:tc>
          <w:tcPr>
            <w:tcW w:w="1360" w:type="dxa"/>
            <w:vAlign w:val="bottom"/>
          </w:tcPr>
          <w:p>
            <w:pPr>
              <w:spacing w:after="0"/>
              <w:rPr>
                <w:sz w:val="17"/>
                <w:szCs w:val="17"/>
                <w:color w:val="auto"/>
              </w:rPr>
            </w:pPr>
          </w:p>
        </w:tc>
        <w:tc>
          <w:tcPr>
            <w:tcW w:w="3020" w:type="dxa"/>
            <w:vAlign w:val="bottom"/>
            <w:tcBorders>
              <w:bottom w:val="single" w:sz="8" w:color="0000FF"/>
            </w:tcBorders>
            <w:gridSpan w:val="10"/>
          </w:tcPr>
          <w:p>
            <w:pPr>
              <w:spacing w:after="0" w:line="195" w:lineRule="exact"/>
              <w:rPr>
                <w:rFonts w:ascii="Arial" w:cs="Arial" w:eastAsia="Arial" w:hAnsi="Arial"/>
                <w:sz w:val="18"/>
                <w:szCs w:val="18"/>
                <w:color w:val="0000FF"/>
                <w:w w:val="91"/>
              </w:rPr>
            </w:pPr>
            <w:hyperlink r:id="rId481">
              <w:r>
                <w:rPr>
                  <w:rFonts w:ascii="Arial" w:cs="Arial" w:eastAsia="Arial" w:hAnsi="Arial"/>
                  <w:sz w:val="18"/>
                  <w:szCs w:val="18"/>
                  <w:color w:val="0000FF"/>
                  <w:w w:val="91"/>
                </w:rPr>
                <w:t>on March 14, 2014 (File No. 001-35975))</w:t>
              </w:r>
            </w:hyperlink>
          </w:p>
        </w:tc>
        <w:tc>
          <w:tcPr>
            <w:tcW w:w="20" w:type="dxa"/>
            <w:vAlign w:val="bottom"/>
            <w:tcBorders>
              <w:bottom w:val="single" w:sz="8" w:color="0000EE"/>
            </w:tcBorders>
          </w:tcPr>
          <w:p>
            <w:pPr>
              <w:spacing w:after="0"/>
              <w:rPr>
                <w:sz w:val="17"/>
                <w:szCs w:val="17"/>
                <w:color w:val="auto"/>
              </w:rPr>
            </w:pPr>
          </w:p>
        </w:tc>
        <w:tc>
          <w:tcPr>
            <w:tcW w:w="6840" w:type="dxa"/>
            <w:vAlign w:val="bottom"/>
            <w:gridSpan w:val="42"/>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10.4.3#</w:t>
            </w:r>
          </w:p>
        </w:tc>
        <w:tc>
          <w:tcPr>
            <w:tcW w:w="9700" w:type="dxa"/>
            <w:vAlign w:val="bottom"/>
            <w:tcBorders>
              <w:bottom w:val="single" w:sz="8" w:color="0000FF"/>
            </w:tcBorders>
            <w:gridSpan w:val="44"/>
          </w:tcPr>
          <w:p>
            <w:pPr>
              <w:spacing w:after="0"/>
              <w:rPr>
                <w:rFonts w:ascii="Arial" w:cs="Arial" w:eastAsia="Arial" w:hAnsi="Arial"/>
                <w:sz w:val="18"/>
                <w:szCs w:val="18"/>
                <w:color w:val="0000FF"/>
                <w:w w:val="92"/>
              </w:rPr>
            </w:pPr>
            <w:hyperlink r:id="rId482">
              <w:r>
                <w:rPr>
                  <w:rFonts w:ascii="Arial" w:cs="Arial" w:eastAsia="Arial" w:hAnsi="Arial"/>
                  <w:sz w:val="18"/>
                  <w:szCs w:val="18"/>
                  <w:color w:val="0000FF"/>
                  <w:w w:val="92"/>
                </w:rPr>
                <w:t>Form of Restricted Stock Unit Agreement for Gogo Inc. Omnibus Incentive Plan (incorporated by reference to Exhibit 10.4.3 to Form</w:t>
              </w:r>
            </w:hyperlink>
          </w:p>
        </w:tc>
        <w:tc>
          <w:tcPr>
            <w:tcW w:w="180" w:type="dxa"/>
            <w:vAlign w:val="bottom"/>
            <w:gridSpan w:val="9"/>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53"/>
          </w:tcPr>
          <w:p>
            <w:pPr>
              <w:spacing w:after="0" w:line="195" w:lineRule="exact"/>
              <w:rPr>
                <w:rFonts w:ascii="Arial" w:cs="Arial" w:eastAsia="Arial" w:hAnsi="Arial"/>
                <w:sz w:val="18"/>
                <w:szCs w:val="18"/>
                <w:color w:val="0000FF"/>
              </w:rPr>
            </w:pPr>
            <w:hyperlink r:id="rId482">
              <w:r>
                <w:rPr>
                  <w:rFonts w:ascii="Arial" w:cs="Arial" w:eastAsia="Arial" w:hAnsi="Arial"/>
                  <w:sz w:val="18"/>
                  <w:szCs w:val="18"/>
                  <w:color w:val="0000FF"/>
                </w:rPr>
                <w:t>10-K filed on February 27, 2015 (File No. 001-35975))</w:t>
              </w:r>
            </w:hyperlink>
          </w:p>
        </w:tc>
      </w:tr>
      <w:tr>
        <w:trPr>
          <w:trHeight w:val="20"/>
        </w:trPr>
        <w:tc>
          <w:tcPr>
            <w:tcW w:w="1360" w:type="dxa"/>
            <w:vAlign w:val="bottom"/>
          </w:tcPr>
          <w:p>
            <w:pPr>
              <w:spacing w:after="0" w:line="20" w:lineRule="exact"/>
              <w:rPr>
                <w:sz w:val="1"/>
                <w:szCs w:val="1"/>
                <w:color w:val="auto"/>
              </w:rPr>
            </w:pPr>
          </w:p>
        </w:tc>
        <w:tc>
          <w:tcPr>
            <w:tcW w:w="2440" w:type="dxa"/>
            <w:vAlign w:val="bottom"/>
            <w:tcBorders>
              <w:right w:val="single" w:sz="8" w:color="0000FF"/>
            </w:tcBorders>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10.4.4#</w:t>
            </w:r>
          </w:p>
        </w:tc>
        <w:tc>
          <w:tcPr>
            <w:tcW w:w="9760" w:type="dxa"/>
            <w:vAlign w:val="bottom"/>
            <w:tcBorders>
              <w:bottom w:val="single" w:sz="8" w:color="0000FF"/>
            </w:tcBorders>
            <w:gridSpan w:val="47"/>
          </w:tcPr>
          <w:p>
            <w:pPr>
              <w:spacing w:after="0"/>
              <w:rPr>
                <w:rFonts w:ascii="Arial" w:cs="Arial" w:eastAsia="Arial" w:hAnsi="Arial"/>
                <w:sz w:val="18"/>
                <w:szCs w:val="18"/>
                <w:color w:val="0000FF"/>
                <w:w w:val="92"/>
              </w:rPr>
            </w:pPr>
            <w:hyperlink r:id="rId483">
              <w:r>
                <w:rPr>
                  <w:rFonts w:ascii="Arial" w:cs="Arial" w:eastAsia="Arial" w:hAnsi="Arial"/>
                  <w:sz w:val="18"/>
                  <w:szCs w:val="18"/>
                  <w:color w:val="0000FF"/>
                  <w:w w:val="92"/>
                </w:rPr>
                <w:t>Form of Restricted Stock Agreement for Gogo Inc. Omnibus Incentive Plan (incorporated by reference to Exhibit 10.4.4 to Form 10-K</w:t>
              </w:r>
            </w:hyperlink>
          </w:p>
        </w:tc>
        <w:tc>
          <w:tcPr>
            <w:tcW w:w="120" w:type="dxa"/>
            <w:vAlign w:val="bottom"/>
            <w:gridSpan w:val="6"/>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53"/>
          </w:tcPr>
          <w:p>
            <w:pPr>
              <w:spacing w:after="0" w:line="195" w:lineRule="exact"/>
              <w:rPr>
                <w:rFonts w:ascii="Arial" w:cs="Arial" w:eastAsia="Arial" w:hAnsi="Arial"/>
                <w:sz w:val="18"/>
                <w:szCs w:val="18"/>
                <w:color w:val="0000FF"/>
              </w:rPr>
            </w:pPr>
            <w:hyperlink r:id="rId483">
              <w:r>
                <w:rPr>
                  <w:rFonts w:ascii="Arial" w:cs="Arial" w:eastAsia="Arial" w:hAnsi="Arial"/>
                  <w:sz w:val="18"/>
                  <w:szCs w:val="18"/>
                  <w:color w:val="0000FF"/>
                </w:rPr>
                <w:t>filed on February 27, 2015 (File No. 001-35975))</w:t>
              </w:r>
            </w:hyperlink>
          </w:p>
        </w:tc>
      </w:tr>
      <w:tr>
        <w:trPr>
          <w:trHeight w:val="20"/>
        </w:trPr>
        <w:tc>
          <w:tcPr>
            <w:tcW w:w="1360" w:type="dxa"/>
            <w:vAlign w:val="bottom"/>
          </w:tcPr>
          <w:p>
            <w:pPr>
              <w:spacing w:after="0" w:line="20" w:lineRule="exact"/>
              <w:rPr>
                <w:sz w:val="1"/>
                <w:szCs w:val="1"/>
                <w:color w:val="auto"/>
              </w:rPr>
            </w:pPr>
          </w:p>
        </w:tc>
        <w:tc>
          <w:tcPr>
            <w:tcW w:w="2440" w:type="dxa"/>
            <w:vAlign w:val="bottom"/>
            <w:tcBorders>
              <w:right w:val="single" w:sz="8" w:color="0000FF"/>
            </w:tcBorders>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10.4.5#</w:t>
            </w:r>
          </w:p>
        </w:tc>
        <w:tc>
          <w:tcPr>
            <w:tcW w:w="9760" w:type="dxa"/>
            <w:vAlign w:val="bottom"/>
            <w:tcBorders>
              <w:bottom w:val="single" w:sz="8" w:color="0000FF"/>
            </w:tcBorders>
            <w:gridSpan w:val="47"/>
          </w:tcPr>
          <w:p>
            <w:pPr>
              <w:spacing w:after="0"/>
              <w:rPr>
                <w:rFonts w:ascii="Arial" w:cs="Arial" w:eastAsia="Arial" w:hAnsi="Arial"/>
                <w:sz w:val="18"/>
                <w:szCs w:val="18"/>
                <w:color w:val="0000FF"/>
                <w:w w:val="91"/>
              </w:rPr>
            </w:pPr>
            <w:hyperlink r:id="rId484">
              <w:r>
                <w:rPr>
                  <w:rFonts w:ascii="Arial" w:cs="Arial" w:eastAsia="Arial" w:hAnsi="Arial"/>
                  <w:sz w:val="18"/>
                  <w:szCs w:val="18"/>
                  <w:color w:val="0000FF"/>
                  <w:w w:val="91"/>
                </w:rPr>
                <w:t>Form of Stock Option Agreement for Gogo Inc. 2016 Omnibus Incentive Plan (incorporated by reference to Exhibit 10.4.6 to Form 10-</w:t>
              </w:r>
            </w:hyperlink>
          </w:p>
        </w:tc>
        <w:tc>
          <w:tcPr>
            <w:tcW w:w="120" w:type="dxa"/>
            <w:vAlign w:val="bottom"/>
            <w:gridSpan w:val="6"/>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53"/>
          </w:tcPr>
          <w:p>
            <w:pPr>
              <w:spacing w:after="0" w:line="195" w:lineRule="exact"/>
              <w:rPr>
                <w:rFonts w:ascii="Arial" w:cs="Arial" w:eastAsia="Arial" w:hAnsi="Arial"/>
                <w:sz w:val="18"/>
                <w:szCs w:val="18"/>
                <w:color w:val="0000FF"/>
              </w:rPr>
            </w:pPr>
            <w:hyperlink r:id="rId484">
              <w:r>
                <w:rPr>
                  <w:rFonts w:ascii="Arial" w:cs="Arial" w:eastAsia="Arial" w:hAnsi="Arial"/>
                  <w:sz w:val="18"/>
                  <w:szCs w:val="18"/>
                  <w:color w:val="0000FF"/>
                </w:rPr>
                <w:t>Q filed on August 4, 2016 (File No. 001-35975))</w:t>
              </w:r>
            </w:hyperlink>
          </w:p>
        </w:tc>
      </w:tr>
      <w:tr>
        <w:trPr>
          <w:trHeight w:val="20"/>
        </w:trPr>
        <w:tc>
          <w:tcPr>
            <w:tcW w:w="1360" w:type="dxa"/>
            <w:vAlign w:val="bottom"/>
          </w:tcPr>
          <w:p>
            <w:pPr>
              <w:spacing w:after="0" w:line="20" w:lineRule="exact"/>
              <w:rPr>
                <w:sz w:val="1"/>
                <w:szCs w:val="1"/>
                <w:color w:val="auto"/>
              </w:rPr>
            </w:pPr>
          </w:p>
        </w:tc>
        <w:tc>
          <w:tcPr>
            <w:tcW w:w="2440" w:type="dxa"/>
            <w:vAlign w:val="bottom"/>
            <w:tcBorders>
              <w:right w:val="single" w:sz="8" w:color="0000FF"/>
            </w:tcBorders>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10.4.6#</w:t>
            </w:r>
          </w:p>
        </w:tc>
        <w:tc>
          <w:tcPr>
            <w:tcW w:w="9860" w:type="dxa"/>
            <w:vAlign w:val="bottom"/>
            <w:tcBorders>
              <w:bottom w:val="single" w:sz="8" w:color="0000FF"/>
            </w:tcBorders>
            <w:gridSpan w:val="52"/>
          </w:tcPr>
          <w:p>
            <w:pPr>
              <w:spacing w:after="0"/>
              <w:rPr>
                <w:rFonts w:ascii="Arial" w:cs="Arial" w:eastAsia="Arial" w:hAnsi="Arial"/>
                <w:sz w:val="18"/>
                <w:szCs w:val="18"/>
                <w:color w:val="0000FF"/>
                <w:w w:val="91"/>
              </w:rPr>
            </w:pPr>
            <w:hyperlink r:id="rId485">
              <w:r>
                <w:rPr>
                  <w:rFonts w:ascii="Arial" w:cs="Arial" w:eastAsia="Arial" w:hAnsi="Arial"/>
                  <w:sz w:val="18"/>
                  <w:szCs w:val="18"/>
                  <w:color w:val="0000FF"/>
                  <w:w w:val="91"/>
                </w:rPr>
                <w:t>Form of Performance Stock Option Agreement for Gogo Inc. 2016 Omnibus Incentive Plan (incorporated by reference to Exhibit 10.4.7</w:t>
              </w:r>
            </w:hyperlink>
          </w:p>
        </w:tc>
        <w:tc>
          <w:tcPr>
            <w:tcW w:w="20" w:type="dxa"/>
            <w:vAlign w:val="bottom"/>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53"/>
          </w:tcPr>
          <w:p>
            <w:pPr>
              <w:spacing w:after="0" w:line="195" w:lineRule="exact"/>
              <w:rPr>
                <w:rFonts w:ascii="Arial" w:cs="Arial" w:eastAsia="Arial" w:hAnsi="Arial"/>
                <w:sz w:val="18"/>
                <w:szCs w:val="18"/>
                <w:color w:val="0000FF"/>
              </w:rPr>
            </w:pPr>
            <w:hyperlink r:id="rId485">
              <w:r>
                <w:rPr>
                  <w:rFonts w:ascii="Arial" w:cs="Arial" w:eastAsia="Arial" w:hAnsi="Arial"/>
                  <w:sz w:val="18"/>
                  <w:szCs w:val="18"/>
                  <w:color w:val="0000FF"/>
                </w:rPr>
                <w:t>to Form 10-Q filed on August 4, 2016 (File No. 001-35975))</w:t>
              </w:r>
            </w:hyperlink>
          </w:p>
        </w:tc>
      </w:tr>
      <w:tr>
        <w:trPr>
          <w:trHeight w:val="20"/>
        </w:trPr>
        <w:tc>
          <w:tcPr>
            <w:tcW w:w="1360" w:type="dxa"/>
            <w:vAlign w:val="bottom"/>
          </w:tcPr>
          <w:p>
            <w:pPr>
              <w:spacing w:after="0" w:line="20" w:lineRule="exact"/>
              <w:rPr>
                <w:sz w:val="1"/>
                <w:szCs w:val="1"/>
                <w:color w:val="auto"/>
              </w:rPr>
            </w:pPr>
          </w:p>
        </w:tc>
        <w:tc>
          <w:tcPr>
            <w:tcW w:w="2440" w:type="dxa"/>
            <w:vAlign w:val="bottom"/>
            <w:tcBorders>
              <w:right w:val="single" w:sz="8" w:color="0000FF"/>
            </w:tcBorders>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10.4.7#</w:t>
            </w:r>
          </w:p>
        </w:tc>
        <w:tc>
          <w:tcPr>
            <w:tcW w:w="9660" w:type="dxa"/>
            <w:vAlign w:val="bottom"/>
            <w:tcBorders>
              <w:bottom w:val="single" w:sz="8" w:color="0000FF"/>
            </w:tcBorders>
            <w:gridSpan w:val="43"/>
          </w:tcPr>
          <w:p>
            <w:pPr>
              <w:spacing w:after="0"/>
              <w:rPr>
                <w:rFonts w:ascii="Arial" w:cs="Arial" w:eastAsia="Arial" w:hAnsi="Arial"/>
                <w:sz w:val="18"/>
                <w:szCs w:val="18"/>
                <w:color w:val="0000FF"/>
                <w:w w:val="92"/>
              </w:rPr>
            </w:pPr>
            <w:hyperlink r:id="rId486">
              <w:r>
                <w:rPr>
                  <w:rFonts w:ascii="Arial" w:cs="Arial" w:eastAsia="Arial" w:hAnsi="Arial"/>
                  <w:sz w:val="18"/>
                  <w:szCs w:val="18"/>
                  <w:color w:val="0000FF"/>
                  <w:w w:val="92"/>
                </w:rPr>
                <w:t>Form of Restricted Stock Unit Agreement for Gogo Inc. 2016 Omnibus Incentive Plan (incorporated by reference to Exhibit 10.4.8 to</w:t>
              </w:r>
            </w:hyperlink>
          </w:p>
        </w:tc>
        <w:tc>
          <w:tcPr>
            <w:tcW w:w="220" w:type="dxa"/>
            <w:vAlign w:val="bottom"/>
            <w:gridSpan w:val="10"/>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4160" w:type="dxa"/>
            <w:vAlign w:val="bottom"/>
            <w:tcBorders>
              <w:bottom w:val="single" w:sz="8" w:color="0000FF"/>
            </w:tcBorders>
            <w:gridSpan w:val="14"/>
          </w:tcPr>
          <w:p>
            <w:pPr>
              <w:spacing w:after="0" w:line="195" w:lineRule="exact"/>
              <w:rPr>
                <w:rFonts w:ascii="Arial" w:cs="Arial" w:eastAsia="Arial" w:hAnsi="Arial"/>
                <w:sz w:val="18"/>
                <w:szCs w:val="18"/>
                <w:color w:val="0000FF"/>
                <w:w w:val="92"/>
              </w:rPr>
            </w:pPr>
            <w:hyperlink r:id="rId486">
              <w:r>
                <w:rPr>
                  <w:rFonts w:ascii="Arial" w:cs="Arial" w:eastAsia="Arial" w:hAnsi="Arial"/>
                  <w:sz w:val="18"/>
                  <w:szCs w:val="18"/>
                  <w:color w:val="0000FF"/>
                  <w:w w:val="92"/>
                </w:rPr>
                <w:t>Form 10-Q filed on August 4, 2016 (File No.001-35975))</w:t>
              </w:r>
            </w:hyperlink>
          </w:p>
        </w:tc>
        <w:tc>
          <w:tcPr>
            <w:tcW w:w="20" w:type="dxa"/>
            <w:vAlign w:val="bottom"/>
            <w:tcBorders>
              <w:bottom w:val="single" w:sz="8" w:color="0000EE"/>
            </w:tcBorders>
          </w:tcPr>
          <w:p>
            <w:pPr>
              <w:spacing w:after="0"/>
              <w:rPr>
                <w:sz w:val="17"/>
                <w:szCs w:val="17"/>
                <w:color w:val="auto"/>
              </w:rPr>
            </w:pPr>
          </w:p>
        </w:tc>
        <w:tc>
          <w:tcPr>
            <w:tcW w:w="5700" w:type="dxa"/>
            <w:vAlign w:val="bottom"/>
            <w:gridSpan w:val="38"/>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10.4.8#</w:t>
            </w:r>
          </w:p>
        </w:tc>
        <w:tc>
          <w:tcPr>
            <w:tcW w:w="9380" w:type="dxa"/>
            <w:vAlign w:val="bottom"/>
            <w:tcBorders>
              <w:bottom w:val="single" w:sz="8" w:color="0000FF"/>
            </w:tcBorders>
            <w:gridSpan w:val="37"/>
          </w:tcPr>
          <w:p>
            <w:pPr>
              <w:spacing w:after="0"/>
              <w:rPr>
                <w:rFonts w:ascii="Arial" w:cs="Arial" w:eastAsia="Arial" w:hAnsi="Arial"/>
                <w:sz w:val="18"/>
                <w:szCs w:val="18"/>
                <w:color w:val="0000FF"/>
                <w:w w:val="91"/>
              </w:rPr>
            </w:pPr>
            <w:hyperlink r:id="rId487">
              <w:r>
                <w:rPr>
                  <w:rFonts w:ascii="Arial" w:cs="Arial" w:eastAsia="Arial" w:hAnsi="Arial"/>
                  <w:sz w:val="18"/>
                  <w:szCs w:val="18"/>
                  <w:color w:val="0000FF"/>
                  <w:w w:val="91"/>
                </w:rPr>
                <w:t>Form of Performance Restricted Stock Unit Agreement for Gogo Inc. 2016 Omnibus Incentive Plan (incorporated by reference to</w:t>
              </w:r>
            </w:hyperlink>
          </w:p>
        </w:tc>
        <w:tc>
          <w:tcPr>
            <w:tcW w:w="500" w:type="dxa"/>
            <w:vAlign w:val="bottom"/>
            <w:gridSpan w:val="16"/>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5460" w:type="dxa"/>
            <w:vAlign w:val="bottom"/>
            <w:tcBorders>
              <w:bottom w:val="single" w:sz="8" w:color="0000FF"/>
            </w:tcBorders>
            <w:gridSpan w:val="23"/>
          </w:tcPr>
          <w:p>
            <w:pPr>
              <w:spacing w:after="0" w:line="195" w:lineRule="exact"/>
              <w:rPr>
                <w:rFonts w:ascii="Arial" w:cs="Arial" w:eastAsia="Arial" w:hAnsi="Arial"/>
                <w:sz w:val="18"/>
                <w:szCs w:val="18"/>
                <w:color w:val="0000FF"/>
                <w:w w:val="92"/>
              </w:rPr>
            </w:pPr>
            <w:hyperlink r:id="rId487">
              <w:r>
                <w:rPr>
                  <w:rFonts w:ascii="Arial" w:cs="Arial" w:eastAsia="Arial" w:hAnsi="Arial"/>
                  <w:sz w:val="18"/>
                  <w:szCs w:val="18"/>
                  <w:color w:val="0000FF"/>
                  <w:w w:val="92"/>
                </w:rPr>
                <w:t>Exhibit 10.4.9 to Form 10-Q filed on August 4, 2016 (File No. 001-35975))</w:t>
              </w:r>
            </w:hyperlink>
          </w:p>
        </w:tc>
        <w:tc>
          <w:tcPr>
            <w:tcW w:w="4420" w:type="dxa"/>
            <w:vAlign w:val="bottom"/>
            <w:gridSpan w:val="30"/>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10.4.9#</w:t>
            </w:r>
          </w:p>
        </w:tc>
        <w:tc>
          <w:tcPr>
            <w:tcW w:w="9880" w:type="dxa"/>
            <w:vAlign w:val="bottom"/>
            <w:tcBorders>
              <w:bottom w:val="single" w:sz="8" w:color="0000FF"/>
            </w:tcBorders>
            <w:gridSpan w:val="53"/>
          </w:tcPr>
          <w:p>
            <w:pPr>
              <w:spacing w:after="0"/>
              <w:rPr>
                <w:rFonts w:ascii="Arial" w:cs="Arial" w:eastAsia="Arial" w:hAnsi="Arial"/>
                <w:sz w:val="18"/>
                <w:szCs w:val="18"/>
                <w:color w:val="0000FF"/>
                <w:w w:val="91"/>
              </w:rPr>
            </w:pPr>
            <w:hyperlink r:id="rId488">
              <w:r>
                <w:rPr>
                  <w:rFonts w:ascii="Arial" w:cs="Arial" w:eastAsia="Arial" w:hAnsi="Arial"/>
                  <w:sz w:val="18"/>
                  <w:szCs w:val="18"/>
                  <w:color w:val="0000FF"/>
                  <w:w w:val="91"/>
                </w:rPr>
                <w:t>Amended and Restated Gogo Inc. 2016 Omnibus Incentive Plan (incorporated by reference to Annex A to the definitive proxy statement</w:t>
              </w:r>
            </w:hyperlink>
          </w:p>
        </w:tc>
      </w:tr>
      <w:tr>
        <w:trPr>
          <w:trHeight w:val="196"/>
        </w:trPr>
        <w:tc>
          <w:tcPr>
            <w:tcW w:w="1360" w:type="dxa"/>
            <w:vAlign w:val="bottom"/>
          </w:tcPr>
          <w:p>
            <w:pPr>
              <w:spacing w:after="0"/>
              <w:rPr>
                <w:sz w:val="17"/>
                <w:szCs w:val="17"/>
                <w:color w:val="auto"/>
              </w:rPr>
            </w:pPr>
          </w:p>
        </w:tc>
        <w:tc>
          <w:tcPr>
            <w:tcW w:w="4620" w:type="dxa"/>
            <w:vAlign w:val="bottom"/>
            <w:tcBorders>
              <w:bottom w:val="single" w:sz="8" w:color="0000EE"/>
            </w:tcBorders>
            <w:gridSpan w:val="19"/>
          </w:tcPr>
          <w:p>
            <w:pPr>
              <w:spacing w:after="0" w:line="195" w:lineRule="exact"/>
              <w:rPr>
                <w:rFonts w:ascii="Arial" w:cs="Arial" w:eastAsia="Arial" w:hAnsi="Arial"/>
                <w:sz w:val="18"/>
                <w:szCs w:val="18"/>
                <w:color w:val="0000FF"/>
                <w:w w:val="93"/>
              </w:rPr>
            </w:pPr>
            <w:hyperlink r:id="rId488">
              <w:r>
                <w:rPr>
                  <w:rFonts w:ascii="Arial" w:cs="Arial" w:eastAsia="Arial" w:hAnsi="Arial"/>
                  <w:sz w:val="18"/>
                  <w:szCs w:val="18"/>
                  <w:color w:val="0000FF"/>
                  <w:w w:val="93"/>
                </w:rPr>
                <w:t>on Schedule 14A filed on April 27, 2018 (File No. 001-35975))</w:t>
              </w:r>
            </w:hyperlink>
          </w:p>
        </w:tc>
        <w:tc>
          <w:tcPr>
            <w:tcW w:w="5260" w:type="dxa"/>
            <w:vAlign w:val="bottom"/>
            <w:gridSpan w:val="34"/>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10.4.10#</w:t>
            </w:r>
          </w:p>
        </w:tc>
        <w:tc>
          <w:tcPr>
            <w:tcW w:w="9880" w:type="dxa"/>
            <w:vAlign w:val="bottom"/>
            <w:gridSpan w:val="53"/>
          </w:tcPr>
          <w:p>
            <w:pPr>
              <w:spacing w:after="0"/>
              <w:rPr>
                <w:rFonts w:ascii="Arial" w:cs="Arial" w:eastAsia="Arial" w:hAnsi="Arial"/>
                <w:sz w:val="18"/>
                <w:szCs w:val="18"/>
                <w:color w:val="0000FF"/>
              </w:rPr>
            </w:pPr>
            <w:hyperlink r:id="rId489">
              <w:r>
                <w:rPr>
                  <w:rFonts w:ascii="Arial" w:cs="Arial" w:eastAsia="Arial" w:hAnsi="Arial"/>
                  <w:sz w:val="18"/>
                  <w:szCs w:val="18"/>
                  <w:color w:val="0000FF"/>
                </w:rPr>
                <w:t>Second Amended and Restated Gogo Inc. 2016 Omnibus Incentive Plan (incorporated by reference to Exhibit</w:t>
              </w:r>
            </w:hyperlink>
          </w:p>
        </w:tc>
      </w:tr>
      <w:tr>
        <w:trPr>
          <w:trHeight w:val="196"/>
        </w:trPr>
        <w:tc>
          <w:tcPr>
            <w:tcW w:w="136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20"/>
          </w:tcPr>
          <w:p>
            <w:pPr>
              <w:spacing w:after="0" w:line="195" w:lineRule="exact"/>
              <w:rPr>
                <w:rFonts w:ascii="Arial" w:cs="Arial" w:eastAsia="Arial" w:hAnsi="Arial"/>
                <w:sz w:val="18"/>
                <w:szCs w:val="18"/>
                <w:color w:val="0000FF"/>
                <w:w w:val="92"/>
              </w:rPr>
            </w:pPr>
            <w:hyperlink r:id="rId489">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4.1</w:t>
              </w:r>
              <w:r>
                <w:rPr>
                  <w:rFonts w:ascii="Arial" w:cs="Arial" w:eastAsia="Arial" w:hAnsi="Arial"/>
                  <w:sz w:val="18"/>
                  <w:szCs w:val="18"/>
                  <w:color w:val="0000FF"/>
                  <w:w w:val="92"/>
                </w:rPr>
                <w:t xml:space="preserve"> to Form 10-Q filed on August 5, 2022 (File No. 001-35975))</w:t>
              </w:r>
            </w:hyperlink>
          </w:p>
        </w:tc>
        <w:tc>
          <w:tcPr>
            <w:tcW w:w="20" w:type="dxa"/>
            <w:vAlign w:val="bottom"/>
            <w:tcBorders>
              <w:top w:val="single" w:sz="8" w:color="0000FF"/>
              <w:bottom w:val="single" w:sz="8" w:color="0000EE"/>
            </w:tcBorders>
          </w:tcPr>
          <w:p>
            <w:pPr>
              <w:spacing w:after="0"/>
              <w:rPr>
                <w:sz w:val="17"/>
                <w:szCs w:val="17"/>
                <w:color w:val="auto"/>
              </w:rPr>
            </w:pPr>
          </w:p>
        </w:tc>
        <w:tc>
          <w:tcPr>
            <w:tcW w:w="3000" w:type="dxa"/>
            <w:vAlign w:val="bottom"/>
            <w:tcBorders>
              <w:top w:val="single" w:sz="8" w:color="0000FF"/>
            </w:tcBorders>
            <w:gridSpan w:val="10"/>
          </w:tcPr>
          <w:p>
            <w:pPr>
              <w:spacing w:after="0"/>
              <w:rPr>
                <w:sz w:val="17"/>
                <w:szCs w:val="17"/>
                <w:color w:val="auto"/>
              </w:rPr>
            </w:pPr>
          </w:p>
        </w:tc>
        <w:tc>
          <w:tcPr>
            <w:tcW w:w="1980" w:type="dxa"/>
            <w:vAlign w:val="bottom"/>
            <w:gridSpan w:val="22"/>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10.4.11#</w:t>
            </w:r>
          </w:p>
        </w:tc>
        <w:tc>
          <w:tcPr>
            <w:tcW w:w="9800" w:type="dxa"/>
            <w:vAlign w:val="bottom"/>
            <w:tcBorders>
              <w:bottom w:val="single" w:sz="8" w:color="0000FF"/>
            </w:tcBorders>
            <w:gridSpan w:val="49"/>
          </w:tcPr>
          <w:p>
            <w:pPr>
              <w:spacing w:after="0"/>
              <w:rPr>
                <w:rFonts w:ascii="Arial" w:cs="Arial" w:eastAsia="Arial" w:hAnsi="Arial"/>
                <w:sz w:val="18"/>
                <w:szCs w:val="18"/>
                <w:color w:val="0000FF"/>
                <w:w w:val="91"/>
              </w:rPr>
            </w:pPr>
            <w:hyperlink r:id="rId490">
              <w:r>
                <w:rPr>
                  <w:rFonts w:ascii="Arial" w:cs="Arial" w:eastAsia="Arial" w:hAnsi="Arial"/>
                  <w:sz w:val="18"/>
                  <w:szCs w:val="18"/>
                  <w:color w:val="0000FF"/>
                  <w:w w:val="91"/>
                </w:rPr>
                <w:t>Form of Restricted Stock Unit Agreement for Second Amended and Restated Gogo Inc. 2016 Omnibus Incentive Plan (incorporated by</w:t>
              </w:r>
            </w:hyperlink>
          </w:p>
        </w:tc>
        <w:tc>
          <w:tcPr>
            <w:tcW w:w="80" w:type="dxa"/>
            <w:vAlign w:val="bottom"/>
            <w:gridSpan w:val="4"/>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6640" w:type="dxa"/>
            <w:vAlign w:val="bottom"/>
            <w:tcBorders>
              <w:bottom w:val="single" w:sz="8" w:color="0000FF"/>
            </w:tcBorders>
            <w:gridSpan w:val="28"/>
          </w:tcPr>
          <w:p>
            <w:pPr>
              <w:spacing w:after="0" w:line="195" w:lineRule="exact"/>
              <w:rPr>
                <w:rFonts w:ascii="Arial" w:cs="Arial" w:eastAsia="Arial" w:hAnsi="Arial"/>
                <w:sz w:val="18"/>
                <w:szCs w:val="18"/>
                <w:color w:val="0000FF"/>
                <w:w w:val="92"/>
              </w:rPr>
            </w:pPr>
            <w:hyperlink r:id="rId490">
              <w:r>
                <w:rPr>
                  <w:rFonts w:ascii="Arial" w:cs="Arial" w:eastAsia="Arial" w:hAnsi="Arial"/>
                  <w:sz w:val="18"/>
                  <w:szCs w:val="18"/>
                  <w:color w:val="0000FF"/>
                  <w:w w:val="92"/>
                </w:rPr>
                <w:t>reference to Exhibit 10.402 to Form 10-Q filed on November 3, 2022 (File No. 001-35975))</w:t>
              </w:r>
            </w:hyperlink>
          </w:p>
        </w:tc>
        <w:tc>
          <w:tcPr>
            <w:tcW w:w="20" w:type="dxa"/>
            <w:vAlign w:val="bottom"/>
            <w:tcBorders>
              <w:bottom w:val="single" w:sz="8" w:color="0000EE"/>
            </w:tcBorders>
          </w:tcPr>
          <w:p>
            <w:pPr>
              <w:spacing w:after="0"/>
              <w:rPr>
                <w:sz w:val="17"/>
                <w:szCs w:val="17"/>
                <w:color w:val="auto"/>
              </w:rPr>
            </w:pPr>
          </w:p>
        </w:tc>
        <w:tc>
          <w:tcPr>
            <w:tcW w:w="3220" w:type="dxa"/>
            <w:vAlign w:val="bottom"/>
            <w:gridSpan w:val="24"/>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10.5#</w:t>
            </w:r>
          </w:p>
        </w:tc>
        <w:tc>
          <w:tcPr>
            <w:tcW w:w="9840" w:type="dxa"/>
            <w:vAlign w:val="bottom"/>
            <w:tcBorders>
              <w:bottom w:val="single" w:sz="8" w:color="0000FF"/>
            </w:tcBorders>
            <w:gridSpan w:val="51"/>
          </w:tcPr>
          <w:p>
            <w:pPr>
              <w:spacing w:after="0"/>
              <w:rPr>
                <w:rFonts w:ascii="Arial" w:cs="Arial" w:eastAsia="Arial" w:hAnsi="Arial"/>
                <w:sz w:val="18"/>
                <w:szCs w:val="18"/>
                <w:color w:val="0000FF"/>
                <w:w w:val="91"/>
              </w:rPr>
            </w:pPr>
            <w:hyperlink r:id="rId491">
              <w:r>
                <w:rPr>
                  <w:rFonts w:ascii="Arial" w:cs="Arial" w:eastAsia="Arial" w:hAnsi="Arial"/>
                  <w:sz w:val="18"/>
                  <w:szCs w:val="18"/>
                  <w:color w:val="0000FF"/>
                  <w:w w:val="91"/>
                </w:rPr>
                <w:t>Gogo Inc. Annual Incentive Plan (as amended as of April 14, 2016) (incorporated by reference to Exhibit 10.4.10 to Form 10-Q filed on</w:t>
              </w:r>
            </w:hyperlink>
          </w:p>
        </w:tc>
        <w:tc>
          <w:tcPr>
            <w:tcW w:w="40" w:type="dxa"/>
            <w:vAlign w:val="bottom"/>
            <w:gridSpan w:val="2"/>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2760" w:type="dxa"/>
            <w:vAlign w:val="bottom"/>
            <w:tcBorders>
              <w:bottom w:val="single" w:sz="8" w:color="0000FF"/>
            </w:tcBorders>
            <w:gridSpan w:val="8"/>
          </w:tcPr>
          <w:p>
            <w:pPr>
              <w:spacing w:after="0" w:line="195" w:lineRule="exact"/>
              <w:rPr>
                <w:rFonts w:ascii="Arial" w:cs="Arial" w:eastAsia="Arial" w:hAnsi="Arial"/>
                <w:sz w:val="18"/>
                <w:szCs w:val="18"/>
                <w:color w:val="0000FF"/>
                <w:w w:val="92"/>
              </w:rPr>
            </w:pPr>
            <w:hyperlink r:id="rId491">
              <w:r>
                <w:rPr>
                  <w:rFonts w:ascii="Arial" w:cs="Arial" w:eastAsia="Arial" w:hAnsi="Arial"/>
                  <w:sz w:val="18"/>
                  <w:szCs w:val="18"/>
                  <w:color w:val="0000FF"/>
                  <w:w w:val="92"/>
                </w:rPr>
                <w:t>August 4, 2016 (File No. 001-35975))</w:t>
              </w:r>
            </w:hyperlink>
          </w:p>
        </w:tc>
        <w:tc>
          <w:tcPr>
            <w:tcW w:w="20" w:type="dxa"/>
            <w:vAlign w:val="bottom"/>
            <w:tcBorders>
              <w:bottom w:val="single" w:sz="8" w:color="0000EE"/>
            </w:tcBorders>
          </w:tcPr>
          <w:p>
            <w:pPr>
              <w:spacing w:after="0"/>
              <w:rPr>
                <w:sz w:val="17"/>
                <w:szCs w:val="17"/>
                <w:color w:val="auto"/>
              </w:rPr>
            </w:pPr>
          </w:p>
        </w:tc>
        <w:tc>
          <w:tcPr>
            <w:tcW w:w="7100" w:type="dxa"/>
            <w:vAlign w:val="bottom"/>
            <w:gridSpan w:val="44"/>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10.6#</w:t>
            </w:r>
          </w:p>
        </w:tc>
        <w:tc>
          <w:tcPr>
            <w:tcW w:w="9740" w:type="dxa"/>
            <w:vAlign w:val="bottom"/>
            <w:tcBorders>
              <w:bottom w:val="single" w:sz="8" w:color="0000FF"/>
            </w:tcBorders>
            <w:gridSpan w:val="46"/>
          </w:tcPr>
          <w:p>
            <w:pPr>
              <w:spacing w:after="0"/>
              <w:rPr>
                <w:rFonts w:ascii="Arial" w:cs="Arial" w:eastAsia="Arial" w:hAnsi="Arial"/>
                <w:sz w:val="18"/>
                <w:szCs w:val="18"/>
                <w:color w:val="0000FF"/>
                <w:w w:val="91"/>
              </w:rPr>
            </w:pPr>
            <w:hyperlink r:id="rId492">
              <w:r>
                <w:rPr>
                  <w:rFonts w:ascii="Arial" w:cs="Arial" w:eastAsia="Arial" w:hAnsi="Arial"/>
                  <w:sz w:val="18"/>
                  <w:szCs w:val="18"/>
                  <w:color w:val="0000FF"/>
                  <w:w w:val="91"/>
                </w:rPr>
                <w:t>Gogo Inc. Section 409A Specified Employee Policy (incorporated by reference to Exhibit 10.7 to Gogo Inc. Registration Statement on</w:t>
              </w:r>
            </w:hyperlink>
          </w:p>
        </w:tc>
        <w:tc>
          <w:tcPr>
            <w:tcW w:w="140" w:type="dxa"/>
            <w:vAlign w:val="bottom"/>
            <w:gridSpan w:val="7"/>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9880" w:type="dxa"/>
            <w:vAlign w:val="bottom"/>
            <w:gridSpan w:val="53"/>
          </w:tcPr>
          <w:p>
            <w:pPr>
              <w:spacing w:after="0" w:line="195" w:lineRule="exact"/>
              <w:rPr>
                <w:rFonts w:ascii="Arial" w:cs="Arial" w:eastAsia="Arial" w:hAnsi="Arial"/>
                <w:sz w:val="18"/>
                <w:szCs w:val="18"/>
                <w:color w:val="0000FF"/>
              </w:rPr>
            </w:pPr>
            <w:hyperlink r:id="rId492">
              <w:r>
                <w:rPr>
                  <w:rFonts w:ascii="Arial" w:cs="Arial" w:eastAsia="Arial" w:hAnsi="Arial"/>
                  <w:sz w:val="18"/>
                  <w:szCs w:val="18"/>
                  <w:color w:val="0000FF"/>
                </w:rPr>
                <w:t>Form S-1 (File No. 333-178727))</w:t>
              </w:r>
            </w:hyperlink>
          </w:p>
        </w:tc>
      </w:tr>
      <w:tr>
        <w:trPr>
          <w:trHeight w:val="20"/>
        </w:trPr>
        <w:tc>
          <w:tcPr>
            <w:tcW w:w="1360" w:type="dxa"/>
            <w:vAlign w:val="bottom"/>
          </w:tcPr>
          <w:p>
            <w:pPr>
              <w:spacing w:after="0" w:line="20" w:lineRule="exact"/>
              <w:rPr>
                <w:sz w:val="1"/>
                <w:szCs w:val="1"/>
                <w:color w:val="auto"/>
              </w:rPr>
            </w:pPr>
          </w:p>
        </w:tc>
        <w:tc>
          <w:tcPr>
            <w:tcW w:w="2440" w:type="dxa"/>
            <w:vAlign w:val="bottom"/>
            <w:tcBorders>
              <w:right w:val="single" w:sz="8" w:color="0000EE"/>
            </w:tcBorders>
            <w:gridSpan w:val="7"/>
            <w:shd w:val="clear" w:color="auto" w:fill="0000FF"/>
          </w:tcPr>
          <w:p>
            <w:pPr>
              <w:spacing w:after="0" w:line="20" w:lineRule="exact"/>
              <w:rPr>
                <w:sz w:val="1"/>
                <w:szCs w:val="1"/>
                <w:color w:val="auto"/>
              </w:rPr>
            </w:pPr>
          </w:p>
        </w:tc>
        <w:tc>
          <w:tcPr>
            <w:tcW w:w="2840" w:type="dxa"/>
            <w:vAlign w:val="bottom"/>
            <w:gridSpan w:val="15"/>
          </w:tcPr>
          <w:p>
            <w:pPr>
              <w:spacing w:after="0" w:line="20" w:lineRule="exact"/>
              <w:rPr>
                <w:sz w:val="1"/>
                <w:szCs w:val="1"/>
                <w:color w:val="auto"/>
              </w:rPr>
            </w:pPr>
          </w:p>
        </w:tc>
        <w:tc>
          <w:tcPr>
            <w:tcW w:w="4220" w:type="dxa"/>
            <w:vAlign w:val="bottom"/>
            <w:gridSpan w:val="17"/>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10.7.1#</w:t>
            </w:r>
          </w:p>
        </w:tc>
        <w:tc>
          <w:tcPr>
            <w:tcW w:w="9500" w:type="dxa"/>
            <w:vAlign w:val="bottom"/>
            <w:tcBorders>
              <w:bottom w:val="single" w:sz="8" w:color="0000FF"/>
            </w:tcBorders>
            <w:gridSpan w:val="39"/>
          </w:tcPr>
          <w:p>
            <w:pPr>
              <w:spacing w:after="0"/>
              <w:rPr>
                <w:rFonts w:ascii="Arial" w:cs="Arial" w:eastAsia="Arial" w:hAnsi="Arial"/>
                <w:sz w:val="18"/>
                <w:szCs w:val="18"/>
                <w:color w:val="0000FF"/>
                <w:w w:val="91"/>
              </w:rPr>
            </w:pPr>
            <w:hyperlink r:id="rId493">
              <w:r>
                <w:rPr>
                  <w:rFonts w:ascii="Arial" w:cs="Arial" w:eastAsia="Arial" w:hAnsi="Arial"/>
                  <w:sz w:val="18"/>
                  <w:szCs w:val="18"/>
                  <w:color w:val="0000FF"/>
                  <w:w w:val="91"/>
                </w:rPr>
                <w:t>Form of Indemnification Agreement entered into between Gogo Inc. and each of its Directors (incorporated by reference to Exhibit</w:t>
              </w:r>
            </w:hyperlink>
          </w:p>
        </w:tc>
        <w:tc>
          <w:tcPr>
            <w:tcW w:w="380" w:type="dxa"/>
            <w:vAlign w:val="bottom"/>
            <w:gridSpan w:val="14"/>
          </w:tcPr>
          <w:p>
            <w:pPr>
              <w:spacing w:after="0"/>
              <w:rPr>
                <w:sz w:val="19"/>
                <w:szCs w:val="19"/>
                <w:color w:val="auto"/>
              </w:rPr>
            </w:pPr>
          </w:p>
        </w:tc>
      </w:tr>
      <w:tr>
        <w:trPr>
          <w:trHeight w:val="196"/>
        </w:trPr>
        <w:tc>
          <w:tcPr>
            <w:tcW w:w="1360" w:type="dxa"/>
            <w:vAlign w:val="bottom"/>
          </w:tcPr>
          <w:p>
            <w:pPr>
              <w:spacing w:after="0"/>
              <w:rPr>
                <w:sz w:val="17"/>
                <w:szCs w:val="17"/>
                <w:color w:val="auto"/>
              </w:rPr>
            </w:pPr>
          </w:p>
        </w:tc>
        <w:tc>
          <w:tcPr>
            <w:tcW w:w="5780" w:type="dxa"/>
            <w:vAlign w:val="bottom"/>
            <w:tcBorders>
              <w:bottom w:val="single" w:sz="8" w:color="0000FF"/>
            </w:tcBorders>
            <w:gridSpan w:val="24"/>
          </w:tcPr>
          <w:p>
            <w:pPr>
              <w:spacing w:after="0" w:line="195" w:lineRule="exact"/>
              <w:rPr>
                <w:rFonts w:ascii="Arial" w:cs="Arial" w:eastAsia="Arial" w:hAnsi="Arial"/>
                <w:sz w:val="18"/>
                <w:szCs w:val="18"/>
                <w:color w:val="0000FF"/>
                <w:w w:val="91"/>
              </w:rPr>
            </w:pPr>
            <w:hyperlink r:id="rId49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7.1</w:t>
              </w:r>
              <w:r>
                <w:rPr>
                  <w:rFonts w:ascii="Arial" w:cs="Arial" w:eastAsia="Arial" w:hAnsi="Arial"/>
                  <w:sz w:val="18"/>
                  <w:szCs w:val="18"/>
                  <w:color w:val="0000FF"/>
                  <w:w w:val="91"/>
                </w:rPr>
                <w:t xml:space="preserve"> to Gogo Inc. Registration Statement on Form S-1 (File No. 333-178727))</w:t>
              </w:r>
            </w:hyperlink>
          </w:p>
        </w:tc>
        <w:tc>
          <w:tcPr>
            <w:tcW w:w="20" w:type="dxa"/>
            <w:vAlign w:val="bottom"/>
            <w:tcBorders>
              <w:bottom w:val="single" w:sz="8" w:color="0000EE"/>
            </w:tcBorders>
          </w:tcPr>
          <w:p>
            <w:pPr>
              <w:spacing w:after="0"/>
              <w:rPr>
                <w:sz w:val="17"/>
                <w:szCs w:val="17"/>
                <w:color w:val="auto"/>
              </w:rPr>
            </w:pPr>
          </w:p>
        </w:tc>
        <w:tc>
          <w:tcPr>
            <w:tcW w:w="4080" w:type="dxa"/>
            <w:vAlign w:val="bottom"/>
            <w:gridSpan w:val="28"/>
          </w:tcPr>
          <w:p>
            <w:pPr>
              <w:spacing w:after="0"/>
              <w:rPr>
                <w:sz w:val="17"/>
                <w:szCs w:val="17"/>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10.7.2#</w:t>
            </w:r>
          </w:p>
        </w:tc>
        <w:tc>
          <w:tcPr>
            <w:tcW w:w="9880" w:type="dxa"/>
            <w:vAlign w:val="bottom"/>
            <w:tcBorders>
              <w:bottom w:val="single" w:sz="8" w:color="0000FF"/>
            </w:tcBorders>
            <w:gridSpan w:val="53"/>
          </w:tcPr>
          <w:p>
            <w:pPr>
              <w:spacing w:after="0"/>
              <w:rPr>
                <w:rFonts w:ascii="Arial" w:cs="Arial" w:eastAsia="Arial" w:hAnsi="Arial"/>
                <w:sz w:val="18"/>
                <w:szCs w:val="18"/>
                <w:color w:val="0000FF"/>
                <w:w w:val="91"/>
              </w:rPr>
            </w:pPr>
            <w:hyperlink r:id="rId494">
              <w:r>
                <w:rPr>
                  <w:rFonts w:ascii="Arial" w:cs="Arial" w:eastAsia="Arial" w:hAnsi="Arial"/>
                  <w:sz w:val="18"/>
                  <w:szCs w:val="18"/>
                  <w:color w:val="0000FF"/>
                  <w:w w:val="91"/>
                </w:rPr>
                <w:t>Form of Indemnification Agreement entered into between Gogo Inc. and each of its Officers (incorporated by reference to Exhibit 10.7.2</w:t>
              </w:r>
            </w:hyperlink>
          </w:p>
        </w:tc>
      </w:tr>
      <w:tr>
        <w:trPr>
          <w:trHeight w:val="196"/>
        </w:trPr>
        <w:tc>
          <w:tcPr>
            <w:tcW w:w="1360" w:type="dxa"/>
            <w:vAlign w:val="bottom"/>
          </w:tcPr>
          <w:p>
            <w:pPr>
              <w:spacing w:after="0"/>
              <w:rPr>
                <w:sz w:val="17"/>
                <w:szCs w:val="17"/>
                <w:color w:val="auto"/>
              </w:rPr>
            </w:pPr>
          </w:p>
        </w:tc>
        <w:tc>
          <w:tcPr>
            <w:tcW w:w="9880" w:type="dxa"/>
            <w:vAlign w:val="bottom"/>
            <w:gridSpan w:val="53"/>
          </w:tcPr>
          <w:p>
            <w:pPr>
              <w:spacing w:after="0" w:line="195" w:lineRule="exact"/>
              <w:rPr>
                <w:rFonts w:ascii="Arial" w:cs="Arial" w:eastAsia="Arial" w:hAnsi="Arial"/>
                <w:sz w:val="18"/>
                <w:szCs w:val="18"/>
                <w:color w:val="0000FF"/>
              </w:rPr>
            </w:pPr>
            <w:hyperlink r:id="rId494">
              <w:r>
                <w:rPr>
                  <w:rFonts w:ascii="Arial" w:cs="Arial" w:eastAsia="Arial" w:hAnsi="Arial"/>
                  <w:sz w:val="18"/>
                  <w:szCs w:val="18"/>
                  <w:color w:val="0000FF"/>
                </w:rPr>
                <w:t>to Gogo Inc. Registration Statement on Form S-1 (File No. 333-178727))</w:t>
              </w:r>
            </w:hyperlink>
          </w:p>
        </w:tc>
      </w:tr>
      <w:tr>
        <w:trPr>
          <w:trHeight w:val="465"/>
        </w:trPr>
        <w:tc>
          <w:tcPr>
            <w:tcW w:w="1360" w:type="dxa"/>
            <w:vAlign w:val="bottom"/>
          </w:tcPr>
          <w:p>
            <w:pPr>
              <w:spacing w:after="0"/>
              <w:rPr>
                <w:sz w:val="24"/>
                <w:szCs w:val="24"/>
                <w:color w:val="auto"/>
              </w:rPr>
            </w:pPr>
          </w:p>
        </w:tc>
        <w:tc>
          <w:tcPr>
            <w:tcW w:w="4400" w:type="dxa"/>
            <w:vAlign w:val="bottom"/>
            <w:tcBorders>
              <w:top w:val="single" w:sz="8" w:color="0000FF"/>
            </w:tcBorders>
            <w:gridSpan w:val="18"/>
          </w:tcPr>
          <w:p>
            <w:pPr>
              <w:ind w:left="4180"/>
              <w:spacing w:after="0"/>
              <w:rPr>
                <w:sz w:val="20"/>
                <w:szCs w:val="20"/>
                <w:color w:val="auto"/>
              </w:rPr>
            </w:pPr>
            <w:r>
              <w:rPr>
                <w:rFonts w:ascii="Arial" w:cs="Arial" w:eastAsia="Arial" w:hAnsi="Arial"/>
                <w:sz w:val="18"/>
                <w:szCs w:val="18"/>
                <w:color w:val="auto"/>
                <w:w w:val="89"/>
              </w:rPr>
              <w:t>97</w:t>
            </w: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10.8.1#</w:t>
            </w:r>
          </w:p>
        </w:tc>
        <w:tc>
          <w:tcPr>
            <w:tcW w:w="9860" w:type="dxa"/>
            <w:vAlign w:val="bottom"/>
            <w:tcBorders>
              <w:bottom w:val="single" w:sz="8" w:color="0000FF"/>
            </w:tcBorders>
            <w:gridSpan w:val="26"/>
          </w:tcPr>
          <w:p>
            <w:pPr>
              <w:spacing w:after="0"/>
              <w:rPr>
                <w:rFonts w:ascii="Arial" w:cs="Arial" w:eastAsia="Arial" w:hAnsi="Arial"/>
                <w:sz w:val="18"/>
                <w:szCs w:val="18"/>
                <w:color w:val="0000FF"/>
                <w:w w:val="91"/>
              </w:rPr>
            </w:pPr>
            <w:hyperlink r:id="rId497">
              <w:r>
                <w:rPr>
                  <w:rFonts w:ascii="Arial" w:cs="Arial" w:eastAsia="Arial" w:hAnsi="Arial"/>
                  <w:sz w:val="18"/>
                  <w:szCs w:val="18"/>
                  <w:color w:val="0000FF"/>
                  <w:w w:val="91"/>
                </w:rPr>
                <w:t>Form of Director Deferred Share Unit Agreement for Gogo Inc. Omnibus Incentive Plan (incorporated by reference to Exhibit 10.10.2 to</w:t>
              </w:r>
            </w:hyperlink>
          </w:p>
        </w:tc>
      </w:tr>
      <w:tr>
        <w:trPr>
          <w:trHeight w:val="196"/>
        </w:trPr>
        <w:tc>
          <w:tcPr>
            <w:tcW w:w="1340" w:type="dxa"/>
            <w:vAlign w:val="bottom"/>
          </w:tcPr>
          <w:p>
            <w:pPr>
              <w:spacing w:after="0"/>
              <w:rPr>
                <w:sz w:val="17"/>
                <w:szCs w:val="17"/>
                <w:color w:val="auto"/>
              </w:rPr>
            </w:pPr>
          </w:p>
        </w:tc>
        <w:tc>
          <w:tcPr>
            <w:tcW w:w="4240" w:type="dxa"/>
            <w:vAlign w:val="bottom"/>
            <w:tcBorders>
              <w:bottom w:val="single" w:sz="8" w:color="0000FF"/>
            </w:tcBorders>
            <w:gridSpan w:val="9"/>
          </w:tcPr>
          <w:p>
            <w:pPr>
              <w:spacing w:after="0" w:line="195" w:lineRule="exact"/>
              <w:rPr>
                <w:rFonts w:ascii="Arial" w:cs="Arial" w:eastAsia="Arial" w:hAnsi="Arial"/>
                <w:sz w:val="18"/>
                <w:szCs w:val="18"/>
                <w:color w:val="0000FF"/>
                <w:w w:val="92"/>
              </w:rPr>
            </w:pPr>
            <w:hyperlink r:id="rId497">
              <w:r>
                <w:rPr>
                  <w:rFonts w:ascii="Arial" w:cs="Arial" w:eastAsia="Arial" w:hAnsi="Arial"/>
                  <w:sz w:val="18"/>
                  <w:szCs w:val="18"/>
                  <w:color w:val="0000FF"/>
                  <w:w w:val="92"/>
                </w:rPr>
                <w:t>Form 10-K filed on March 14, 2014 (File No. 001-35975))</w:t>
              </w:r>
            </w:hyperlink>
          </w:p>
        </w:tc>
        <w:tc>
          <w:tcPr>
            <w:tcW w:w="20" w:type="dxa"/>
            <w:vAlign w:val="bottom"/>
            <w:tcBorders>
              <w:bottom w:val="single" w:sz="8" w:color="0000EE"/>
            </w:tcBorders>
          </w:tcPr>
          <w:p>
            <w:pPr>
              <w:spacing w:after="0"/>
              <w:rPr>
                <w:sz w:val="17"/>
                <w:szCs w:val="17"/>
                <w:color w:val="auto"/>
              </w:rPr>
            </w:pPr>
          </w:p>
        </w:tc>
        <w:tc>
          <w:tcPr>
            <w:tcW w:w="5600" w:type="dxa"/>
            <w:vAlign w:val="bottom"/>
            <w:gridSpan w:val="16"/>
          </w:tcPr>
          <w:p>
            <w:pPr>
              <w:spacing w:after="0"/>
              <w:rPr>
                <w:sz w:val="17"/>
                <w:szCs w:val="17"/>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10.8.2#</w:t>
            </w:r>
          </w:p>
        </w:tc>
        <w:tc>
          <w:tcPr>
            <w:tcW w:w="9860" w:type="dxa"/>
            <w:vAlign w:val="bottom"/>
            <w:tcBorders>
              <w:bottom w:val="single" w:sz="8" w:color="0000FF"/>
            </w:tcBorders>
            <w:gridSpan w:val="26"/>
          </w:tcPr>
          <w:p>
            <w:pPr>
              <w:spacing w:after="0"/>
              <w:rPr>
                <w:rFonts w:ascii="Arial" w:cs="Arial" w:eastAsia="Arial" w:hAnsi="Arial"/>
                <w:sz w:val="18"/>
                <w:szCs w:val="18"/>
                <w:color w:val="0000FF"/>
                <w:w w:val="92"/>
              </w:rPr>
            </w:pPr>
            <w:hyperlink r:id="rId498">
              <w:r>
                <w:rPr>
                  <w:rFonts w:ascii="Arial" w:cs="Arial" w:eastAsia="Arial" w:hAnsi="Arial"/>
                  <w:sz w:val="18"/>
                  <w:szCs w:val="18"/>
                  <w:color w:val="0000FF"/>
                  <w:w w:val="92"/>
                </w:rPr>
                <w:t>Form of Director Stock Option Agreement for Gogo Inc. Omnibus Incentive Plan (incorporated by reference to Exhibit 10.10.3 to Form</w:t>
              </w:r>
            </w:hyperlink>
          </w:p>
        </w:tc>
      </w:tr>
      <w:tr>
        <w:trPr>
          <w:trHeight w:val="196"/>
        </w:trPr>
        <w:tc>
          <w:tcPr>
            <w:tcW w:w="1340" w:type="dxa"/>
            <w:vAlign w:val="bottom"/>
          </w:tcPr>
          <w:p>
            <w:pPr>
              <w:spacing w:after="0"/>
              <w:rPr>
                <w:sz w:val="17"/>
                <w:szCs w:val="17"/>
                <w:color w:val="auto"/>
              </w:rPr>
            </w:pPr>
          </w:p>
        </w:tc>
        <w:tc>
          <w:tcPr>
            <w:tcW w:w="9860" w:type="dxa"/>
            <w:vAlign w:val="bottom"/>
            <w:gridSpan w:val="26"/>
          </w:tcPr>
          <w:p>
            <w:pPr>
              <w:spacing w:after="0" w:line="195" w:lineRule="exact"/>
              <w:rPr>
                <w:rFonts w:ascii="Arial" w:cs="Arial" w:eastAsia="Arial" w:hAnsi="Arial"/>
                <w:sz w:val="18"/>
                <w:szCs w:val="18"/>
                <w:color w:val="0000FF"/>
              </w:rPr>
            </w:pPr>
            <w:hyperlink r:id="rId498">
              <w:r>
                <w:rPr>
                  <w:rFonts w:ascii="Arial" w:cs="Arial" w:eastAsia="Arial" w:hAnsi="Arial"/>
                  <w:sz w:val="18"/>
                  <w:szCs w:val="18"/>
                  <w:color w:val="0000FF"/>
                </w:rPr>
                <w:t>10-K filed on March 14, 2014 (File No. 001-35975))</w:t>
              </w:r>
            </w:hyperlink>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10.8.3#</w:t>
            </w:r>
          </w:p>
        </w:tc>
        <w:tc>
          <w:tcPr>
            <w:tcW w:w="9860" w:type="dxa"/>
            <w:vAlign w:val="bottom"/>
            <w:tcBorders>
              <w:bottom w:val="single" w:sz="8" w:color="0000FF"/>
            </w:tcBorders>
            <w:gridSpan w:val="26"/>
          </w:tcPr>
          <w:p>
            <w:pPr>
              <w:spacing w:after="0"/>
              <w:rPr>
                <w:rFonts w:ascii="Arial" w:cs="Arial" w:eastAsia="Arial" w:hAnsi="Arial"/>
                <w:sz w:val="18"/>
                <w:szCs w:val="18"/>
                <w:color w:val="0000FF"/>
                <w:w w:val="92"/>
              </w:rPr>
            </w:pPr>
            <w:hyperlink r:id="rId499">
              <w:r>
                <w:rPr>
                  <w:rFonts w:ascii="Arial" w:cs="Arial" w:eastAsia="Arial" w:hAnsi="Arial"/>
                  <w:sz w:val="18"/>
                  <w:szCs w:val="18"/>
                  <w:color w:val="0000FF"/>
                  <w:w w:val="92"/>
                </w:rPr>
                <w:t>Director Compensation Policy, effective July 1, 2019 (incorporated by reference to Exhibit 10.9.4 to Form 10-K filed on March 13, 2020</w:t>
              </w:r>
            </w:hyperlink>
          </w:p>
        </w:tc>
      </w:tr>
      <w:tr>
        <w:trPr>
          <w:trHeight w:val="196"/>
        </w:trPr>
        <w:tc>
          <w:tcPr>
            <w:tcW w:w="1340" w:type="dxa"/>
            <w:vAlign w:val="bottom"/>
          </w:tcPr>
          <w:p>
            <w:pPr>
              <w:spacing w:after="0"/>
              <w:rPr>
                <w:sz w:val="17"/>
                <w:szCs w:val="17"/>
                <w:color w:val="auto"/>
              </w:rPr>
            </w:pPr>
          </w:p>
        </w:tc>
        <w:tc>
          <w:tcPr>
            <w:tcW w:w="9860" w:type="dxa"/>
            <w:vAlign w:val="bottom"/>
            <w:gridSpan w:val="26"/>
          </w:tcPr>
          <w:p>
            <w:pPr>
              <w:spacing w:after="0" w:line="195" w:lineRule="exact"/>
              <w:rPr>
                <w:rFonts w:ascii="Arial" w:cs="Arial" w:eastAsia="Arial" w:hAnsi="Arial"/>
                <w:sz w:val="18"/>
                <w:szCs w:val="18"/>
                <w:color w:val="0000FF"/>
              </w:rPr>
            </w:pPr>
            <w:hyperlink r:id="rId499">
              <w:r>
                <w:rPr>
                  <w:rFonts w:ascii="Arial" w:cs="Arial" w:eastAsia="Arial" w:hAnsi="Arial"/>
                  <w:sz w:val="18"/>
                  <w:szCs w:val="18"/>
                  <w:color w:val="0000FF"/>
                </w:rPr>
                <w:t>(File No. 001-35975))</w:t>
              </w:r>
            </w:hyperlink>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10.8.4#</w:t>
            </w:r>
          </w:p>
        </w:tc>
        <w:tc>
          <w:tcPr>
            <w:tcW w:w="9460" w:type="dxa"/>
            <w:vAlign w:val="bottom"/>
            <w:tcBorders>
              <w:bottom w:val="single" w:sz="8" w:color="0000FF"/>
            </w:tcBorders>
            <w:gridSpan w:val="13"/>
          </w:tcPr>
          <w:p>
            <w:pPr>
              <w:spacing w:after="0"/>
              <w:rPr>
                <w:rFonts w:ascii="Arial" w:cs="Arial" w:eastAsia="Arial" w:hAnsi="Arial"/>
                <w:sz w:val="18"/>
                <w:szCs w:val="18"/>
                <w:color w:val="0000FF"/>
                <w:w w:val="92"/>
              </w:rPr>
            </w:pPr>
            <w:hyperlink r:id="rId500">
              <w:r>
                <w:rPr>
                  <w:rFonts w:ascii="Arial" w:cs="Arial" w:eastAsia="Arial" w:hAnsi="Arial"/>
                  <w:sz w:val="18"/>
                  <w:szCs w:val="18"/>
                  <w:color w:val="0000FF"/>
                  <w:w w:val="92"/>
                </w:rPr>
                <w:t>Form of Director Stock Option Agreement for Amended and Restated Gogo Inc. 2016 Omnibus Incentive Plan (effective April 29,</w:t>
              </w:r>
            </w:hyperlink>
          </w:p>
        </w:tc>
        <w:tc>
          <w:tcPr>
            <w:tcW w:w="400" w:type="dxa"/>
            <w:vAlign w:val="bottom"/>
            <w:gridSpan w:val="13"/>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860" w:type="dxa"/>
            <w:vAlign w:val="bottom"/>
            <w:gridSpan w:val="26"/>
          </w:tcPr>
          <w:p>
            <w:pPr>
              <w:spacing w:after="0" w:line="195" w:lineRule="exact"/>
              <w:rPr>
                <w:rFonts w:ascii="Arial" w:cs="Arial" w:eastAsia="Arial" w:hAnsi="Arial"/>
                <w:sz w:val="18"/>
                <w:szCs w:val="18"/>
                <w:color w:val="0000FF"/>
              </w:rPr>
            </w:pPr>
            <w:hyperlink r:id="rId500">
              <w:r>
                <w:rPr>
                  <w:rFonts w:ascii="Arial" w:cs="Arial" w:eastAsia="Arial" w:hAnsi="Arial"/>
                  <w:sz w:val="18"/>
                  <w:szCs w:val="18"/>
                  <w:color w:val="0000FF"/>
                </w:rPr>
                <w:t>2020) (incorporated by reference to Exhibit 10.9.1 to Form 10-Q filed on August 10, 2020 (File No. 001-35975))</w:t>
              </w:r>
            </w:hyperlink>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10.8.5#</w:t>
            </w:r>
          </w:p>
        </w:tc>
        <w:tc>
          <w:tcPr>
            <w:tcW w:w="9740" w:type="dxa"/>
            <w:vAlign w:val="bottom"/>
            <w:tcBorders>
              <w:bottom w:val="single" w:sz="8" w:color="0000FF"/>
            </w:tcBorders>
            <w:gridSpan w:val="21"/>
          </w:tcPr>
          <w:p>
            <w:pPr>
              <w:spacing w:after="0"/>
              <w:rPr>
                <w:rFonts w:ascii="Arial" w:cs="Arial" w:eastAsia="Arial" w:hAnsi="Arial"/>
                <w:sz w:val="18"/>
                <w:szCs w:val="18"/>
                <w:color w:val="0000FF"/>
                <w:w w:val="91"/>
              </w:rPr>
            </w:pPr>
            <w:hyperlink r:id="rId501">
              <w:r>
                <w:rPr>
                  <w:rFonts w:ascii="Arial" w:cs="Arial" w:eastAsia="Arial" w:hAnsi="Arial"/>
                  <w:sz w:val="18"/>
                  <w:szCs w:val="18"/>
                  <w:color w:val="0000FF"/>
                  <w:w w:val="91"/>
                </w:rPr>
                <w:t>Amendment to Non-Employee Director Stock Option Agreements for Amended and Restated Gogo Inc. 2016 Omnibus Incentive Plan</w:t>
              </w:r>
            </w:hyperlink>
          </w:p>
        </w:tc>
        <w:tc>
          <w:tcPr>
            <w:tcW w:w="120" w:type="dxa"/>
            <w:vAlign w:val="bottom"/>
            <w:gridSpan w:val="5"/>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760" w:type="dxa"/>
            <w:vAlign w:val="bottom"/>
            <w:tcBorders>
              <w:bottom w:val="single" w:sz="8" w:color="0000FF"/>
            </w:tcBorders>
            <w:gridSpan w:val="22"/>
          </w:tcPr>
          <w:p>
            <w:pPr>
              <w:spacing w:after="0" w:line="195" w:lineRule="exact"/>
              <w:rPr>
                <w:rFonts w:ascii="Arial" w:cs="Arial" w:eastAsia="Arial" w:hAnsi="Arial"/>
                <w:sz w:val="18"/>
                <w:szCs w:val="18"/>
                <w:color w:val="0000FF"/>
                <w:w w:val="92"/>
              </w:rPr>
            </w:pPr>
            <w:hyperlink r:id="rId501">
              <w:r>
                <w:rPr>
                  <w:rFonts w:ascii="Arial" w:cs="Arial" w:eastAsia="Arial" w:hAnsi="Arial"/>
                  <w:sz w:val="18"/>
                  <w:szCs w:val="18"/>
                  <w:color w:val="0000FF"/>
                  <w:w w:val="92"/>
                </w:rPr>
                <w:t>granted before April 29, 2020 (effective April 29, 2020) (incorporated by reference to Exhibit 10.9.2 to Form 10-Q filed on August 10,</w:t>
              </w:r>
            </w:hyperlink>
          </w:p>
        </w:tc>
        <w:tc>
          <w:tcPr>
            <w:tcW w:w="100" w:type="dxa"/>
            <w:vAlign w:val="bottom"/>
            <w:gridSpan w:val="4"/>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60" w:type="dxa"/>
            <w:vAlign w:val="bottom"/>
            <w:gridSpan w:val="26"/>
          </w:tcPr>
          <w:p>
            <w:pPr>
              <w:spacing w:after="0" w:line="195" w:lineRule="exact"/>
              <w:rPr>
                <w:rFonts w:ascii="Arial" w:cs="Arial" w:eastAsia="Arial" w:hAnsi="Arial"/>
                <w:sz w:val="18"/>
                <w:szCs w:val="18"/>
                <w:color w:val="0000FF"/>
              </w:rPr>
            </w:pPr>
            <w:hyperlink r:id="rId501">
              <w:r>
                <w:rPr>
                  <w:rFonts w:ascii="Arial" w:cs="Arial" w:eastAsia="Arial" w:hAnsi="Arial"/>
                  <w:sz w:val="18"/>
                  <w:szCs w:val="18"/>
                  <w:color w:val="0000FF"/>
                </w:rPr>
                <w:t>2020 (File No. 001-35975))</w:t>
              </w:r>
            </w:hyperlink>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10.9.1</w:t>
            </w:r>
          </w:p>
        </w:tc>
        <w:tc>
          <w:tcPr>
            <w:tcW w:w="9800" w:type="dxa"/>
            <w:vAlign w:val="bottom"/>
            <w:tcBorders>
              <w:bottom w:val="single" w:sz="8" w:color="0000FF"/>
            </w:tcBorders>
            <w:gridSpan w:val="24"/>
          </w:tcPr>
          <w:p>
            <w:pPr>
              <w:spacing w:after="0"/>
              <w:rPr>
                <w:rFonts w:ascii="Arial" w:cs="Arial" w:eastAsia="Arial" w:hAnsi="Arial"/>
                <w:sz w:val="18"/>
                <w:szCs w:val="18"/>
                <w:color w:val="0000FF"/>
                <w:w w:val="91"/>
              </w:rPr>
            </w:pPr>
            <w:hyperlink r:id="rId502">
              <w:r>
                <w:rPr>
                  <w:rFonts w:ascii="Arial" w:cs="Arial" w:eastAsia="Arial" w:hAnsi="Arial"/>
                  <w:sz w:val="18"/>
                  <w:szCs w:val="18"/>
                  <w:color w:val="0000FF"/>
                  <w:w w:val="91"/>
                </w:rPr>
                <w:t>Credit Agreement, dated as of April 30, 2021, among Gogo Inc., Gogo Intermediate Holdings LLC, the lenders and issuing banks party</w:t>
              </w:r>
            </w:hyperlink>
          </w:p>
        </w:tc>
        <w:tc>
          <w:tcPr>
            <w:tcW w:w="60" w:type="dxa"/>
            <w:vAlign w:val="bottom"/>
            <w:gridSpan w:val="2"/>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700" w:type="dxa"/>
            <w:vAlign w:val="bottom"/>
            <w:tcBorders>
              <w:bottom w:val="single" w:sz="8" w:color="0000FF"/>
            </w:tcBorders>
            <w:gridSpan w:val="20"/>
          </w:tcPr>
          <w:p>
            <w:pPr>
              <w:spacing w:after="0" w:line="195" w:lineRule="exact"/>
              <w:rPr>
                <w:rFonts w:ascii="Arial" w:cs="Arial" w:eastAsia="Arial" w:hAnsi="Arial"/>
                <w:sz w:val="18"/>
                <w:szCs w:val="18"/>
                <w:color w:val="0000FF"/>
                <w:w w:val="91"/>
              </w:rPr>
            </w:pPr>
            <w:hyperlink r:id="rId502">
              <w:r>
                <w:rPr>
                  <w:rFonts w:ascii="Arial" w:cs="Arial" w:eastAsia="Arial" w:hAnsi="Arial"/>
                  <w:sz w:val="18"/>
                  <w:szCs w:val="18"/>
                  <w:color w:val="0000FF"/>
                  <w:w w:val="91"/>
                </w:rPr>
                <w:t>thereto and Morgan Stanley Senior Funding, Inc., as administrative agent (incorporated by reference to Exhibit 10.1 to Form 8-K filed</w:t>
              </w:r>
            </w:hyperlink>
          </w:p>
        </w:tc>
        <w:tc>
          <w:tcPr>
            <w:tcW w:w="160" w:type="dxa"/>
            <w:vAlign w:val="bottom"/>
            <w:gridSpan w:val="6"/>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60" w:type="dxa"/>
            <w:vAlign w:val="bottom"/>
            <w:gridSpan w:val="26"/>
          </w:tcPr>
          <w:p>
            <w:pPr>
              <w:spacing w:after="0" w:line="195" w:lineRule="exact"/>
              <w:rPr>
                <w:rFonts w:ascii="Arial" w:cs="Arial" w:eastAsia="Arial" w:hAnsi="Arial"/>
                <w:sz w:val="18"/>
                <w:szCs w:val="18"/>
                <w:color w:val="0000FF"/>
              </w:rPr>
            </w:pPr>
            <w:hyperlink r:id="rId502">
              <w:r>
                <w:rPr>
                  <w:rFonts w:ascii="Arial" w:cs="Arial" w:eastAsia="Arial" w:hAnsi="Arial"/>
                  <w:sz w:val="18"/>
                  <w:szCs w:val="18"/>
                  <w:color w:val="0000FF"/>
                </w:rPr>
                <w:t>on May 3, 2021 (File No. 001-35975))</w:t>
              </w:r>
            </w:hyperlink>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10.9.2</w:t>
            </w:r>
          </w:p>
        </w:tc>
        <w:tc>
          <w:tcPr>
            <w:tcW w:w="9660" w:type="dxa"/>
            <w:vAlign w:val="bottom"/>
            <w:tcBorders>
              <w:bottom w:val="single" w:sz="8" w:color="0000FF"/>
            </w:tcBorders>
            <w:gridSpan w:val="19"/>
          </w:tcPr>
          <w:p>
            <w:pPr>
              <w:spacing w:after="0"/>
              <w:rPr>
                <w:rFonts w:ascii="Arial" w:cs="Arial" w:eastAsia="Arial" w:hAnsi="Arial"/>
                <w:sz w:val="18"/>
                <w:szCs w:val="18"/>
                <w:color w:val="0000FF"/>
                <w:w w:val="91"/>
              </w:rPr>
            </w:pPr>
            <w:hyperlink r:id="rId503">
              <w:r>
                <w:rPr>
                  <w:rFonts w:ascii="Arial" w:cs="Arial" w:eastAsia="Arial" w:hAnsi="Arial"/>
                  <w:sz w:val="18"/>
                  <w:szCs w:val="18"/>
                  <w:color w:val="0000FF"/>
                  <w:w w:val="91"/>
                </w:rPr>
                <w:t>Guarantee Agreement, dated as of April 30, 2021, among Gogo Inc., Gogo Intermediate Holdings LLC and certain of its subsidiaries,</w:t>
              </w:r>
            </w:hyperlink>
          </w:p>
        </w:tc>
        <w:tc>
          <w:tcPr>
            <w:tcW w:w="200" w:type="dxa"/>
            <w:vAlign w:val="bottom"/>
            <w:gridSpan w:val="7"/>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620" w:type="dxa"/>
            <w:vAlign w:val="bottom"/>
            <w:tcBorders>
              <w:bottom w:val="single" w:sz="8" w:color="0000FF"/>
            </w:tcBorders>
            <w:gridSpan w:val="17"/>
          </w:tcPr>
          <w:p>
            <w:pPr>
              <w:spacing w:after="0" w:line="195" w:lineRule="exact"/>
              <w:rPr>
                <w:rFonts w:ascii="Arial" w:cs="Arial" w:eastAsia="Arial" w:hAnsi="Arial"/>
                <w:sz w:val="18"/>
                <w:szCs w:val="18"/>
                <w:color w:val="0000FF"/>
                <w:w w:val="91"/>
              </w:rPr>
            </w:pPr>
            <w:hyperlink r:id="rId503">
              <w:r>
                <w:rPr>
                  <w:rFonts w:ascii="Arial" w:cs="Arial" w:eastAsia="Arial" w:hAnsi="Arial"/>
                  <w:sz w:val="18"/>
                  <w:szCs w:val="18"/>
                  <w:color w:val="0000FF"/>
                  <w:w w:val="91"/>
                </w:rPr>
                <w:t>and Morgan Stanley Senior Funding, Inc., as collateral agent. (incorporated by reference to Exhibit 10.2 to Form 8-K filed on May 3,</w:t>
              </w:r>
            </w:hyperlink>
          </w:p>
        </w:tc>
        <w:tc>
          <w:tcPr>
            <w:tcW w:w="240" w:type="dxa"/>
            <w:vAlign w:val="bottom"/>
            <w:gridSpan w:val="9"/>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60" w:type="dxa"/>
            <w:vAlign w:val="bottom"/>
            <w:gridSpan w:val="26"/>
          </w:tcPr>
          <w:p>
            <w:pPr>
              <w:spacing w:after="0" w:line="195" w:lineRule="exact"/>
              <w:rPr>
                <w:rFonts w:ascii="Arial" w:cs="Arial" w:eastAsia="Arial" w:hAnsi="Arial"/>
                <w:sz w:val="18"/>
                <w:szCs w:val="18"/>
                <w:color w:val="0000FF"/>
              </w:rPr>
            </w:pPr>
            <w:hyperlink r:id="rId503">
              <w:r>
                <w:rPr>
                  <w:rFonts w:ascii="Arial" w:cs="Arial" w:eastAsia="Arial" w:hAnsi="Arial"/>
                  <w:sz w:val="18"/>
                  <w:szCs w:val="18"/>
                  <w:color w:val="0000FF"/>
                </w:rPr>
                <w:t>2021 (File No. 001-35975))</w:t>
              </w:r>
            </w:hyperlink>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10.9.3</w:t>
            </w:r>
          </w:p>
        </w:tc>
        <w:tc>
          <w:tcPr>
            <w:tcW w:w="9640" w:type="dxa"/>
            <w:vAlign w:val="bottom"/>
            <w:tcBorders>
              <w:bottom w:val="single" w:sz="8" w:color="0000FF"/>
            </w:tcBorders>
            <w:gridSpan w:val="18"/>
          </w:tcPr>
          <w:p>
            <w:pPr>
              <w:spacing w:after="0"/>
              <w:rPr>
                <w:rFonts w:ascii="Arial" w:cs="Arial" w:eastAsia="Arial" w:hAnsi="Arial"/>
                <w:sz w:val="18"/>
                <w:szCs w:val="18"/>
                <w:color w:val="0000FF"/>
                <w:w w:val="91"/>
              </w:rPr>
            </w:pPr>
            <w:hyperlink r:id="rId504">
              <w:r>
                <w:rPr>
                  <w:rFonts w:ascii="Arial" w:cs="Arial" w:eastAsia="Arial" w:hAnsi="Arial"/>
                  <w:sz w:val="18"/>
                  <w:szCs w:val="18"/>
                  <w:color w:val="0000FF"/>
                  <w:w w:val="91"/>
                </w:rPr>
                <w:t>Collateral Agreement, dated as of April 30, 2021, among Gogo Inc., Gogo Intermediate Holdings LLC and certain of its subsidiaries,</w:t>
              </w:r>
            </w:hyperlink>
          </w:p>
        </w:tc>
        <w:tc>
          <w:tcPr>
            <w:tcW w:w="220" w:type="dxa"/>
            <w:vAlign w:val="bottom"/>
            <w:gridSpan w:val="8"/>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580" w:type="dxa"/>
            <w:vAlign w:val="bottom"/>
            <w:tcBorders>
              <w:bottom w:val="single" w:sz="8" w:color="0000FF"/>
            </w:tcBorders>
            <w:gridSpan w:val="16"/>
          </w:tcPr>
          <w:p>
            <w:pPr>
              <w:spacing w:after="0" w:line="195" w:lineRule="exact"/>
              <w:rPr>
                <w:rFonts w:ascii="Arial" w:cs="Arial" w:eastAsia="Arial" w:hAnsi="Arial"/>
                <w:sz w:val="18"/>
                <w:szCs w:val="18"/>
                <w:color w:val="0000FF"/>
                <w:w w:val="91"/>
              </w:rPr>
            </w:pPr>
            <w:hyperlink r:id="rId504">
              <w:r>
                <w:rPr>
                  <w:rFonts w:ascii="Arial" w:cs="Arial" w:eastAsia="Arial" w:hAnsi="Arial"/>
                  <w:sz w:val="18"/>
                  <w:szCs w:val="18"/>
                  <w:color w:val="0000FF"/>
                  <w:w w:val="91"/>
                </w:rPr>
                <w:t>and Morgan Stanley Senior Funding, Inc., as collateral agent (incorporated by reference to Exhibit 10.3 to Form 8-K filed on May 3,</w:t>
              </w:r>
            </w:hyperlink>
          </w:p>
        </w:tc>
        <w:tc>
          <w:tcPr>
            <w:tcW w:w="280" w:type="dxa"/>
            <w:vAlign w:val="bottom"/>
            <w:gridSpan w:val="10"/>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60" w:type="dxa"/>
            <w:vAlign w:val="bottom"/>
            <w:gridSpan w:val="26"/>
          </w:tcPr>
          <w:p>
            <w:pPr>
              <w:spacing w:after="0" w:line="195" w:lineRule="exact"/>
              <w:rPr>
                <w:rFonts w:ascii="Arial" w:cs="Arial" w:eastAsia="Arial" w:hAnsi="Arial"/>
                <w:sz w:val="18"/>
                <w:szCs w:val="18"/>
                <w:color w:val="0000FF"/>
              </w:rPr>
            </w:pPr>
            <w:hyperlink r:id="rId504">
              <w:r>
                <w:rPr>
                  <w:rFonts w:ascii="Arial" w:cs="Arial" w:eastAsia="Arial" w:hAnsi="Arial"/>
                  <w:sz w:val="18"/>
                  <w:szCs w:val="18"/>
                  <w:color w:val="0000FF"/>
                </w:rPr>
                <w:t>2021 (File No. 001-35975))</w:t>
              </w:r>
            </w:hyperlink>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10.9.4</w:t>
            </w:r>
          </w:p>
        </w:tc>
        <w:tc>
          <w:tcPr>
            <w:tcW w:w="97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1"/>
              </w:rPr>
              <w:t>First Amendment to Credit Agreement, dated as of February 2, 2023, among Gogo Inc., Gogo Intermediate Holdings LLC and Morgan</w:t>
            </w:r>
          </w:p>
        </w:tc>
        <w:tc>
          <w:tcPr>
            <w:tcW w:w="80" w:type="dxa"/>
            <w:vAlign w:val="bottom"/>
            <w:gridSpan w:val="3"/>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3820" w:type="dxa"/>
            <w:vAlign w:val="bottom"/>
            <w:tcBorders>
              <w:bottom w:val="single" w:sz="8" w:color="0000FF"/>
            </w:tcBorders>
            <w:gridSpan w:val="8"/>
          </w:tcPr>
          <w:p>
            <w:pPr>
              <w:spacing w:after="0" w:line="195" w:lineRule="exact"/>
              <w:rPr>
                <w:sz w:val="20"/>
                <w:szCs w:val="20"/>
                <w:color w:val="auto"/>
              </w:rPr>
            </w:pPr>
            <w:r>
              <w:rPr>
                <w:rFonts w:ascii="Arial" w:cs="Arial" w:eastAsia="Arial" w:hAnsi="Arial"/>
                <w:sz w:val="18"/>
                <w:szCs w:val="18"/>
                <w:color w:val="0000FF"/>
                <w:w w:val="89"/>
              </w:rPr>
              <w:t>Stanley Senior Funding, Inc., as administrative agent</w:t>
            </w:r>
          </w:p>
        </w:tc>
        <w:tc>
          <w:tcPr>
            <w:tcW w:w="6040" w:type="dxa"/>
            <w:vAlign w:val="bottom"/>
            <w:gridSpan w:val="18"/>
          </w:tcPr>
          <w:p>
            <w:pPr>
              <w:spacing w:after="0"/>
              <w:rPr>
                <w:sz w:val="17"/>
                <w:szCs w:val="17"/>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21.1</w:t>
            </w:r>
          </w:p>
        </w:tc>
        <w:tc>
          <w:tcPr>
            <w:tcW w:w="9860" w:type="dxa"/>
            <w:vAlign w:val="bottom"/>
            <w:gridSpan w:val="26"/>
          </w:tcPr>
          <w:p>
            <w:pPr>
              <w:spacing w:after="0"/>
              <w:rPr>
                <w:sz w:val="20"/>
                <w:szCs w:val="20"/>
                <w:color w:val="auto"/>
              </w:rPr>
            </w:pPr>
            <w:r>
              <w:rPr>
                <w:rFonts w:ascii="Arial" w:cs="Arial" w:eastAsia="Arial" w:hAnsi="Arial"/>
                <w:sz w:val="18"/>
                <w:szCs w:val="18"/>
                <w:color w:val="0000FF"/>
              </w:rPr>
              <w:t>List of Subsidiaries</w:t>
            </w:r>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23.1</w:t>
            </w:r>
          </w:p>
        </w:tc>
        <w:tc>
          <w:tcPr>
            <w:tcW w:w="9860" w:type="dxa"/>
            <w:vAlign w:val="bottom"/>
            <w:gridSpan w:val="26"/>
          </w:tcPr>
          <w:p>
            <w:pPr>
              <w:spacing w:after="0"/>
              <w:rPr>
                <w:sz w:val="20"/>
                <w:szCs w:val="20"/>
                <w:color w:val="auto"/>
              </w:rPr>
            </w:pPr>
            <w:r>
              <w:rPr>
                <w:rFonts w:ascii="Arial" w:cs="Arial" w:eastAsia="Arial" w:hAnsi="Arial"/>
                <w:sz w:val="18"/>
                <w:szCs w:val="18"/>
                <w:color w:val="0000FF"/>
              </w:rPr>
              <w:t>Consent of Independent Registered Public Accounting Firm – Deloitte &amp; Touche LLP</w:t>
            </w: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24.1</w:t>
            </w:r>
          </w:p>
        </w:tc>
        <w:tc>
          <w:tcPr>
            <w:tcW w:w="62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Power of Attorney (included on signature page)</w:t>
            </w:r>
          </w:p>
        </w:tc>
        <w:tc>
          <w:tcPr>
            <w:tcW w:w="3660" w:type="dxa"/>
            <w:vAlign w:val="bottom"/>
            <w:gridSpan w:val="15"/>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1"/>
              </w:rPr>
              <w:t>Certification of Chief Executive Officer pursuant to Exchange Act Rules 13a-14(a) and 15d-14(a), as adopted pursuant to Section 302 of</w:t>
            </w:r>
          </w:p>
        </w:tc>
      </w:tr>
      <w:tr>
        <w:trPr>
          <w:trHeight w:val="196"/>
        </w:trPr>
        <w:tc>
          <w:tcPr>
            <w:tcW w:w="1340" w:type="dxa"/>
            <w:vAlign w:val="bottom"/>
          </w:tcPr>
          <w:p>
            <w:pPr>
              <w:spacing w:after="0"/>
              <w:rPr>
                <w:sz w:val="17"/>
                <w:szCs w:val="17"/>
                <w:color w:val="auto"/>
              </w:rPr>
            </w:pPr>
          </w:p>
        </w:tc>
        <w:tc>
          <w:tcPr>
            <w:tcW w:w="9860" w:type="dxa"/>
            <w:vAlign w:val="bottom"/>
            <w:gridSpan w:val="26"/>
          </w:tcPr>
          <w:p>
            <w:pPr>
              <w:spacing w:after="0" w:line="195" w:lineRule="exact"/>
              <w:rPr>
                <w:sz w:val="20"/>
                <w:szCs w:val="20"/>
                <w:color w:val="auto"/>
              </w:rPr>
            </w:pPr>
            <w:r>
              <w:rPr>
                <w:rFonts w:ascii="Arial" w:cs="Arial" w:eastAsia="Arial" w:hAnsi="Arial"/>
                <w:sz w:val="18"/>
                <w:szCs w:val="18"/>
                <w:color w:val="0000FF"/>
              </w:rPr>
              <w:t>the Sarbanes-Oxley Act of 2002</w:t>
            </w:r>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1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84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1"/>
              </w:rPr>
              <w:t>Certification of Chief Financial Officer pursuant to Exchange Act Rules 13a-14(a) and 15d-14(a), as adopted pursuant to Section 302 of</w:t>
            </w:r>
          </w:p>
        </w:tc>
        <w:tc>
          <w:tcPr>
            <w:tcW w:w="20" w:type="dxa"/>
            <w:vAlign w:val="bottom"/>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860" w:type="dxa"/>
            <w:vAlign w:val="bottom"/>
            <w:gridSpan w:val="26"/>
          </w:tcPr>
          <w:p>
            <w:pPr>
              <w:spacing w:after="0" w:line="195" w:lineRule="exact"/>
              <w:rPr>
                <w:sz w:val="20"/>
                <w:szCs w:val="20"/>
                <w:color w:val="auto"/>
              </w:rPr>
            </w:pPr>
            <w:r>
              <w:rPr>
                <w:rFonts w:ascii="Arial" w:cs="Arial" w:eastAsia="Arial" w:hAnsi="Arial"/>
                <w:sz w:val="18"/>
                <w:szCs w:val="18"/>
                <w:color w:val="0000FF"/>
              </w:rPr>
              <w:t>the Sarbanes-Oxley Act of 2002</w:t>
            </w:r>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1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32.1 *</w:t>
            </w:r>
          </w:p>
        </w:tc>
        <w:tc>
          <w:tcPr>
            <w:tcW w:w="9860" w:type="dxa"/>
            <w:vAlign w:val="bottom"/>
            <w:gridSpan w:val="26"/>
          </w:tcPr>
          <w:p>
            <w:pPr>
              <w:spacing w:after="0"/>
              <w:rPr>
                <w:sz w:val="20"/>
                <w:szCs w:val="20"/>
                <w:color w:val="auto"/>
              </w:rPr>
            </w:pPr>
            <w:r>
              <w:rPr>
                <w:rFonts w:ascii="Arial" w:cs="Arial" w:eastAsia="Arial" w:hAnsi="Arial"/>
                <w:sz w:val="18"/>
                <w:szCs w:val="18"/>
                <w:color w:val="0000FF"/>
                <w:w w:val="93"/>
              </w:rPr>
              <w:t>Certification of the Chief Executive Officer pursuant to 18 U.S.C. Section 1350, as adopted pursuant to Section 906 of the Sarbanes-</w:t>
            </w:r>
          </w:p>
        </w:tc>
      </w:tr>
      <w:tr>
        <w:trPr>
          <w:trHeight w:val="196"/>
        </w:trPr>
        <w:tc>
          <w:tcPr>
            <w:tcW w:w="1340" w:type="dxa"/>
            <w:vAlign w:val="bottom"/>
          </w:tcPr>
          <w:p>
            <w:pPr>
              <w:spacing w:after="0"/>
              <w:rPr>
                <w:sz w:val="17"/>
                <w:szCs w:val="17"/>
                <w:color w:val="auto"/>
              </w:rPr>
            </w:pPr>
          </w:p>
        </w:tc>
        <w:tc>
          <w:tcPr>
            <w:tcW w:w="1360" w:type="dxa"/>
            <w:vAlign w:val="bottom"/>
            <w:tcBorders>
              <w:top w:val="single" w:sz="8" w:color="0000FF"/>
              <w:bottom w:val="single" w:sz="8" w:color="0000FF"/>
            </w:tcBorders>
          </w:tcPr>
          <w:p>
            <w:pPr>
              <w:spacing w:after="0" w:line="195" w:lineRule="exact"/>
              <w:rPr>
                <w:sz w:val="20"/>
                <w:szCs w:val="20"/>
                <w:color w:val="auto"/>
              </w:rPr>
            </w:pPr>
            <w:r>
              <w:rPr>
                <w:rFonts w:ascii="Arial" w:cs="Arial" w:eastAsia="Arial" w:hAnsi="Arial"/>
                <w:sz w:val="18"/>
                <w:szCs w:val="18"/>
                <w:color w:val="0000FF"/>
                <w:w w:val="94"/>
              </w:rPr>
              <w:t>Oxley Act of 2002</w:t>
            </w:r>
          </w:p>
        </w:tc>
        <w:tc>
          <w:tcPr>
            <w:tcW w:w="40" w:type="dxa"/>
            <w:vAlign w:val="bottom"/>
            <w:tcBorders>
              <w:top w:val="single" w:sz="8" w:color="0000FF"/>
              <w:bottom w:val="single" w:sz="8" w:color="0000EE"/>
            </w:tcBorders>
          </w:tcPr>
          <w:p>
            <w:pPr>
              <w:spacing w:after="0"/>
              <w:rPr>
                <w:sz w:val="17"/>
                <w:szCs w:val="17"/>
                <w:color w:val="auto"/>
              </w:rPr>
            </w:pPr>
          </w:p>
        </w:tc>
        <w:tc>
          <w:tcPr>
            <w:tcW w:w="8140" w:type="dxa"/>
            <w:vAlign w:val="bottom"/>
            <w:tcBorders>
              <w:top w:val="single" w:sz="8" w:color="0000FF"/>
            </w:tcBorders>
            <w:gridSpan w:val="13"/>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32.2 *</w:t>
            </w:r>
          </w:p>
        </w:tc>
        <w:tc>
          <w:tcPr>
            <w:tcW w:w="95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Certification of the Chief Financial Officer pursuant to 18 U.S.C. Section 1350, as adopted pursuant to Section 906 of the Sarbanes-</w:t>
            </w:r>
          </w:p>
        </w:tc>
        <w:tc>
          <w:tcPr>
            <w:tcW w:w="360" w:type="dxa"/>
            <w:vAlign w:val="bottom"/>
            <w:gridSpan w:val="12"/>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136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4"/>
              </w:rPr>
              <w:t>Oxley Act of 2002</w:t>
            </w:r>
          </w:p>
        </w:tc>
        <w:tc>
          <w:tcPr>
            <w:tcW w:w="40" w:type="dxa"/>
            <w:vAlign w:val="bottom"/>
            <w:tcBorders>
              <w:bottom w:val="single" w:sz="8" w:color="0000EE"/>
            </w:tcBorders>
          </w:tcPr>
          <w:p>
            <w:pPr>
              <w:spacing w:after="0"/>
              <w:rPr>
                <w:sz w:val="17"/>
                <w:szCs w:val="17"/>
                <w:color w:val="auto"/>
              </w:rPr>
            </w:pPr>
          </w:p>
        </w:tc>
        <w:tc>
          <w:tcPr>
            <w:tcW w:w="8460" w:type="dxa"/>
            <w:vAlign w:val="bottom"/>
            <w:gridSpan w:val="24"/>
          </w:tcPr>
          <w:p>
            <w:pPr>
              <w:spacing w:after="0"/>
              <w:rPr>
                <w:sz w:val="17"/>
                <w:szCs w:val="17"/>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26"/>
          </w:tcPr>
          <w:p>
            <w:pPr>
              <w:spacing w:after="0"/>
              <w:rPr>
                <w:sz w:val="20"/>
                <w:szCs w:val="20"/>
                <w:color w:val="auto"/>
              </w:rPr>
            </w:pPr>
            <w:r>
              <w:rPr>
                <w:rFonts w:ascii="Arial" w:cs="Arial" w:eastAsia="Arial" w:hAnsi="Arial"/>
                <w:sz w:val="18"/>
                <w:szCs w:val="18"/>
                <w:color w:val="auto"/>
              </w:rPr>
              <w:t>Inline XBRL Instance Document</w:t>
            </w: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2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2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2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2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3" w:lineRule="exact"/>
        <w:rPr>
          <w:sz w:val="20"/>
          <w:szCs w:val="20"/>
          <w:color w:val="auto"/>
        </w:rPr>
      </w:pPr>
    </w:p>
    <w:p>
      <w:pPr>
        <w:ind w:left="1340" w:right="40" w:hanging="1339"/>
        <w:spacing w:after="0" w:line="257" w:lineRule="auto"/>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certification accompanies the Form 10-K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10-K), irrespective of any general incorporation language contained in such filing.</w:t>
      </w:r>
    </w:p>
    <w:p>
      <w:pPr>
        <w:spacing w:after="0" w:line="3" w:lineRule="exact"/>
        <w:rPr>
          <w:sz w:val="20"/>
          <w:szCs w:val="20"/>
          <w:color w:val="auto"/>
        </w:rPr>
      </w:pPr>
    </w:p>
    <w:p>
      <w:pPr>
        <w:ind w:left="1340" w:right="20" w:hanging="1339"/>
        <w:spacing w:after="0" w:line="265" w:lineRule="auto"/>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schedules and other similar attachments to such agreement have been omitted pursuant to Item 601(a)(5) of Regulation S-K. The Company will furnish a copy of such omitted documents to the SEC upon request.</w:t>
      </w:r>
    </w:p>
    <w:p>
      <w:pPr>
        <w:spacing w:after="0" w:line="1" w:lineRule="exact"/>
        <w:rPr>
          <w:sz w:val="20"/>
          <w:szCs w:val="20"/>
          <w:color w:val="auto"/>
        </w:rPr>
      </w:pPr>
    </w:p>
    <w:p>
      <w:pPr>
        <w:ind w:left="1340" w:hanging="1339"/>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36" w:lineRule="exact"/>
        <w:rPr>
          <w:sz w:val="20"/>
          <w:szCs w:val="20"/>
          <w:color w:val="auto"/>
        </w:rPr>
      </w:pPr>
    </w:p>
    <w:p>
      <w:pPr>
        <w:ind w:left="5520" w:right="2360" w:hanging="5519"/>
        <w:spacing w:after="0" w:line="542" w:lineRule="auto"/>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provisions of this exhibit have been omitted pursuant to Item 601 (b)(10)(iv) of Regulation S-K.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-108585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Gogo Inc. (the registrant) has duly caused this report to be signed on its behalf by the undersigned, thereunto duly authorized, on February 28, 2023.</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180" w:type="dxa"/>
            <w:vAlign w:val="bottom"/>
          </w:tcPr>
          <w:p>
            <w:pPr>
              <w:spacing w:after="0"/>
              <w:rPr>
                <w:sz w:val="20"/>
                <w:szCs w:val="20"/>
                <w:color w:val="auto"/>
              </w:rPr>
            </w:pPr>
            <w:r>
              <w:rPr>
                <w:rFonts w:ascii="Arial" w:cs="Arial" w:eastAsia="Arial" w:hAnsi="Arial"/>
                <w:sz w:val="15"/>
                <w:szCs w:val="15"/>
                <w:color w:val="auto"/>
              </w:rPr>
              <w:t>Gogo Inc.</w:t>
            </w:r>
          </w:p>
        </w:tc>
        <w:tc>
          <w:tcPr>
            <w:tcW w:w="3740" w:type="dxa"/>
            <w:vAlign w:val="bottom"/>
          </w:tcPr>
          <w:p>
            <w:pPr>
              <w:spacing w:after="0"/>
              <w:rPr>
                <w:sz w:val="16"/>
                <w:szCs w:val="16"/>
                <w:color w:val="auto"/>
              </w:rPr>
            </w:pPr>
          </w:p>
        </w:tc>
      </w:tr>
      <w:tr>
        <w:trPr>
          <w:trHeight w:val="189"/>
        </w:trPr>
        <w:tc>
          <w:tcPr>
            <w:tcW w:w="1180" w:type="dxa"/>
            <w:vAlign w:val="bottom"/>
          </w:tcPr>
          <w:p>
            <w:pPr>
              <w:spacing w:after="0"/>
              <w:rPr>
                <w:sz w:val="20"/>
                <w:szCs w:val="20"/>
                <w:color w:val="auto"/>
              </w:rPr>
            </w:pPr>
            <w:r>
              <w:rPr>
                <w:rFonts w:ascii="Arial" w:cs="Arial" w:eastAsia="Arial" w:hAnsi="Arial"/>
                <w:sz w:val="15"/>
                <w:szCs w:val="15"/>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Oakleigh Thorne</w:t>
            </w:r>
          </w:p>
        </w:tc>
      </w:tr>
      <w:tr>
        <w:trPr>
          <w:trHeight w:val="182"/>
        </w:trPr>
        <w:tc>
          <w:tcPr>
            <w:tcW w:w="1180" w:type="dxa"/>
            <w:vAlign w:val="bottom"/>
          </w:tcPr>
          <w:p>
            <w:pPr>
              <w:spacing w:after="0"/>
              <w:rPr>
                <w:sz w:val="20"/>
                <w:szCs w:val="20"/>
                <w:color w:val="auto"/>
              </w:rPr>
            </w:pPr>
            <w:r>
              <w:rPr>
                <w:rFonts w:ascii="Arial" w:cs="Arial" w:eastAsia="Arial" w:hAnsi="Arial"/>
                <w:sz w:val="15"/>
                <w:szCs w:val="15"/>
                <w:color w:val="auto"/>
              </w:rPr>
              <w:t>Name:</w:t>
            </w:r>
          </w:p>
        </w:tc>
        <w:tc>
          <w:tcPr>
            <w:tcW w:w="3740" w:type="dxa"/>
            <w:vAlign w:val="bottom"/>
          </w:tcPr>
          <w:p>
            <w:pPr>
              <w:spacing w:after="0"/>
              <w:rPr>
                <w:sz w:val="20"/>
                <w:szCs w:val="20"/>
                <w:color w:val="auto"/>
              </w:rPr>
            </w:pPr>
            <w:r>
              <w:rPr>
                <w:rFonts w:ascii="Arial" w:cs="Arial" w:eastAsia="Arial" w:hAnsi="Arial"/>
                <w:sz w:val="15"/>
                <w:szCs w:val="15"/>
                <w:color w:val="auto"/>
              </w:rPr>
              <w:t>Oakleigh Thorne</w:t>
            </w:r>
          </w:p>
        </w:tc>
      </w:tr>
      <w:tr>
        <w:trPr>
          <w:trHeight w:val="189"/>
        </w:trPr>
        <w:tc>
          <w:tcPr>
            <w:tcW w:w="1180" w:type="dxa"/>
            <w:vAlign w:val="bottom"/>
          </w:tcPr>
          <w:p>
            <w:pPr>
              <w:spacing w:after="0"/>
              <w:rPr>
                <w:sz w:val="20"/>
                <w:szCs w:val="20"/>
                <w:color w:val="auto"/>
              </w:rPr>
            </w:pPr>
            <w:r>
              <w:rPr>
                <w:rFonts w:ascii="Arial" w:cs="Arial" w:eastAsia="Arial" w:hAnsi="Arial"/>
                <w:sz w:val="15"/>
                <w:szCs w:val="15"/>
                <w:color w:val="auto"/>
              </w:rPr>
              <w:t>Title:</w:t>
            </w:r>
          </w:p>
        </w:tc>
        <w:tc>
          <w:tcPr>
            <w:tcW w:w="3740" w:type="dxa"/>
            <w:vAlign w:val="bottom"/>
          </w:tcPr>
          <w:p>
            <w:pPr>
              <w:spacing w:after="0"/>
              <w:rPr>
                <w:sz w:val="20"/>
                <w:szCs w:val="20"/>
                <w:color w:val="auto"/>
              </w:rPr>
            </w:pPr>
            <w:r>
              <w:rPr>
                <w:rFonts w:ascii="Arial" w:cs="Arial" w:eastAsia="Arial" w:hAnsi="Arial"/>
                <w:sz w:val="15"/>
                <w:szCs w:val="15"/>
                <w:color w:val="auto"/>
              </w:rPr>
              <w:t>Chief Executive Officer and Chairman of the Board</w:t>
            </w:r>
          </w:p>
        </w:tc>
      </w:tr>
      <w:tr>
        <w:trPr>
          <w:trHeight w:val="194"/>
        </w:trPr>
        <w:tc>
          <w:tcPr>
            <w:tcW w:w="118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(Principal Executive Officer)</w:t>
            </w:r>
          </w:p>
        </w:tc>
      </w:tr>
    </w:tbl>
    <w:p>
      <w:pPr>
        <w:spacing w:after="0" w:line="124"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Barry Rowan and Crystal L. Gordon, and each of them, his or her true and lawful attorneys-in-fact and agents, with full power to act separately and full power of substitution and resubstitution, for him or her and in his or her name, place and stead, in any and all capacities, to sign any and all amendments to this Annual Report on Form 10-K, and to file the same, with all exhibits thereto, and all other documents in connection therewith, with the Securities and Exchange Commission, granting unto said attorney-in-facts and agents, and each of them, full power and authority to do and perform each and every act and thing requisite and necessary to be done in and about the premises, as fully to all intents and purposes as they or he or she might or could do in person, hereby ratifying and confirming all that said attorneys-in-fact and agents or either of them or his or their substitute or substitutes may lawfully do or cause to be done by virtue hereof.</w:t>
      </w:r>
    </w:p>
    <w:p>
      <w:pPr>
        <w:spacing w:after="0" w:line="88"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 For the avoidance of doubt, whenever two or more powers of attorney granting the powers specified herein are valid, the agents appointed on each shall act separately unless otherwise specified.</w:t>
      </w:r>
    </w:p>
    <w:p>
      <w:pPr>
        <w:spacing w:after="0" w:line="48"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Gogo Inc. and in the capacities indicated, on February 28,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5"/>
                <w:szCs w:val="15"/>
                <w:b w:val="1"/>
                <w:bCs w:val="1"/>
                <w:color w:val="auto"/>
                <w:w w:val="89"/>
              </w:rPr>
              <w:t>Signature</w:t>
            </w:r>
          </w:p>
        </w:tc>
        <w:tc>
          <w:tcPr>
            <w:tcW w:w="1940" w:type="dxa"/>
            <w:vAlign w:val="bottom"/>
          </w:tcPr>
          <w:p>
            <w:pPr>
              <w:spacing w:after="0"/>
              <w:rPr>
                <w:sz w:val="14"/>
                <w:szCs w:val="14"/>
                <w:color w:val="auto"/>
              </w:rPr>
            </w:pPr>
          </w:p>
        </w:tc>
        <w:tc>
          <w:tcPr>
            <w:tcW w:w="4620" w:type="dxa"/>
            <w:vAlign w:val="bottom"/>
            <w:gridSpan w:val="3"/>
          </w:tcPr>
          <w:p>
            <w:pPr>
              <w:ind w:left="3320"/>
              <w:spacing w:after="0"/>
              <w:rPr>
                <w:sz w:val="20"/>
                <w:szCs w:val="20"/>
                <w:color w:val="auto"/>
              </w:rPr>
            </w:pPr>
            <w:r>
              <w:rPr>
                <w:rFonts w:ascii="Arial" w:cs="Arial" w:eastAsia="Arial" w:hAnsi="Arial"/>
                <w:sz w:val="15"/>
                <w:szCs w:val="15"/>
                <w:b w:val="1"/>
                <w:bCs w:val="1"/>
                <w:color w:val="auto"/>
              </w:rPr>
              <w:t>Title</w:t>
            </w:r>
          </w:p>
        </w:tc>
      </w:tr>
      <w:tr>
        <w:trPr>
          <w:trHeight w:val="20"/>
        </w:trPr>
        <w:tc>
          <w:tcPr>
            <w:tcW w:w="1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Oakleigh Thorne</w:t>
            </w:r>
          </w:p>
        </w:tc>
        <w:tc>
          <w:tcPr>
            <w:tcW w:w="6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4620" w:type="dxa"/>
            <w:vAlign w:val="bottom"/>
            <w:gridSpan w:val="3"/>
          </w:tcPr>
          <w:p>
            <w:pPr>
              <w:ind w:left="220"/>
              <w:spacing w:after="0"/>
              <w:rPr>
                <w:sz w:val="20"/>
                <w:szCs w:val="20"/>
                <w:color w:val="auto"/>
              </w:rPr>
            </w:pPr>
            <w:r>
              <w:rPr>
                <w:rFonts w:ascii="Arial" w:cs="Arial" w:eastAsia="Arial" w:hAnsi="Arial"/>
                <w:sz w:val="15"/>
                <w:szCs w:val="15"/>
                <w:color w:val="auto"/>
              </w:rPr>
              <w:t>Chief Executive Officer and Chairman of the Board</w:t>
            </w:r>
          </w:p>
        </w:tc>
      </w:tr>
      <w:tr>
        <w:trPr>
          <w:trHeight w:val="188"/>
        </w:trPr>
        <w:tc>
          <w:tcPr>
            <w:tcW w:w="4520" w:type="dxa"/>
            <w:vAlign w:val="bottom"/>
            <w:gridSpan w:val="3"/>
          </w:tcPr>
          <w:p>
            <w:pPr>
              <w:ind w:left="20"/>
              <w:spacing w:after="0"/>
              <w:rPr>
                <w:sz w:val="20"/>
                <w:szCs w:val="20"/>
                <w:color w:val="auto"/>
              </w:rPr>
            </w:pPr>
            <w:r>
              <w:rPr>
                <w:rFonts w:ascii="Arial" w:cs="Arial" w:eastAsia="Arial" w:hAnsi="Arial"/>
                <w:sz w:val="15"/>
                <w:szCs w:val="15"/>
                <w:color w:val="auto"/>
              </w:rPr>
              <w:t>Oakleigh Thorne</w:t>
            </w:r>
          </w:p>
        </w:tc>
        <w:tc>
          <w:tcPr>
            <w:tcW w:w="4620" w:type="dxa"/>
            <w:vAlign w:val="bottom"/>
            <w:gridSpan w:val="3"/>
          </w:tcPr>
          <w:p>
            <w:pPr>
              <w:ind w:left="220"/>
              <w:spacing w:after="0"/>
              <w:rPr>
                <w:sz w:val="20"/>
                <w:szCs w:val="20"/>
                <w:color w:val="auto"/>
              </w:rPr>
            </w:pPr>
            <w:r>
              <w:rPr>
                <w:rFonts w:ascii="Arial" w:cs="Arial" w:eastAsia="Arial" w:hAnsi="Arial"/>
                <w:sz w:val="15"/>
                <w:szCs w:val="15"/>
                <w:color w:val="auto"/>
              </w:rPr>
              <w:t>(Principal Executive Officer)</w:t>
            </w:r>
          </w:p>
        </w:tc>
      </w:tr>
      <w:tr>
        <w:trPr>
          <w:trHeight w:val="291"/>
        </w:trPr>
        <w:tc>
          <w:tcPr>
            <w:tcW w:w="452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Barry Rowan</w:t>
            </w:r>
          </w:p>
        </w:tc>
        <w:tc>
          <w:tcPr>
            <w:tcW w:w="4620" w:type="dxa"/>
            <w:vAlign w:val="bottom"/>
            <w:gridSpan w:val="3"/>
          </w:tcPr>
          <w:p>
            <w:pPr>
              <w:ind w:left="220"/>
              <w:spacing w:after="0"/>
              <w:rPr>
                <w:sz w:val="20"/>
                <w:szCs w:val="20"/>
                <w:color w:val="auto"/>
              </w:rPr>
            </w:pPr>
            <w:r>
              <w:rPr>
                <w:rFonts w:ascii="Arial" w:cs="Arial" w:eastAsia="Arial" w:hAnsi="Arial"/>
                <w:sz w:val="15"/>
                <w:szCs w:val="15"/>
                <w:color w:val="auto"/>
              </w:rPr>
              <w:t>Executive Vice President and Chief Financial Officer</w:t>
            </w:r>
          </w:p>
        </w:tc>
      </w:tr>
      <w:tr>
        <w:trPr>
          <w:trHeight w:val="188"/>
        </w:trPr>
        <w:tc>
          <w:tcPr>
            <w:tcW w:w="4520" w:type="dxa"/>
            <w:vAlign w:val="bottom"/>
            <w:gridSpan w:val="3"/>
          </w:tcPr>
          <w:p>
            <w:pPr>
              <w:ind w:left="20"/>
              <w:spacing w:after="0"/>
              <w:rPr>
                <w:sz w:val="20"/>
                <w:szCs w:val="20"/>
                <w:color w:val="auto"/>
              </w:rPr>
            </w:pPr>
            <w:r>
              <w:rPr>
                <w:rFonts w:ascii="Arial" w:cs="Arial" w:eastAsia="Arial" w:hAnsi="Arial"/>
                <w:sz w:val="15"/>
                <w:szCs w:val="15"/>
                <w:color w:val="auto"/>
              </w:rPr>
              <w:t>Barry Rowan</w:t>
            </w:r>
          </w:p>
        </w:tc>
        <w:tc>
          <w:tcPr>
            <w:tcW w:w="4620" w:type="dxa"/>
            <w:vAlign w:val="bottom"/>
            <w:gridSpan w:val="3"/>
          </w:tcPr>
          <w:p>
            <w:pPr>
              <w:ind w:left="220"/>
              <w:spacing w:after="0"/>
              <w:rPr>
                <w:sz w:val="20"/>
                <w:szCs w:val="20"/>
                <w:color w:val="auto"/>
              </w:rPr>
            </w:pPr>
            <w:r>
              <w:rPr>
                <w:rFonts w:ascii="Arial" w:cs="Arial" w:eastAsia="Arial" w:hAnsi="Arial"/>
                <w:sz w:val="15"/>
                <w:szCs w:val="15"/>
                <w:color w:val="auto"/>
              </w:rPr>
              <w:t>(Principal Financial Officer)</w:t>
            </w:r>
          </w:p>
        </w:tc>
      </w:tr>
      <w:tr>
        <w:trPr>
          <w:trHeight w:val="291"/>
        </w:trPr>
        <w:tc>
          <w:tcPr>
            <w:tcW w:w="452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Jessica G. Betjemann</w:t>
            </w:r>
          </w:p>
        </w:tc>
        <w:tc>
          <w:tcPr>
            <w:tcW w:w="4620" w:type="dxa"/>
            <w:vAlign w:val="bottom"/>
            <w:gridSpan w:val="3"/>
          </w:tcPr>
          <w:p>
            <w:pPr>
              <w:ind w:left="220"/>
              <w:spacing w:after="0"/>
              <w:rPr>
                <w:sz w:val="20"/>
                <w:szCs w:val="20"/>
                <w:color w:val="auto"/>
              </w:rPr>
            </w:pPr>
            <w:r>
              <w:rPr>
                <w:rFonts w:ascii="Arial" w:cs="Arial" w:eastAsia="Arial" w:hAnsi="Arial"/>
                <w:sz w:val="15"/>
                <w:szCs w:val="15"/>
                <w:color w:val="auto"/>
                <w:w w:val="92"/>
              </w:rPr>
              <w:t>Senior Vice President, Finance, Chief Accounting Officer and Treasurer</w:t>
            </w:r>
          </w:p>
        </w:tc>
      </w:tr>
      <w:tr>
        <w:trPr>
          <w:trHeight w:val="188"/>
        </w:trPr>
        <w:tc>
          <w:tcPr>
            <w:tcW w:w="4520" w:type="dxa"/>
            <w:vAlign w:val="bottom"/>
            <w:gridSpan w:val="3"/>
          </w:tcPr>
          <w:p>
            <w:pPr>
              <w:ind w:left="20"/>
              <w:spacing w:after="0"/>
              <w:rPr>
                <w:sz w:val="20"/>
                <w:szCs w:val="20"/>
                <w:color w:val="auto"/>
              </w:rPr>
            </w:pPr>
            <w:r>
              <w:rPr>
                <w:rFonts w:ascii="Arial" w:cs="Arial" w:eastAsia="Arial" w:hAnsi="Arial"/>
                <w:sz w:val="15"/>
                <w:szCs w:val="15"/>
                <w:color w:val="auto"/>
              </w:rPr>
              <w:t>Jessica G. Betjemann</w:t>
            </w:r>
          </w:p>
        </w:tc>
        <w:tc>
          <w:tcPr>
            <w:tcW w:w="4620" w:type="dxa"/>
            <w:vAlign w:val="bottom"/>
            <w:gridSpan w:val="3"/>
          </w:tcPr>
          <w:p>
            <w:pPr>
              <w:ind w:left="220"/>
              <w:spacing w:after="0"/>
              <w:rPr>
                <w:sz w:val="20"/>
                <w:szCs w:val="20"/>
                <w:color w:val="auto"/>
              </w:rPr>
            </w:pPr>
            <w:r>
              <w:rPr>
                <w:rFonts w:ascii="Arial" w:cs="Arial" w:eastAsia="Arial" w:hAnsi="Arial"/>
                <w:sz w:val="15"/>
                <w:szCs w:val="15"/>
                <w:color w:val="auto"/>
              </w:rPr>
              <w:t>(Principal Accounting Officer)</w:t>
            </w:r>
          </w:p>
        </w:tc>
      </w:tr>
      <w:tr>
        <w:trPr>
          <w:trHeight w:val="291"/>
        </w:trPr>
        <w:tc>
          <w:tcPr>
            <w:tcW w:w="452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Mark Anderson</w:t>
            </w:r>
          </w:p>
        </w:tc>
        <w:tc>
          <w:tcPr>
            <w:tcW w:w="4620" w:type="dxa"/>
            <w:vAlign w:val="bottom"/>
            <w:gridSpan w:val="3"/>
          </w:tcPr>
          <w:p>
            <w:pPr>
              <w:ind w:left="220"/>
              <w:spacing w:after="0"/>
              <w:rPr>
                <w:sz w:val="20"/>
                <w:szCs w:val="20"/>
                <w:color w:val="auto"/>
              </w:rPr>
            </w:pPr>
            <w:r>
              <w:rPr>
                <w:rFonts w:ascii="Arial" w:cs="Arial" w:eastAsia="Arial" w:hAnsi="Arial"/>
                <w:sz w:val="15"/>
                <w:szCs w:val="15"/>
                <w:color w:val="auto"/>
              </w:rPr>
              <w:t>Director</w:t>
            </w:r>
          </w:p>
        </w:tc>
      </w:tr>
      <w:tr>
        <w:trPr>
          <w:trHeight w:val="188"/>
        </w:trPr>
        <w:tc>
          <w:tcPr>
            <w:tcW w:w="4520" w:type="dxa"/>
            <w:vAlign w:val="bottom"/>
            <w:gridSpan w:val="3"/>
          </w:tcPr>
          <w:p>
            <w:pPr>
              <w:ind w:left="20"/>
              <w:spacing w:after="0"/>
              <w:rPr>
                <w:sz w:val="20"/>
                <w:szCs w:val="20"/>
                <w:color w:val="auto"/>
              </w:rPr>
            </w:pPr>
            <w:r>
              <w:rPr>
                <w:rFonts w:ascii="Arial" w:cs="Arial" w:eastAsia="Arial" w:hAnsi="Arial"/>
                <w:sz w:val="15"/>
                <w:szCs w:val="15"/>
                <w:color w:val="auto"/>
              </w:rPr>
              <w:t>Mark Anderson</w:t>
            </w:r>
          </w:p>
        </w:tc>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91"/>
        </w:trPr>
        <w:tc>
          <w:tcPr>
            <w:tcW w:w="452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Robert L. Crandall</w:t>
            </w:r>
          </w:p>
        </w:tc>
        <w:tc>
          <w:tcPr>
            <w:tcW w:w="4620" w:type="dxa"/>
            <w:vAlign w:val="bottom"/>
            <w:gridSpan w:val="3"/>
          </w:tcPr>
          <w:p>
            <w:pPr>
              <w:ind w:left="220"/>
              <w:spacing w:after="0"/>
              <w:rPr>
                <w:sz w:val="20"/>
                <w:szCs w:val="20"/>
                <w:color w:val="auto"/>
              </w:rPr>
            </w:pPr>
            <w:r>
              <w:rPr>
                <w:rFonts w:ascii="Arial" w:cs="Arial" w:eastAsia="Arial" w:hAnsi="Arial"/>
                <w:sz w:val="15"/>
                <w:szCs w:val="15"/>
                <w:color w:val="auto"/>
              </w:rPr>
              <w:t>Director</w:t>
            </w:r>
          </w:p>
        </w:tc>
      </w:tr>
      <w:tr>
        <w:trPr>
          <w:trHeight w:val="188"/>
        </w:trPr>
        <w:tc>
          <w:tcPr>
            <w:tcW w:w="4520" w:type="dxa"/>
            <w:vAlign w:val="bottom"/>
            <w:gridSpan w:val="3"/>
          </w:tcPr>
          <w:p>
            <w:pPr>
              <w:ind w:left="20"/>
              <w:spacing w:after="0"/>
              <w:rPr>
                <w:sz w:val="20"/>
                <w:szCs w:val="20"/>
                <w:color w:val="auto"/>
              </w:rPr>
            </w:pPr>
            <w:r>
              <w:rPr>
                <w:rFonts w:ascii="Arial" w:cs="Arial" w:eastAsia="Arial" w:hAnsi="Arial"/>
                <w:sz w:val="15"/>
                <w:szCs w:val="15"/>
                <w:color w:val="auto"/>
              </w:rPr>
              <w:t>Robert L. Crandall</w:t>
            </w:r>
          </w:p>
        </w:tc>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103" w:lineRule="exact"/>
        <w:rPr>
          <w:sz w:val="20"/>
          <w:szCs w:val="20"/>
          <w:color w:val="auto"/>
        </w:rPr>
      </w:pPr>
    </w:p>
    <w:p>
      <w:pPr>
        <w:sectPr>
          <w:pgSz w:w="11900" w:h="16838" w:orient="portrait"/>
          <w:cols w:equalWidth="0" w:num="1">
            <w:col w:w="11200"/>
          </w:cols>
          <w:pgMar w:left="320" w:top="337" w:right="379" w:bottom="1440" w:gutter="0" w:footer="0" w:header="0"/>
        </w:sectPr>
      </w:pPr>
    </w:p>
    <w:p>
      <w:pPr>
        <w:ind w:left="20"/>
        <w:spacing w:after="0"/>
        <w:rPr>
          <w:sz w:val="20"/>
          <w:szCs w:val="20"/>
          <w:color w:val="auto"/>
        </w:rPr>
      </w:pPr>
      <w:r>
        <w:rPr>
          <w:rFonts w:ascii="Arial" w:cs="Arial" w:eastAsia="Arial" w:hAnsi="Arial"/>
          <w:sz w:val="15"/>
          <w:szCs w:val="15"/>
          <w:color w:val="auto"/>
        </w:rPr>
        <w:t>/s/ Hugh 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8600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07">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Hugh W. Jones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Michele Coleman Mayes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600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8">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Michele Coleman Mayes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Robert H. Mundheim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8600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9">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Robert H. Mundheim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Lead Independent Director</w:t>
      </w: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26" w:lineRule="exact"/>
        <w:rPr>
          <w:sz w:val="20"/>
          <w:szCs w:val="20"/>
          <w:color w:val="auto"/>
        </w:rPr>
      </w:pPr>
    </w:p>
    <w:p>
      <w:pPr>
        <w:sectPr>
          <w:pgSz w:w="11900" w:h="16838" w:orient="portrait"/>
          <w:cols w:equalWidth="0" w:num="2">
            <w:col w:w="4020" w:space="720"/>
            <w:col w:w="6460"/>
          </w:cols>
          <w:pgMar w:left="320" w:top="337" w:right="37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Christopher D. Payne</w:t>
            </w:r>
          </w:p>
        </w:tc>
        <w:tc>
          <w:tcPr>
            <w:tcW w:w="720" w:type="dxa"/>
            <w:vAlign w:val="bottom"/>
          </w:tcPr>
          <w:p>
            <w:pPr>
              <w:ind w:left="220"/>
              <w:spacing w:after="0"/>
              <w:rPr>
                <w:sz w:val="20"/>
                <w:szCs w:val="20"/>
                <w:color w:val="auto"/>
              </w:rPr>
            </w:pPr>
            <w:r>
              <w:rPr>
                <w:rFonts w:ascii="Arial" w:cs="Arial" w:eastAsia="Arial" w:hAnsi="Arial"/>
                <w:sz w:val="15"/>
                <w:szCs w:val="15"/>
                <w:color w:val="auto"/>
                <w:w w:val="91"/>
              </w:rPr>
              <w:t>Director</w:t>
            </w:r>
          </w:p>
        </w:tc>
      </w:tr>
      <w:tr>
        <w:trPr>
          <w:trHeight w:val="188"/>
        </w:trPr>
        <w:tc>
          <w:tcPr>
            <w:tcW w:w="4520" w:type="dxa"/>
            <w:vAlign w:val="bottom"/>
          </w:tcPr>
          <w:p>
            <w:pPr>
              <w:ind w:left="20"/>
              <w:spacing w:after="0"/>
              <w:rPr>
                <w:sz w:val="20"/>
                <w:szCs w:val="20"/>
                <w:color w:val="auto"/>
              </w:rPr>
            </w:pPr>
            <w:r>
              <w:rPr>
                <w:rFonts w:ascii="Arial" w:cs="Arial" w:eastAsia="Arial" w:hAnsi="Arial"/>
                <w:sz w:val="15"/>
                <w:szCs w:val="15"/>
                <w:color w:val="auto"/>
              </w:rPr>
              <w:t>Christopher D. Payne</w:t>
            </w:r>
          </w:p>
        </w:tc>
        <w:tc>
          <w:tcPr>
            <w:tcW w:w="720" w:type="dxa"/>
            <w:vAlign w:val="bottom"/>
          </w:tcPr>
          <w:p>
            <w:pPr>
              <w:spacing w:after="0"/>
              <w:rPr>
                <w:sz w:val="16"/>
                <w:szCs w:val="16"/>
                <w:color w:val="auto"/>
              </w:rPr>
            </w:pPr>
          </w:p>
        </w:tc>
      </w:tr>
      <w:tr>
        <w:trPr>
          <w:trHeight w:val="291"/>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Charles C. Townsend</w:t>
            </w:r>
          </w:p>
        </w:tc>
        <w:tc>
          <w:tcPr>
            <w:tcW w:w="720" w:type="dxa"/>
            <w:vAlign w:val="bottom"/>
          </w:tcPr>
          <w:p>
            <w:pPr>
              <w:ind w:left="220"/>
              <w:spacing w:after="0"/>
              <w:rPr>
                <w:sz w:val="20"/>
                <w:szCs w:val="20"/>
                <w:color w:val="auto"/>
              </w:rPr>
            </w:pPr>
            <w:r>
              <w:rPr>
                <w:rFonts w:ascii="Arial" w:cs="Arial" w:eastAsia="Arial" w:hAnsi="Arial"/>
                <w:sz w:val="15"/>
                <w:szCs w:val="15"/>
                <w:color w:val="auto"/>
                <w:w w:val="91"/>
              </w:rPr>
              <w:t>Director</w:t>
            </w:r>
          </w:p>
        </w:tc>
      </w:tr>
      <w:tr>
        <w:trPr>
          <w:trHeight w:val="188"/>
        </w:trPr>
        <w:tc>
          <w:tcPr>
            <w:tcW w:w="4520" w:type="dxa"/>
            <w:vAlign w:val="bottom"/>
          </w:tcPr>
          <w:p>
            <w:pPr>
              <w:ind w:left="20"/>
              <w:spacing w:after="0"/>
              <w:rPr>
                <w:sz w:val="20"/>
                <w:szCs w:val="20"/>
                <w:color w:val="auto"/>
              </w:rPr>
            </w:pPr>
            <w:r>
              <w:rPr>
                <w:rFonts w:ascii="Arial" w:cs="Arial" w:eastAsia="Arial" w:hAnsi="Arial"/>
                <w:sz w:val="15"/>
                <w:szCs w:val="15"/>
                <w:color w:val="auto"/>
              </w:rPr>
              <w:t>Charles C. Townsend</w:t>
            </w:r>
          </w:p>
        </w:tc>
        <w:tc>
          <w:tcPr>
            <w:tcW w:w="720" w:type="dxa"/>
            <w:vAlign w:val="bottom"/>
          </w:tcPr>
          <w:p>
            <w:pPr>
              <w:spacing w:after="0"/>
              <w:rPr>
                <w:sz w:val="16"/>
                <w:szCs w:val="16"/>
                <w:color w:val="auto"/>
              </w:rPr>
            </w:pPr>
          </w:p>
        </w:tc>
      </w:tr>
      <w:tr>
        <w:trPr>
          <w:trHeight w:val="291"/>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Harris N. Williams</w:t>
            </w:r>
          </w:p>
        </w:tc>
        <w:tc>
          <w:tcPr>
            <w:tcW w:w="720" w:type="dxa"/>
            <w:vAlign w:val="bottom"/>
          </w:tcPr>
          <w:p>
            <w:pPr>
              <w:ind w:left="220"/>
              <w:spacing w:after="0"/>
              <w:rPr>
                <w:sz w:val="20"/>
                <w:szCs w:val="20"/>
                <w:color w:val="auto"/>
              </w:rPr>
            </w:pPr>
            <w:r>
              <w:rPr>
                <w:rFonts w:ascii="Arial" w:cs="Arial" w:eastAsia="Arial" w:hAnsi="Arial"/>
                <w:sz w:val="15"/>
                <w:szCs w:val="15"/>
                <w:color w:val="auto"/>
                <w:w w:val="91"/>
              </w:rPr>
              <w:t>Director</w:t>
            </w:r>
          </w:p>
        </w:tc>
      </w:tr>
      <w:tr>
        <w:trPr>
          <w:trHeight w:val="188"/>
        </w:trPr>
        <w:tc>
          <w:tcPr>
            <w:tcW w:w="4520" w:type="dxa"/>
            <w:vAlign w:val="bottom"/>
          </w:tcPr>
          <w:p>
            <w:pPr>
              <w:ind w:left="20"/>
              <w:spacing w:after="0"/>
              <w:rPr>
                <w:sz w:val="20"/>
                <w:szCs w:val="20"/>
                <w:color w:val="auto"/>
              </w:rPr>
            </w:pPr>
            <w:r>
              <w:rPr>
                <w:rFonts w:ascii="Arial" w:cs="Arial" w:eastAsia="Arial" w:hAnsi="Arial"/>
                <w:sz w:val="15"/>
                <w:szCs w:val="15"/>
                <w:color w:val="auto"/>
              </w:rPr>
              <w:t>Harris N. Williams</w:t>
            </w:r>
          </w:p>
        </w:tc>
        <w:tc>
          <w:tcPr>
            <w:tcW w:w="720" w:type="dxa"/>
            <w:vAlign w:val="bottom"/>
          </w:tcPr>
          <w:p>
            <w:pPr>
              <w:spacing w:after="0"/>
              <w:rPr>
                <w:sz w:val="16"/>
                <w:szCs w:val="16"/>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4.9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NO. 1 TO SECTION 382 RIGHTS AGREEMENT</w:t>
      </w:r>
    </w:p>
    <w:p>
      <w:pPr>
        <w:spacing w:after="0" w:line="18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color w:val="auto"/>
        </w:rPr>
        <w:t>This Amendment No. 1 (this “</w:t>
      </w:r>
      <w:r>
        <w:rPr>
          <w:rFonts w:ascii="Arial" w:cs="Arial" w:eastAsia="Arial" w:hAnsi="Arial"/>
          <w:sz w:val="20"/>
          <w:szCs w:val="20"/>
          <w:b w:val="1"/>
          <w:bCs w:val="1"/>
          <w:color w:val="auto"/>
        </w:rPr>
        <w:t>Amendment</w:t>
      </w:r>
      <w:r>
        <w:rPr>
          <w:rFonts w:ascii="Arial" w:cs="Arial" w:eastAsia="Arial" w:hAnsi="Arial"/>
          <w:sz w:val="20"/>
          <w:szCs w:val="20"/>
          <w:color w:val="auto"/>
        </w:rPr>
        <w:t>”) is made and entered into as of December 27, 2022, by and between Gogo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Computershare Trust Company, N.A., a federally chartered trust company, as rights agent (the “</w:t>
      </w:r>
      <w:r>
        <w:rPr>
          <w:rFonts w:ascii="Arial" w:cs="Arial" w:eastAsia="Arial" w:hAnsi="Arial"/>
          <w:sz w:val="20"/>
          <w:szCs w:val="20"/>
          <w:b w:val="1"/>
          <w:bCs w:val="1"/>
          <w:color w:val="auto"/>
        </w:rPr>
        <w:t>Rights Agent</w:t>
      </w:r>
      <w:r>
        <w:rPr>
          <w:rFonts w:ascii="Arial" w:cs="Arial" w:eastAsia="Arial" w:hAnsi="Arial"/>
          <w:sz w:val="20"/>
          <w:szCs w:val="20"/>
          <w:color w:val="auto"/>
        </w:rPr>
        <w:t>”). Capitalized terms used herein and not otherwise defined herein have the respective meanings ascribed to those terms in the Rights Agreement (as defined below).</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WHEREAS, the parties to this Amendment previously entered into the Section 382 Rights Agreement, dated as of September 23, 2020 (the “</w:t>
      </w:r>
      <w:r>
        <w:rPr>
          <w:rFonts w:ascii="Arial" w:cs="Arial" w:eastAsia="Arial" w:hAnsi="Arial"/>
          <w:sz w:val="22"/>
          <w:szCs w:val="22"/>
          <w:b w:val="1"/>
          <w:bCs w:val="1"/>
          <w:color w:val="auto"/>
        </w:rPr>
        <w:t>Rights Agreement</w:t>
      </w:r>
      <w:r>
        <w:rPr>
          <w:rFonts w:ascii="Arial" w:cs="Arial" w:eastAsia="Arial" w:hAnsi="Arial"/>
          <w:sz w:val="22"/>
          <w:szCs w:val="22"/>
          <w:color w:val="auto"/>
        </w:rPr>
        <w:t>”);</w:t>
      </w:r>
    </w:p>
    <w:p>
      <w:pPr>
        <w:spacing w:after="0" w:line="174"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WHEREAS, pursuant to Section 27 of the Rights Agreement, prior to the Close of Business on the tenth day following the Stock Acquisition Date (or, if the tenth day following the Stock Acquisition Date occurs before the Record Date, the Close of Business on the Record Date), the Company may from time to time, and the Rights Agent shall if the Company so directs in writing, supplement or amend the Rights Agreement without the approval of any holders of Right Certificates in order to make any change to or delete any provision in the Rights Agreement or to adopt any other provisions with respect to the Rights which the Company may deem necessary or desirable; and</w:t>
      </w:r>
    </w:p>
    <w:p>
      <w:pPr>
        <w:spacing w:after="0" w:line="16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WHEREAS, the parties to this Amendment now desire to amend the Rights Agreement in accordance with the terms and conditions set forth herein and therein.</w:t>
      </w:r>
    </w:p>
    <w:p>
      <w:pPr>
        <w:spacing w:after="0" w:line="174" w:lineRule="exact"/>
        <w:rPr>
          <w:sz w:val="20"/>
          <w:szCs w:val="20"/>
          <w:color w:val="auto"/>
        </w:rPr>
      </w:pPr>
    </w:p>
    <w:p>
      <w:pPr>
        <w:jc w:val="both"/>
        <w:ind w:firstLine="749"/>
        <w:spacing w:after="0" w:line="327" w:lineRule="auto"/>
        <w:rPr>
          <w:sz w:val="20"/>
          <w:szCs w:val="20"/>
          <w:color w:val="auto"/>
        </w:rPr>
      </w:pPr>
      <w:r>
        <w:rPr>
          <w:rFonts w:ascii="Arial" w:cs="Arial" w:eastAsia="Arial" w:hAnsi="Arial"/>
          <w:sz w:val="19"/>
          <w:szCs w:val="19"/>
          <w:color w:val="auto"/>
        </w:rPr>
        <w:t>NOW, THEREFORE, in consideration of the foregoing and for other good and valuable consideration, the receipt and sufficiency of which the parties acknowledge, the parties hereto, intending to be legally bound, hereby agree as set forth herein:</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05" w:lineRule="exact"/>
        <w:rPr>
          <w:sz w:val="20"/>
          <w:szCs w:val="20"/>
          <w:color w:val="auto"/>
        </w:rPr>
      </w:pPr>
    </w:p>
    <w:p>
      <w:pPr>
        <w:ind w:left="1140"/>
        <w:spacing w:after="0"/>
        <w:tabs>
          <w:tab w:leader="none" w:pos="29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Section 3.1 of the Rights Agreement is hereby amended and restated as follows:</w:t>
      </w:r>
    </w:p>
    <w:p>
      <w:pPr>
        <w:spacing w:after="0" w:line="20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“Until the earlier of (i) the Close of Business on the thirtieth day after the Stock Acquisition Date (or, in the event that the Board of Directors determines on or before such thirtieth day to effect an exchange in accordance with Section 24 and determines that a later date is advisable, such later date) and (ii) the Close of Business on the tenth Business Day (or such later date as may be determined by action of the Board of Directors prior to such time as any Person becomes an Acquiring Person) after the date of the commencement by any Person (other than the Company, any Subsidiary of the Company, any employee benefit plan of the Company or of any Subsidiary of the Company, any entity holding shares of Common Stock for or pursuant to the terms of any such benefit plan or any Exempt Person) of a tender or exchange offer the consummation of which would result in any Person becoming an Acquiring Person (the earlier of (i) or (ii) being herein referred to as the “</w:t>
      </w:r>
      <w:r>
        <w:rPr>
          <w:rFonts w:ascii="Arial" w:cs="Arial" w:eastAsia="Arial" w:hAnsi="Arial"/>
          <w:sz w:val="19"/>
          <w:szCs w:val="19"/>
          <w:b w:val="1"/>
          <w:bCs w:val="1"/>
          <w:color w:val="auto"/>
        </w:rPr>
        <w:t>Distribution Date</w:t>
      </w:r>
      <w:r>
        <w:rPr>
          <w:rFonts w:ascii="Arial" w:cs="Arial" w:eastAsia="Arial" w:hAnsi="Arial"/>
          <w:sz w:val="19"/>
          <w:szCs w:val="19"/>
          <w:color w:val="auto"/>
        </w:rPr>
        <w:t>”) (</w:t>
      </w:r>
      <w:r>
        <w:rPr>
          <w:rFonts w:ascii="Arial" w:cs="Arial" w:eastAsia="Arial" w:hAnsi="Arial"/>
          <w:sz w:val="19"/>
          <w:szCs w:val="19"/>
          <w:i w:val="1"/>
          <w:iCs w:val="1"/>
          <w:color w:val="auto"/>
        </w:rPr>
        <w:t>provided</w:t>
      </w:r>
      <w:r>
        <w:rPr>
          <w:rFonts w:ascii="Arial" w:cs="Arial" w:eastAsia="Arial" w:hAnsi="Arial"/>
          <w:sz w:val="19"/>
          <w:szCs w:val="19"/>
          <w:color w:val="auto"/>
        </w:rPr>
        <w:t>, that if such tender or exchange offer is terminated prior to the occurrence of a Distribution Date, then no Distribution Date shall occur as a result of such tender or exchange offer), (A) the Rights will be evidenced by the certificates (or other evidence of book-entry or other uncertificated ownership) for shares of Common Stock registered in the names of the holders thereof (which shall also be deemed to be Right Certificates) and not by separate Right Certificates (</w:t>
      </w:r>
      <w:r>
        <w:rPr>
          <w:rFonts w:ascii="Arial" w:cs="Arial" w:eastAsia="Arial" w:hAnsi="Arial"/>
          <w:sz w:val="19"/>
          <w:szCs w:val="19"/>
          <w:i w:val="1"/>
          <w:iCs w:val="1"/>
          <w:color w:val="auto"/>
        </w:rPr>
        <w:t>provided</w:t>
      </w:r>
      <w:r>
        <w:rPr>
          <w:rFonts w:ascii="Arial" w:cs="Arial" w:eastAsia="Arial" w:hAnsi="Arial"/>
          <w:sz w:val="19"/>
          <w:szCs w:val="19"/>
          <w:color w:val="auto"/>
        </w:rPr>
        <w:t>, that each certificate (or other evidence of book-entry or other uncertificated ownership) representing shares of Common Stock outstanding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3" w:name="page104"/>
    <w:bookmarkEnd w:id="103"/>
    <w:p>
      <w:pPr>
        <w:jc w:val="both"/>
        <w:spacing w:after="0" w:line="271" w:lineRule="auto"/>
        <w:rPr>
          <w:sz w:val="20"/>
          <w:szCs w:val="20"/>
          <w:color w:val="auto"/>
        </w:rPr>
      </w:pPr>
      <w:r>
        <w:rPr>
          <w:rFonts w:ascii="Arial" w:cs="Arial" w:eastAsia="Arial" w:hAnsi="Arial"/>
          <w:sz w:val="19"/>
          <w:szCs w:val="19"/>
          <w:color w:val="auto"/>
        </w:rPr>
        <w:t xml:space="preserve">the Close of Business on the Record Date evidencing the Rights shall be deemed to incorporate by reference the terms of this Agreement, as amended from time to time), and (B) the right to receive Right Certificates will be transferable only in connection with the transfer of the underlying shares of Common Stock. As soon as practicable after the Distribution Date, the Company will prepare and execute, the Rights Agent will countersign, and the Company will send or cause to be sent (and the Rights Agent will, if requested, at the expense of the Company and upon receipt of all relevant information, send) by first-class, postage-prepaid mail, to each record holder of shares of Common Stock as of the Close of Business on the Distribution Date (other than any Acquiring Person or any Associate or Affiliate of any Acquiring Person), at the address of such holder shown on the records of the Company, a Right Certificate, substantially in the form of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hereto, evidencing one Right for each share of Common Stock so held, subject to adjustment as provided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Rights may instead be recorded in book-entry or other uncertificated form, in which case such book-entries or other evidence of ownership shall be deemed to be Right Certificates for all purposes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all procedures relating to actions to be taken or information to be provided with respect to such Rights recorded in book-entry or other uncertificated forms, and all requirements with respect to the form of any Right Certificate set forth in this Agreement, may be modified as necessary or appropriate to reflect book-entry or other uncertificated ownership. As of the Distribution Date, the Rights will be evidenced solely by such Right Certificates.”</w:t>
      </w:r>
    </w:p>
    <w:p>
      <w:pPr>
        <w:spacing w:after="0" w:line="160" w:lineRule="exact"/>
        <w:rPr>
          <w:sz w:val="20"/>
          <w:szCs w:val="20"/>
          <w:color w:val="auto"/>
        </w:rPr>
      </w:pPr>
    </w:p>
    <w:p>
      <w:pPr>
        <w:ind w:left="1140"/>
        <w:spacing w:after="0"/>
        <w:tabs>
          <w:tab w:leader="none" w:pos="29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Section 25.2 of the Rights Agreement is hereby amended and restated as follows:</w:t>
      </w:r>
    </w:p>
    <w:p>
      <w:pPr>
        <w:spacing w:after="0" w:line="205" w:lineRule="exact"/>
        <w:rPr>
          <w:sz w:val="20"/>
          <w:szCs w:val="20"/>
          <w:color w:val="auto"/>
        </w:rPr>
      </w:pPr>
    </w:p>
    <w:p>
      <w:pPr>
        <w:ind w:right="200" w:firstLine="432"/>
        <w:spacing w:after="0" w:line="237" w:lineRule="auto"/>
        <w:rPr>
          <w:sz w:val="20"/>
          <w:szCs w:val="20"/>
          <w:color w:val="auto"/>
        </w:rPr>
      </w:pPr>
      <w:r>
        <w:rPr>
          <w:rFonts w:ascii="Arial" w:cs="Arial" w:eastAsia="Arial" w:hAnsi="Arial"/>
          <w:sz w:val="22"/>
          <w:szCs w:val="22"/>
          <w:color w:val="auto"/>
        </w:rPr>
        <w:t>“The Company shall, as soon as practicable after a Stock Acquisition Date (or after the date of any Board of Directors determination pursuant to the third paragraph of Section 1.1), give to the Rights Agent and each holder of a Right Certificate, in accordance with Section 26, a notice that describes the transaction in which a Person became an Acquiring Person and the consequences of the transaction to holders of Rights under Section 11.1.2.”</w:t>
      </w:r>
    </w:p>
    <w:p>
      <w:pPr>
        <w:spacing w:after="0" w:line="187" w:lineRule="exact"/>
        <w:rPr>
          <w:sz w:val="20"/>
          <w:szCs w:val="20"/>
          <w:color w:val="auto"/>
        </w:rPr>
      </w:pPr>
    </w:p>
    <w:p>
      <w:pPr>
        <w:ind w:left="1140"/>
        <w:spacing w:after="0"/>
        <w:tabs>
          <w:tab w:leader="none" w:pos="29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Section 26 of the Rights Agreement is hereby amended and restated as follows:</w:t>
      </w:r>
    </w:p>
    <w:p>
      <w:pPr>
        <w:spacing w:after="0" w:line="205" w:lineRule="exact"/>
        <w:rPr>
          <w:sz w:val="20"/>
          <w:szCs w:val="20"/>
          <w:color w:val="auto"/>
        </w:rPr>
      </w:pPr>
    </w:p>
    <w:p>
      <w:pPr>
        <w:ind w:right="120" w:firstLine="749"/>
        <w:spacing w:after="0" w:line="237" w:lineRule="auto"/>
        <w:rPr>
          <w:sz w:val="20"/>
          <w:szCs w:val="20"/>
          <w:color w:val="auto"/>
        </w:rPr>
      </w:pPr>
      <w:r>
        <w:rPr>
          <w:rFonts w:ascii="Arial" w:cs="Arial" w:eastAsia="Arial" w:hAnsi="Arial"/>
          <w:sz w:val="22"/>
          <w:szCs w:val="22"/>
          <w:color w:val="auto"/>
        </w:rPr>
        <w:t>“Notices or demands authorized by this Agreement to be given or made by the Rights Agent or by the holder of any Right Certificate to or on the Company shall be sufficiently given or made if in writing and when sent by overnight delivery service or first-class mail, postage prepaid, properly addressed (until another address is filed in writing with the Rights Agent) as follows:</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Gogo Inc.</w:t>
      </w:r>
    </w:p>
    <w:p>
      <w:pPr>
        <w:ind w:left="760"/>
        <w:spacing w:after="0" w:line="237" w:lineRule="auto"/>
        <w:rPr>
          <w:sz w:val="20"/>
          <w:szCs w:val="20"/>
          <w:color w:val="auto"/>
        </w:rPr>
      </w:pPr>
      <w:r>
        <w:rPr>
          <w:rFonts w:ascii="Arial" w:cs="Arial" w:eastAsia="Arial" w:hAnsi="Arial"/>
          <w:sz w:val="22"/>
          <w:szCs w:val="22"/>
          <w:color w:val="auto"/>
        </w:rPr>
        <w:t>105 Edgeview Dr., Suite 300</w:t>
      </w:r>
    </w:p>
    <w:p>
      <w:pPr>
        <w:ind w:left="760"/>
        <w:spacing w:after="0" w:line="230" w:lineRule="auto"/>
        <w:rPr>
          <w:sz w:val="20"/>
          <w:szCs w:val="20"/>
          <w:color w:val="auto"/>
        </w:rPr>
      </w:pPr>
      <w:r>
        <w:rPr>
          <w:rFonts w:ascii="Arial" w:cs="Arial" w:eastAsia="Arial" w:hAnsi="Arial"/>
          <w:sz w:val="22"/>
          <w:szCs w:val="22"/>
          <w:color w:val="auto"/>
        </w:rPr>
        <w:t>Broomfield, CO 80021</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Crystal Gordon, EVP and General Counsel</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a copy (which shall not constitute notice) to:</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Debevoise &amp; Plimpton LLP</w:t>
      </w:r>
    </w:p>
    <w:p>
      <w:pPr>
        <w:ind w:left="760"/>
        <w:spacing w:after="0" w:line="237" w:lineRule="auto"/>
        <w:rPr>
          <w:sz w:val="20"/>
          <w:szCs w:val="20"/>
          <w:color w:val="auto"/>
        </w:rPr>
      </w:pPr>
      <w:r>
        <w:rPr>
          <w:rFonts w:ascii="Arial" w:cs="Arial" w:eastAsia="Arial" w:hAnsi="Arial"/>
          <w:sz w:val="22"/>
          <w:szCs w:val="22"/>
          <w:color w:val="auto"/>
        </w:rPr>
        <w:t>919 Third Avenue</w:t>
      </w:r>
    </w:p>
    <w:p>
      <w:pPr>
        <w:ind w:left="760"/>
        <w:spacing w:after="0" w:line="230" w:lineRule="auto"/>
        <w:rPr>
          <w:sz w:val="20"/>
          <w:szCs w:val="20"/>
          <w:color w:val="auto"/>
        </w:rPr>
      </w:pPr>
      <w:r>
        <w:rPr>
          <w:rFonts w:ascii="Arial" w:cs="Arial" w:eastAsia="Arial" w:hAnsi="Arial"/>
          <w:sz w:val="22"/>
          <w:szCs w:val="22"/>
          <w:color w:val="auto"/>
        </w:rPr>
        <w:t>New York, NY 10022</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William D. Regner</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4" w:name="page105"/>
    <w:bookmarkEnd w:id="104"/>
    <w:p>
      <w:pPr>
        <w:ind w:right="100" w:firstLine="749"/>
        <w:spacing w:after="0" w:line="268" w:lineRule="auto"/>
        <w:rPr>
          <w:sz w:val="20"/>
          <w:szCs w:val="20"/>
          <w:color w:val="auto"/>
        </w:rPr>
      </w:pPr>
      <w:r>
        <w:rPr>
          <w:rFonts w:ascii="Arial" w:cs="Arial" w:eastAsia="Arial" w:hAnsi="Arial"/>
          <w:sz w:val="20"/>
          <w:szCs w:val="20"/>
          <w:color w:val="auto"/>
        </w:rPr>
        <w:t>Subject to the provisions of Section 21, any notice or demand authorized by this Agreement to be given or made by the Company or by the holder of any Right Certificate to or on the Rights Agent shall be deemed given upon receipt and shall be sufficiently given or made if in writing when sent by overnight delivery service or registered or certified mail properly addressed (until another address is filed in writing with the Company) as follows:</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Computershare Trust Company, N.A.</w:t>
      </w:r>
    </w:p>
    <w:p>
      <w:pPr>
        <w:ind w:left="760"/>
        <w:spacing w:after="0" w:line="237" w:lineRule="auto"/>
        <w:rPr>
          <w:sz w:val="20"/>
          <w:szCs w:val="20"/>
          <w:color w:val="auto"/>
        </w:rPr>
      </w:pPr>
      <w:r>
        <w:rPr>
          <w:rFonts w:ascii="Arial" w:cs="Arial" w:eastAsia="Arial" w:hAnsi="Arial"/>
          <w:sz w:val="22"/>
          <w:szCs w:val="22"/>
          <w:color w:val="auto"/>
        </w:rPr>
        <w:t>150 Royall Street</w:t>
      </w:r>
    </w:p>
    <w:p>
      <w:pPr>
        <w:ind w:left="760"/>
        <w:spacing w:after="0" w:line="230" w:lineRule="auto"/>
        <w:rPr>
          <w:sz w:val="20"/>
          <w:szCs w:val="20"/>
          <w:color w:val="auto"/>
        </w:rPr>
      </w:pPr>
      <w:r>
        <w:rPr>
          <w:rFonts w:ascii="Arial" w:cs="Arial" w:eastAsia="Arial" w:hAnsi="Arial"/>
          <w:sz w:val="22"/>
          <w:szCs w:val="22"/>
          <w:color w:val="auto"/>
        </w:rPr>
        <w:t>Canton, MA 02021</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Client Services</w:t>
      </w:r>
    </w:p>
    <w:p>
      <w:pPr>
        <w:spacing w:after="0" w:line="187"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color w:val="auto"/>
        </w:rPr>
        <w:t>Notices or demands authorized by this Agreement to be given or made by the Company or the Rights Agent to the holder of any Right Certificate shall be sufficiently given or made if in writing, when sent by first-class mail, postage prepaid, addressed to such holder at the address of such holder as shown on the registry books of the Company.”</w:t>
      </w:r>
    </w:p>
    <w:p>
      <w:pPr>
        <w:spacing w:after="0" w:line="15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Effect</w:t>
      </w:r>
      <w:r>
        <w:rPr>
          <w:rFonts w:ascii="Arial" w:cs="Arial" w:eastAsia="Arial" w:hAnsi="Arial"/>
          <w:sz w:val="22"/>
          <w:szCs w:val="22"/>
          <w:color w:val="auto"/>
        </w:rPr>
        <w:t>. Except as expressly provided in this Amendment, all of the terms and provisions of the Rights Agreement are and will remain in full force and effect. Nothing in this Amendment shall be construed to modify any provision of the Rights Agreement other than as specifically set forth herein.</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The provisions of Sections 28 (Successors), 29 (Benefits of this Agreement), 30 (Severability), 31 (Governing Law), 32 (Counterparts), 33 (Descriptive Headings and Construction) and 34 (Administration) of the Rights Agreement are hereby incorporated into this Amendment,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left intentionally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ind w:firstLine="749"/>
        <w:spacing w:after="0" w:line="250" w:lineRule="auto"/>
        <w:rPr>
          <w:sz w:val="20"/>
          <w:szCs w:val="20"/>
          <w:color w:val="auto"/>
        </w:rPr>
      </w:pPr>
      <w:r>
        <w:rPr>
          <w:rFonts w:ascii="Arial" w:cs="Arial" w:eastAsia="Arial" w:hAnsi="Arial"/>
          <w:sz w:val="22"/>
          <w:szCs w:val="22"/>
          <w:color w:val="auto"/>
        </w:rPr>
        <w:t>IN WITNESS WHEREOF, each of the parties hereto has caused this Amendment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GOGO INC.</w:t>
      </w:r>
    </w:p>
    <w:p>
      <w:pPr>
        <w:spacing w:after="0" w:line="200" w:lineRule="exact"/>
        <w:rPr>
          <w:sz w:val="20"/>
          <w:szCs w:val="20"/>
          <w:color w:val="auto"/>
        </w:rPr>
      </w:pPr>
    </w:p>
    <w:p>
      <w:pPr>
        <w:spacing w:after="0" w:line="275" w:lineRule="exact"/>
        <w:rPr>
          <w:sz w:val="20"/>
          <w:szCs w:val="20"/>
          <w:color w:val="auto"/>
        </w:rPr>
      </w:pPr>
    </w:p>
    <w:p>
      <w:pPr>
        <w:ind w:left="4120"/>
        <w:spacing w:after="0"/>
        <w:tabs>
          <w:tab w:leader="none" w:pos="4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/s/ Crystal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-17780</wp:posOffset>
            </wp:positionV>
            <wp:extent cx="136969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14">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ind w:left="4120"/>
        <w:spacing w:after="0" w:line="237" w:lineRule="auto"/>
        <w:tabs>
          <w:tab w:leader="none" w:pos="4960" w:val="left"/>
        </w:tabs>
        <w:rPr>
          <w:sz w:val="20"/>
          <w:szCs w:val="20"/>
          <w:color w:val="auto"/>
        </w:rPr>
      </w:pPr>
      <w:r>
        <w:rPr>
          <w:rFonts w:ascii="Arial" w:cs="Arial" w:eastAsia="Arial" w:hAnsi="Arial"/>
          <w:sz w:val="22"/>
          <w:szCs w:val="22"/>
          <w:color w:val="auto"/>
        </w:rPr>
        <w:t>Name:</w:t>
        <w:tab/>
        <w:t>Crystal L. Gordon</w:t>
      </w:r>
    </w:p>
    <w:p>
      <w:pPr>
        <w:spacing w:after="0" w:line="1" w:lineRule="exact"/>
        <w:rPr>
          <w:sz w:val="20"/>
          <w:szCs w:val="20"/>
          <w:color w:val="auto"/>
        </w:rPr>
      </w:pPr>
    </w:p>
    <w:p>
      <w:pPr>
        <w:ind w:left="4120"/>
        <w:spacing w:after="0"/>
        <w:tabs>
          <w:tab w:leader="none" w:pos="49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EVP and General Counsel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COMPUTERSHARE TRUST COMPANY, N.A.</w:t>
      </w:r>
    </w:p>
    <w:p>
      <w:pPr>
        <w:spacing w:after="0" w:line="200" w:lineRule="exact"/>
        <w:rPr>
          <w:sz w:val="20"/>
          <w:szCs w:val="20"/>
          <w:color w:val="auto"/>
        </w:rPr>
      </w:pPr>
    </w:p>
    <w:p>
      <w:pPr>
        <w:spacing w:after="0" w:line="275" w:lineRule="exact"/>
        <w:rPr>
          <w:sz w:val="20"/>
          <w:szCs w:val="20"/>
          <w:color w:val="auto"/>
        </w:rPr>
      </w:pPr>
    </w:p>
    <w:p>
      <w:pPr>
        <w:ind w:left="4120"/>
        <w:spacing w:after="0"/>
        <w:tabs>
          <w:tab w:leader="none" w:pos="4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Patrick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-17780</wp:posOffset>
            </wp:positionV>
            <wp:extent cx="109601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15">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4120"/>
        <w:spacing w:after="0" w:line="237" w:lineRule="auto"/>
        <w:tabs>
          <w:tab w:leader="none" w:pos="4960" w:val="left"/>
        </w:tabs>
        <w:rPr>
          <w:sz w:val="20"/>
          <w:szCs w:val="20"/>
          <w:color w:val="auto"/>
        </w:rPr>
      </w:pPr>
      <w:r>
        <w:rPr>
          <w:rFonts w:ascii="Arial" w:cs="Arial" w:eastAsia="Arial" w:hAnsi="Arial"/>
          <w:sz w:val="22"/>
          <w:szCs w:val="22"/>
          <w:color w:val="auto"/>
        </w:rPr>
        <w:t>Name:</w:t>
        <w:tab/>
        <w:t>Patrick Hayes</w:t>
      </w:r>
    </w:p>
    <w:p>
      <w:pPr>
        <w:spacing w:after="0" w:line="1" w:lineRule="exact"/>
        <w:rPr>
          <w:sz w:val="20"/>
          <w:szCs w:val="20"/>
          <w:color w:val="auto"/>
        </w:rPr>
      </w:pPr>
    </w:p>
    <w:p>
      <w:pPr>
        <w:ind w:left="4120"/>
        <w:spacing w:after="0"/>
        <w:tabs>
          <w:tab w:leader="none" w:pos="49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Manager, Client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Signature Page to Amendment No. 1 to Section 382 Rights Agreement</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1" w:right="5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10.2.21</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EMPLOYMENT AGREEMENT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This Employment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November 2, 2022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Gogo B</w:t>
      </w:r>
      <w:r>
        <w:rPr>
          <w:rFonts w:ascii="Arial" w:cs="Arial" w:eastAsia="Arial" w:hAnsi="Arial"/>
          <w:sz w:val="13"/>
          <w:szCs w:val="13"/>
          <w:b w:val="1"/>
          <w:bCs w:val="1"/>
          <w:color w:val="auto"/>
        </w:rPr>
        <w:t>usiness</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viation</w:t>
      </w:r>
      <w:r>
        <w:rPr>
          <w:rFonts w:ascii="Arial" w:cs="Arial" w:eastAsia="Arial" w:hAnsi="Arial"/>
          <w:sz w:val="20"/>
          <w:szCs w:val="20"/>
          <w:b w:val="1"/>
          <w:bCs w:val="1"/>
          <w:color w:val="auto"/>
        </w:rPr>
        <w:t xml:space="preserve"> LLC</w:t>
      </w:r>
      <w:r>
        <w:rPr>
          <w:rFonts w:ascii="Arial" w:cs="Arial" w:eastAsia="Arial" w:hAnsi="Arial"/>
          <w:sz w:val="20"/>
          <w:szCs w:val="20"/>
          <w:color w:val="auto"/>
        </w:rPr>
        <w:t>, 105 Edgeview Dr., Suite 300, Broomfield, CO 80021 (the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w:t>
      </w:r>
      <w:r>
        <w:rPr>
          <w:rFonts w:ascii="Arial" w:cs="Arial" w:eastAsia="Arial" w:hAnsi="Arial"/>
          <w:sz w:val="20"/>
          <w:szCs w:val="20"/>
          <w:b w:val="1"/>
          <w:bCs w:val="1"/>
          <w:color w:val="auto"/>
        </w:rPr>
        <w:t xml:space="preserve"> Crystal Gordon </w:t>
      </w:r>
      <w:r>
        <w:rPr>
          <w:rFonts w:ascii="Arial" w:cs="Arial" w:eastAsia="Arial" w:hAnsi="Arial"/>
          <w:sz w:val="20"/>
          <w:szCs w:val="20"/>
          <w:color w:val="auto"/>
        </w:rPr>
        <w:t>(“</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Certain capitalized terms used herein have the meanings given to them in Section 20 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In consideration of the mutual covenants contained herein, the parties agree as follows:</w:t>
      </w:r>
    </w:p>
    <w:p>
      <w:pPr>
        <w:spacing w:after="0" w:line="199" w:lineRule="exact"/>
        <w:rPr>
          <w:sz w:val="20"/>
          <w:szCs w:val="20"/>
          <w:color w:val="auto"/>
        </w:rPr>
      </w:pPr>
    </w:p>
    <w:p>
      <w:pPr>
        <w:ind w:firstLine="757"/>
        <w:spacing w:after="0" w:line="256" w:lineRule="auto"/>
        <w:tabs>
          <w:tab w:leader="none" w:pos="1498"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w:t>
      </w:r>
      <w:r>
        <w:rPr>
          <w:rFonts w:ascii="Arial" w:cs="Arial" w:eastAsia="Arial" w:hAnsi="Arial"/>
          <w:sz w:val="22"/>
          <w:szCs w:val="22"/>
          <w:color w:val="auto"/>
        </w:rPr>
        <w:t>. The Company hereby agrees to employ Executive, and Executive hereby accepts such</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upon the terms and conditions set forth herein.</w:t>
      </w:r>
    </w:p>
    <w:p>
      <w:pPr>
        <w:spacing w:after="0" w:line="161" w:lineRule="exact"/>
        <w:rPr>
          <w:rFonts w:ascii="Arial" w:cs="Arial" w:eastAsia="Arial" w:hAnsi="Arial"/>
          <w:sz w:val="22"/>
          <w:szCs w:val="22"/>
          <w:b w:val="1"/>
          <w:bCs w:val="1"/>
          <w:color w:val="auto"/>
        </w:rPr>
      </w:pPr>
    </w:p>
    <w:p>
      <w:pPr>
        <w:jc w:val="both"/>
        <w:ind w:firstLine="757"/>
        <w:spacing w:after="0" w:line="259" w:lineRule="auto"/>
        <w:tabs>
          <w:tab w:leader="none" w:pos="1498"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Capacity and Duties</w:t>
      </w:r>
      <w:r>
        <w:rPr>
          <w:rFonts w:ascii="Arial" w:cs="Arial" w:eastAsia="Arial" w:hAnsi="Arial"/>
          <w:sz w:val="20"/>
          <w:szCs w:val="20"/>
          <w:color w:val="auto"/>
        </w:rPr>
        <w:t>. As of the Effective Date, Executive shall be employed by the Company as its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Vice President, General Counsel and Corporate Secretary. During Executive’s employment with the Company, Executive shall perform the duties and bear the responsibilities commensurate with Executive’s position, and shall serve the Company faithfully and to the best of Executive’s ability, under the direction of the Company’s Chief Executive Officer. Executive shall also perform such other duties as may be reasonably requested from time to time by the Company’s Chief Executive Officer or the Board of Directors of Gogo Inc. (“</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 Executive’s actions shall at all times be such that they do not discredit the Company or its products and services, and Executive shall not engage in any business activity or activities that require significant personal services by Executive or that, in the sole judgment of the Company, may conflict with the proper performance of Executive’s duties hereunder. Executive shall devote all Executive’s working time, working attention, and working energies to the business of the Company.</w:t>
      </w:r>
    </w:p>
    <w:p>
      <w:pPr>
        <w:spacing w:after="0" w:line="161" w:lineRule="exact"/>
        <w:rPr>
          <w:rFonts w:ascii="Arial" w:cs="Arial" w:eastAsia="Arial" w:hAnsi="Arial"/>
          <w:sz w:val="20"/>
          <w:szCs w:val="20"/>
          <w:b w:val="1"/>
          <w:bCs w:val="1"/>
          <w:color w:val="auto"/>
        </w:rPr>
      </w:pPr>
    </w:p>
    <w:p>
      <w:pPr>
        <w:ind w:left="1500" w:hanging="743"/>
        <w:spacing w:after="0"/>
        <w:tabs>
          <w:tab w:leader="none" w:pos="150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r>
        <w:rPr>
          <w:rFonts w:ascii="Arial" w:cs="Arial" w:eastAsia="Arial" w:hAnsi="Arial"/>
          <w:sz w:val="22"/>
          <w:szCs w:val="22"/>
          <w:color w:val="auto"/>
        </w:rPr>
        <w:t>.</w:t>
      </w:r>
    </w:p>
    <w:p>
      <w:pPr>
        <w:spacing w:after="0" w:line="205" w:lineRule="exact"/>
        <w:rPr>
          <w:rFonts w:ascii="Arial" w:cs="Arial" w:eastAsia="Arial" w:hAnsi="Arial"/>
          <w:sz w:val="22"/>
          <w:szCs w:val="22"/>
          <w:b w:val="1"/>
          <w:bCs w:val="1"/>
          <w:color w:val="auto"/>
        </w:rPr>
      </w:pPr>
    </w:p>
    <w:p>
      <w:pPr>
        <w:jc w:val="both"/>
        <w:ind w:firstLine="1505"/>
        <w:spacing w:after="0" w:line="263" w:lineRule="auto"/>
        <w:tabs>
          <w:tab w:leader="none" w:pos="2995" w:val="left"/>
        </w:tabs>
        <w:numPr>
          <w:ilvl w:val="1"/>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Starting Bonus. </w:t>
      </w:r>
      <w:r>
        <w:rPr>
          <w:rFonts w:ascii="Arial" w:cs="Arial" w:eastAsia="Arial" w:hAnsi="Arial"/>
          <w:sz w:val="20"/>
          <w:szCs w:val="20"/>
          <w:color w:val="auto"/>
        </w:rPr>
        <w:t>The Company shall pay to Executive a starting bonus of $300,000,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withholdings for federal, state and local taxes, FICA and other withholding required by applicable law, regulation or ruling. Such bonus shall be payable on the first regular payroll date following Executive’s 30th day of employment. In the event that Executive’s employment is terminated for Cause or Executive resigns without Good Reason prior to the third anniversary of the Effective Date, Executive will promptly repay a pro-rata portion of the bonus to the Company. The amount to be repaid shall be calculated by dividing the number of days elapsed from the Effective Date to the Termination Date by 995.</w:t>
      </w:r>
    </w:p>
    <w:p>
      <w:pPr>
        <w:spacing w:after="0" w:line="159" w:lineRule="exact"/>
        <w:rPr>
          <w:rFonts w:ascii="Arial" w:cs="Arial" w:eastAsia="Arial" w:hAnsi="Arial"/>
          <w:sz w:val="20"/>
          <w:szCs w:val="20"/>
          <w:b w:val="1"/>
          <w:bCs w:val="1"/>
          <w:color w:val="auto"/>
        </w:rPr>
      </w:pPr>
    </w:p>
    <w:p>
      <w:pPr>
        <w:jc w:val="both"/>
        <w:ind w:firstLine="1505"/>
        <w:spacing w:after="0" w:line="277" w:lineRule="auto"/>
        <w:tabs>
          <w:tab w:leader="none" w:pos="2995" w:val="left"/>
        </w:tabs>
        <w:numPr>
          <w:ilvl w:val="1"/>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Base Salary and Annual Bonus</w:t>
      </w:r>
      <w:r>
        <w:rPr>
          <w:rFonts w:ascii="Arial" w:cs="Arial" w:eastAsia="Arial" w:hAnsi="Arial"/>
          <w:sz w:val="19"/>
          <w:szCs w:val="19"/>
          <w:color w:val="auto"/>
        </w:rPr>
        <w:t>. The Company shall pay to Executive as base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all of the services to be rendered by Executive under this Agreement a salary at the rate of $370,000 per annum (the </w:t>
      </w:r>
      <w:r>
        <w:rPr>
          <w:rFonts w:ascii="Arial" w:cs="Arial" w:eastAsia="Arial" w:hAnsi="Arial"/>
          <w:sz w:val="19"/>
          <w:szCs w:val="19"/>
          <w:b w:val="1"/>
          <w:bCs w:val="1"/>
          <w:i w:val="1"/>
          <w:iCs w:val="1"/>
          <w:color w:val="auto"/>
        </w:rPr>
        <w:t>“Base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Salary”</w:t>
      </w:r>
      <w:r>
        <w:rPr>
          <w:rFonts w:ascii="Arial" w:cs="Arial" w:eastAsia="Arial" w:hAnsi="Arial"/>
          <w:sz w:val="19"/>
          <w:szCs w:val="19"/>
          <w:color w:val="auto"/>
        </w:rPr>
        <w:t>), payable in accordance with such normal payroll practices as are adopted by the Company from time to time, subject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withholdings for federal, state and local taxes, FICA and other withholding required by applicable law, regulation or ruling. The Base Salary shall be reviewed at least annually. In addition, Executive shall be eligible for an annual bonus with a target of seventy-five percent (75%) of Base Salary. The amount of such annual bonus, if any, shall be decided by the Compensation Committee of the Board of Directors of Parent, and shall be based upon achievement of objectives established by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the Compensation Committee, all as determined in the reasonable discretion of the Compensation Committee.</w:t>
      </w:r>
    </w:p>
    <w:p>
      <w:pPr>
        <w:spacing w:after="0" w:line="199" w:lineRule="exact"/>
        <w:rPr>
          <w:sz w:val="20"/>
          <w:szCs w:val="20"/>
          <w:color w:val="auto"/>
        </w:rPr>
      </w:pPr>
    </w:p>
    <w:p>
      <w:pPr>
        <w:jc w:val="both"/>
        <w:ind w:firstLine="1505"/>
        <w:spacing w:after="0" w:line="235" w:lineRule="auto"/>
        <w:tabs>
          <w:tab w:leader="none" w:pos="2995"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Reimbursement of Expenses, Company Facilities</w:t>
      </w:r>
      <w:r>
        <w:rPr>
          <w:rFonts w:ascii="Arial" w:cs="Arial" w:eastAsia="Arial" w:hAnsi="Arial"/>
          <w:sz w:val="22"/>
          <w:szCs w:val="22"/>
          <w:color w:val="auto"/>
        </w:rPr>
        <w:t>. The Company shall pay or reimburse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for all reasonable, ordinary and necessary travel and other expenses incurred by Executive in the performance of Executive’s obligations under this Agreement, in accordance with the Company’s travel and expense reimbursement policies for management employees. The Company shall provide to Executive, at the Company’s principal place of business, the necessary office facilities and equipment to perform Executive’s obligations under this Agreement. The Company will reimburse Executive for up to $10,000 of attorney’s fees incurred in connection with the review and negotiation of the terms and conditions of employment.</w:t>
      </w:r>
    </w:p>
    <w:p>
      <w:pPr>
        <w:sectPr>
          <w:pgSz w:w="11900" w:h="16838" w:orient="portrait"/>
          <w:cols w:equalWidth="0" w:num="1">
            <w:col w:w="11240"/>
          </w:cols>
          <w:pgMar w:left="320" w:top="361" w:right="339" w:bottom="1440" w:gutter="0" w:footer="0" w:header="0"/>
        </w:sectPr>
      </w:pPr>
    </w:p>
    <w:p>
      <w:pPr>
        <w:spacing w:after="0" w:line="181"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(d)</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time off amounts and accruals.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the approval of the CEO.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firstLine="226"/>
        <w:spacing w:after="0" w:line="305" w:lineRule="auto"/>
        <w:rPr>
          <w:sz w:val="20"/>
          <w:szCs w:val="20"/>
          <w:color w:val="auto"/>
        </w:rPr>
      </w:pPr>
      <w:r>
        <w:rPr>
          <w:rFonts w:ascii="Arial" w:cs="Arial" w:eastAsia="Arial" w:hAnsi="Arial"/>
          <w:sz w:val="20"/>
          <w:szCs w:val="20"/>
          <w:b w:val="1"/>
          <w:bCs w:val="1"/>
          <w:color w:val="auto"/>
        </w:rPr>
        <w:t xml:space="preserve">Discretionary Time Off. </w:t>
      </w:r>
      <w:r>
        <w:rPr>
          <w:rFonts w:ascii="Arial" w:cs="Arial" w:eastAsia="Arial" w:hAnsi="Arial"/>
          <w:sz w:val="20"/>
          <w:szCs w:val="20"/>
          <w:color w:val="auto"/>
        </w:rPr>
        <w:t>The Company has no formal vacation or time off policy with set</w:t>
      </w:r>
      <w:r>
        <w:rPr>
          <w:rFonts w:ascii="Arial" w:cs="Arial" w:eastAsia="Arial" w:hAnsi="Arial"/>
          <w:sz w:val="20"/>
          <w:szCs w:val="20"/>
          <w:b w:val="1"/>
          <w:bCs w:val="1"/>
          <w:color w:val="auto"/>
        </w:rPr>
        <w:t xml:space="preserve"> </w:t>
      </w:r>
      <w:r>
        <w:rPr>
          <w:rFonts w:ascii="Arial" w:cs="Arial" w:eastAsia="Arial" w:hAnsi="Arial"/>
          <w:sz w:val="20"/>
          <w:szCs w:val="20"/>
          <w:color w:val="auto"/>
        </w:rPr>
        <w:t>Instead, Executive will have the flexibility to take time off as determined by Executive, subject to</w:t>
      </w:r>
    </w:p>
    <w:p>
      <w:pPr>
        <w:spacing w:after="0" w:line="358" w:lineRule="exact"/>
        <w:rPr>
          <w:sz w:val="20"/>
          <w:szCs w:val="20"/>
          <w:color w:val="auto"/>
        </w:rPr>
      </w:pPr>
    </w:p>
    <w:p>
      <w:pPr>
        <w:sectPr>
          <w:pgSz w:w="11900" w:h="16838" w:orient="portrait"/>
          <w:cols w:equalWidth="0" w:num="2">
            <w:col w:w="2660" w:space="120"/>
            <w:col w:w="8460"/>
          </w:cols>
          <w:pgMar w:left="320" w:top="361" w:right="339" w:bottom="1440" w:gutter="0" w:footer="0" w:header="0"/>
          <w:type w:val="continuous"/>
        </w:sectPr>
      </w:pPr>
    </w:p>
    <w:p>
      <w:pPr>
        <w:jc w:val="both"/>
        <w:ind w:firstLine="1505"/>
        <w:spacing w:after="0" w:line="239" w:lineRule="auto"/>
        <w:tabs>
          <w:tab w:leader="none" w:pos="2995" w:val="left"/>
        </w:tabs>
        <w:numPr>
          <w:ilvl w:val="1"/>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Benefits</w:t>
      </w:r>
      <w:r>
        <w:rPr>
          <w:rFonts w:ascii="Arial" w:cs="Arial" w:eastAsia="Arial" w:hAnsi="Arial"/>
          <w:sz w:val="22"/>
          <w:szCs w:val="22"/>
          <w:color w:val="auto"/>
        </w:rPr>
        <w:t>. Subject to applicable eligibility requirements, Executive shall be eligible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participate in all normal company benefits including the Company’s 401(k), retirement, medical, dental and life and disability insurance plans and programs in accordance with the terms thereof. Any such benefits, plans and/or programs shall be subject to change or termination from time to time, as determined by the Company.</w:t>
      </w:r>
    </w:p>
    <w:p>
      <w:pPr>
        <w:spacing w:after="0" w:line="178" w:lineRule="exact"/>
        <w:rPr>
          <w:rFonts w:ascii="Arial" w:cs="Arial" w:eastAsia="Arial" w:hAnsi="Arial"/>
          <w:sz w:val="22"/>
          <w:szCs w:val="22"/>
          <w:b w:val="1"/>
          <w:bCs w:val="1"/>
          <w:color w:val="auto"/>
        </w:rPr>
      </w:pPr>
    </w:p>
    <w:p>
      <w:pPr>
        <w:jc w:val="both"/>
        <w:ind w:firstLine="1505"/>
        <w:spacing w:after="0" w:line="243" w:lineRule="auto"/>
        <w:tabs>
          <w:tab w:leader="none" w:pos="2995" w:val="left"/>
        </w:tabs>
        <w:numPr>
          <w:ilvl w:val="1"/>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Directors and Officers Insurance</w:t>
      </w:r>
      <w:r>
        <w:rPr>
          <w:rFonts w:ascii="Arial" w:cs="Arial" w:eastAsia="Arial" w:hAnsi="Arial"/>
          <w:sz w:val="22"/>
          <w:szCs w:val="22"/>
          <w:color w:val="auto"/>
        </w:rPr>
        <w:t>. Officers and directors’ liability insurance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obtained and maintained by the Company for coverage of the Company, other executives of the Company and Executive, at no cost to Executive.</w:t>
      </w:r>
    </w:p>
    <w:p>
      <w:pPr>
        <w:spacing w:after="0" w:line="175" w:lineRule="exact"/>
        <w:rPr>
          <w:rFonts w:ascii="Arial" w:cs="Arial" w:eastAsia="Arial" w:hAnsi="Arial"/>
          <w:sz w:val="22"/>
          <w:szCs w:val="22"/>
          <w:b w:val="1"/>
          <w:bCs w:val="1"/>
          <w:color w:val="auto"/>
        </w:rPr>
      </w:pPr>
    </w:p>
    <w:p>
      <w:pPr>
        <w:jc w:val="both"/>
        <w:ind w:firstLine="1505"/>
        <w:spacing w:after="0" w:line="236" w:lineRule="auto"/>
        <w:tabs>
          <w:tab w:leader="none" w:pos="2995" w:val="left"/>
        </w:tabs>
        <w:numPr>
          <w:ilvl w:val="1"/>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Equity</w:t>
      </w:r>
      <w:r>
        <w:rPr>
          <w:rFonts w:ascii="Arial" w:cs="Arial" w:eastAsia="Arial" w:hAnsi="Arial"/>
          <w:sz w:val="22"/>
          <w:szCs w:val="22"/>
          <w:color w:val="auto"/>
        </w:rPr>
        <w:t>. Executive shall receive a new hire equity grant with a fair market value of $200,000,</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consist of restricted stock units in Parent (“RSU’s”). Such grant shall be dated November 30, 2022, and the number of RSUs shall be determined based on the closing price of the Common Stock on such date. The RSUs will vest in equal increments on each of the first four anniversaries of the grant date assuming Executive’s continued employment. In addition, Executive shall be eligible to participate in an annual equity award program, as approved by the Compensation Committee of the Board of Directors of Parent.</w:t>
      </w:r>
    </w:p>
    <w:p>
      <w:pPr>
        <w:spacing w:after="0" w:line="179" w:lineRule="exact"/>
        <w:rPr>
          <w:rFonts w:ascii="Arial" w:cs="Arial" w:eastAsia="Arial" w:hAnsi="Arial"/>
          <w:sz w:val="22"/>
          <w:szCs w:val="22"/>
          <w:b w:val="1"/>
          <w:bCs w:val="1"/>
          <w:color w:val="auto"/>
        </w:rPr>
      </w:pPr>
    </w:p>
    <w:p>
      <w:pPr>
        <w:ind w:left="1500" w:hanging="743"/>
        <w:spacing w:after="0"/>
        <w:tabs>
          <w:tab w:leader="none" w:pos="150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Ownership of Confidential Information and Inventions</w:t>
      </w:r>
      <w:r>
        <w:rPr>
          <w:rFonts w:ascii="Arial" w:cs="Arial" w:eastAsia="Arial" w:hAnsi="Arial"/>
          <w:sz w:val="22"/>
          <w:szCs w:val="22"/>
          <w:color w:val="auto"/>
        </w:rPr>
        <w:t>.</w:t>
      </w:r>
    </w:p>
    <w:p>
      <w:pPr>
        <w:spacing w:after="0" w:line="205" w:lineRule="exact"/>
        <w:rPr>
          <w:rFonts w:ascii="Arial" w:cs="Arial" w:eastAsia="Arial" w:hAnsi="Arial"/>
          <w:sz w:val="22"/>
          <w:szCs w:val="22"/>
          <w:b w:val="1"/>
          <w:bCs w:val="1"/>
          <w:color w:val="auto"/>
        </w:rPr>
      </w:pPr>
    </w:p>
    <w:p>
      <w:pPr>
        <w:jc w:val="both"/>
        <w:ind w:firstLine="1505"/>
        <w:spacing w:after="0" w:line="266" w:lineRule="auto"/>
        <w:tabs>
          <w:tab w:leader="none" w:pos="2995" w:val="left"/>
        </w:tabs>
        <w:numPr>
          <w:ilvl w:val="1"/>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Receipt of Confidential Information</w:t>
      </w:r>
      <w:r>
        <w:rPr>
          <w:rFonts w:ascii="Arial" w:cs="Arial" w:eastAsia="Arial" w:hAnsi="Arial"/>
          <w:sz w:val="20"/>
          <w:szCs w:val="20"/>
          <w:color w:val="auto"/>
        </w:rPr>
        <w:t>. Executive’s employment by the Company creates a</w:t>
      </w:r>
      <w:r>
        <w:rPr>
          <w:rFonts w:ascii="Arial" w:cs="Arial" w:eastAsia="Arial" w:hAnsi="Arial"/>
          <w:sz w:val="20"/>
          <w:szCs w:val="20"/>
          <w:b w:val="1"/>
          <w:bCs w:val="1"/>
          <w:color w:val="auto"/>
        </w:rPr>
        <w:t xml:space="preserve"> </w:t>
      </w:r>
      <w:r>
        <w:rPr>
          <w:rFonts w:ascii="Arial" w:cs="Arial" w:eastAsia="Arial" w:hAnsi="Arial"/>
          <w:sz w:val="20"/>
          <w:szCs w:val="20"/>
          <w:color w:val="auto"/>
        </w:rPr>
        <w:t>relationship of confidence and trust between Executive and the Company with respect to certain information applicable to the business of the Company and its clients or customers. Executive acknowledges that during Executive’s employment by the Company and as a result of the confidential relationship with the Company established thereby, Executive shall be receiving Confidential Information and that the Confidential Information is a highly valuable asset of the Company.</w:t>
      </w:r>
    </w:p>
    <w:p>
      <w:pPr>
        <w:spacing w:after="0" w:line="154" w:lineRule="exact"/>
        <w:rPr>
          <w:rFonts w:ascii="Arial" w:cs="Arial" w:eastAsia="Arial" w:hAnsi="Arial"/>
          <w:sz w:val="20"/>
          <w:szCs w:val="20"/>
          <w:b w:val="1"/>
          <w:bCs w:val="1"/>
          <w:color w:val="auto"/>
        </w:rPr>
      </w:pPr>
    </w:p>
    <w:p>
      <w:pPr>
        <w:jc w:val="both"/>
        <w:ind w:firstLine="1505"/>
        <w:spacing w:after="0" w:line="239" w:lineRule="auto"/>
        <w:tabs>
          <w:tab w:leader="none" w:pos="2995" w:val="left"/>
        </w:tabs>
        <w:numPr>
          <w:ilvl w:val="1"/>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Nondisclosure</w:t>
      </w:r>
      <w:r>
        <w:rPr>
          <w:rFonts w:ascii="Arial" w:cs="Arial" w:eastAsia="Arial" w:hAnsi="Arial"/>
          <w:sz w:val="22"/>
          <w:szCs w:val="22"/>
          <w:color w:val="auto"/>
        </w:rPr>
        <w:t>. During Executive’s employment with the Company and at all times thereafter,</w:t>
      </w:r>
      <w:r>
        <w:rPr>
          <w:rFonts w:ascii="Arial" w:cs="Arial" w:eastAsia="Arial" w:hAnsi="Arial"/>
          <w:sz w:val="22"/>
          <w:szCs w:val="22"/>
          <w:b w:val="1"/>
          <w:bCs w:val="1"/>
          <w:color w:val="auto"/>
        </w:rPr>
        <w:t xml:space="preserve"> </w:t>
      </w:r>
      <w:r>
        <w:rPr>
          <w:rFonts w:ascii="Arial" w:cs="Arial" w:eastAsia="Arial" w:hAnsi="Arial"/>
          <w:sz w:val="22"/>
          <w:szCs w:val="22"/>
          <w:color w:val="auto"/>
        </w:rPr>
        <w:t>regardless of the reason for the termination of such employment, Executive shall retain in strict confidence and shall not use for any purpose whatsoever or divulge, disseminate, or disclose to any third party (other than in the furtherance of the business purposes</w:t>
      </w:r>
    </w:p>
    <w:p>
      <w:pPr>
        <w:spacing w:after="0" w:line="18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108" w:name="page109"/>
    <w:bookmarkEnd w:id="108"/>
    <w:p>
      <w:pPr>
        <w:jc w:val="both"/>
        <w:spacing w:after="0" w:line="264" w:lineRule="auto"/>
        <w:rPr>
          <w:sz w:val="20"/>
          <w:szCs w:val="20"/>
          <w:color w:val="auto"/>
        </w:rPr>
      </w:pPr>
      <w:r>
        <w:rPr>
          <w:rFonts w:ascii="Arial" w:cs="Arial" w:eastAsia="Arial" w:hAnsi="Arial"/>
          <w:sz w:val="20"/>
          <w:szCs w:val="20"/>
          <w:color w:val="auto"/>
        </w:rPr>
        <w:t>of the Company and with the Company’s prior written consent) all Confidential Information, all of which is deemed confidential and proprietary. Notwithstanding anything in this Agreement to the contrary, nothing contained in this Agreement limits the Executive’s ability to communicate with or participate in any investigation or proceeding regarding possible violations of U.S. Federal securities laws that may be conducted by the U.S. Securities and Exchange Commission, the U.S. Department of Justice, the U.S. Consumer Financial Protection Bureau or the U.S. Commodity Futures Trading Commission.</w:t>
      </w:r>
    </w:p>
    <w:p>
      <w:pPr>
        <w:spacing w:after="0" w:line="158" w:lineRule="exact"/>
        <w:rPr>
          <w:sz w:val="20"/>
          <w:szCs w:val="20"/>
          <w:color w:val="auto"/>
        </w:rPr>
      </w:pPr>
    </w:p>
    <w:p>
      <w:pPr>
        <w:jc w:val="both"/>
        <w:ind w:firstLine="1505"/>
        <w:spacing w:after="0" w:line="263" w:lineRule="auto"/>
        <w:tabs>
          <w:tab w:leader="none" w:pos="2995" w:val="left"/>
        </w:tabs>
        <w:numPr>
          <w:ilvl w:val="1"/>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Disclosure</w:t>
      </w:r>
      <w:r>
        <w:rPr>
          <w:rFonts w:ascii="Arial" w:cs="Arial" w:eastAsia="Arial" w:hAnsi="Arial"/>
          <w:sz w:val="20"/>
          <w:szCs w:val="20"/>
          <w:color w:val="auto"/>
        </w:rPr>
        <w:t>. Executive shall inform the Company promptly and fully of all Inventions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report, setting forth in detail a description of the Invention, the procedures used and the results achieved. Executive shall submit a report upon completing any studies or research projects undertaken on the Company’s behalf, whether or not Executive believes that project has resulted in an Invention. Executive agrees to keep and maintain adequate and current records (in the form of notes, sketches, drawings and in any other form that may be required by the Company) of all Inventions, which records shall be available to and remain the sole property of the Company at all times.</w:t>
      </w:r>
    </w:p>
    <w:p>
      <w:pPr>
        <w:spacing w:after="0" w:line="159" w:lineRule="exact"/>
        <w:rPr>
          <w:rFonts w:ascii="Arial" w:cs="Arial" w:eastAsia="Arial" w:hAnsi="Arial"/>
          <w:sz w:val="20"/>
          <w:szCs w:val="20"/>
          <w:b w:val="1"/>
          <w:bCs w:val="1"/>
          <w:color w:val="auto"/>
        </w:rPr>
      </w:pPr>
    </w:p>
    <w:p>
      <w:pPr>
        <w:jc w:val="both"/>
        <w:ind w:firstLine="1505"/>
        <w:spacing w:after="0" w:line="259" w:lineRule="auto"/>
        <w:tabs>
          <w:tab w:leader="none" w:pos="2995" w:val="left"/>
        </w:tabs>
        <w:numPr>
          <w:ilvl w:val="1"/>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Ownership; Cooperation</w:t>
      </w:r>
      <w:r>
        <w:rPr>
          <w:rFonts w:ascii="Arial" w:cs="Arial" w:eastAsia="Arial" w:hAnsi="Arial"/>
          <w:sz w:val="20"/>
          <w:szCs w:val="20"/>
          <w:color w:val="auto"/>
        </w:rPr>
        <w:t>. All Confidential Information and Inventions shall be and remain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sole property of the Company. Executive promptly shall execute and deliver to the Company any instruments deemed necessary by it to effect disclosure and assignment of all Inventions to the Company including, without limitation, assignment agreements satisfactory to the Company. Upon request of the Company, during and after Executive’s employment with the Company, Executive shall execute patent, copyright, trademark, mask work or other applications and any other instruments deemed necessary by the Company for the prosecution of such patent applications or the acquisition of letters patent or registration of copyrights, trademarks or mask works in the United States and foreign countries based on such Inventions; </w:t>
      </w: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that if Executive incurs any expenses in connection with the foregoing obligation after Executive’s</w:t>
      </w:r>
      <w:r>
        <w:rPr>
          <w:rFonts w:ascii="Arial" w:cs="Arial" w:eastAsia="Arial" w:hAnsi="Arial"/>
          <w:sz w:val="20"/>
          <w:szCs w:val="20"/>
          <w:i w:val="1"/>
          <w:iCs w:val="1"/>
          <w:color w:val="auto"/>
        </w:rPr>
        <w:t xml:space="preserve"> </w:t>
      </w:r>
      <w:r>
        <w:rPr>
          <w:rFonts w:ascii="Arial" w:cs="Arial" w:eastAsia="Arial" w:hAnsi="Arial"/>
          <w:sz w:val="20"/>
          <w:szCs w:val="20"/>
          <w:color w:val="auto"/>
        </w:rPr>
        <w:t>employment with the Company is terminated, the Company shall compensate Executive at a reasonable rate for the time actually spent by Executive at the Company’s request in satisfying such obligation.</w:t>
      </w:r>
    </w:p>
    <w:p>
      <w:pPr>
        <w:spacing w:after="0" w:line="161" w:lineRule="exact"/>
        <w:rPr>
          <w:rFonts w:ascii="Arial" w:cs="Arial" w:eastAsia="Arial" w:hAnsi="Arial"/>
          <w:sz w:val="20"/>
          <w:szCs w:val="20"/>
          <w:b w:val="1"/>
          <w:bCs w:val="1"/>
          <w:color w:val="auto"/>
        </w:rPr>
      </w:pPr>
    </w:p>
    <w:p>
      <w:pPr>
        <w:jc w:val="both"/>
        <w:ind w:firstLine="1505"/>
        <w:spacing w:after="0" w:line="239" w:lineRule="auto"/>
        <w:tabs>
          <w:tab w:leader="none" w:pos="2995" w:val="left"/>
        </w:tabs>
        <w:numPr>
          <w:ilvl w:val="1"/>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Works for Hire</w:t>
      </w:r>
      <w:r>
        <w:rPr>
          <w:rFonts w:ascii="Arial" w:cs="Arial" w:eastAsia="Arial" w:hAnsi="Arial"/>
          <w:sz w:val="22"/>
          <w:szCs w:val="22"/>
          <w:color w:val="auto"/>
        </w:rPr>
        <w:t>. To the extent the Inventions consist of original works of authorship which</w:t>
      </w:r>
      <w:r>
        <w:rPr>
          <w:rFonts w:ascii="Arial" w:cs="Arial" w:eastAsia="Arial" w:hAnsi="Arial"/>
          <w:sz w:val="22"/>
          <w:szCs w:val="22"/>
          <w:b w:val="1"/>
          <w:bCs w:val="1"/>
          <w:color w:val="auto"/>
        </w:rPr>
        <w:t xml:space="preserve"> </w:t>
      </w:r>
      <w:r>
        <w:rPr>
          <w:rFonts w:ascii="Arial" w:cs="Arial" w:eastAsia="Arial" w:hAnsi="Arial"/>
          <w:sz w:val="22"/>
          <w:szCs w:val="22"/>
          <w:color w:val="auto"/>
        </w:rPr>
        <w:t>are made by Executive (solely or jointly with others) within the scope of Executive’s employment and which are protectable by copyright, Executive acknowledges that all such original works of authorship are “works for hire” as that term is defined in the United States Copyright Act (17 U.S.C., Section 101).</w:t>
      </w:r>
    </w:p>
    <w:p>
      <w:pPr>
        <w:spacing w:after="0" w:line="178" w:lineRule="exact"/>
        <w:rPr>
          <w:rFonts w:ascii="Arial" w:cs="Arial" w:eastAsia="Arial" w:hAnsi="Arial"/>
          <w:sz w:val="22"/>
          <w:szCs w:val="22"/>
          <w:b w:val="1"/>
          <w:bCs w:val="1"/>
          <w:color w:val="auto"/>
        </w:rPr>
      </w:pPr>
    </w:p>
    <w:p>
      <w:pPr>
        <w:jc w:val="both"/>
        <w:ind w:firstLine="757"/>
        <w:spacing w:after="0" w:line="266" w:lineRule="auto"/>
        <w:tabs>
          <w:tab w:leader="none" w:pos="1498"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Covenants-Not-to-Compete</w:t>
      </w:r>
      <w:r>
        <w:rPr>
          <w:rFonts w:ascii="Arial" w:cs="Arial" w:eastAsia="Arial" w:hAnsi="Arial"/>
          <w:sz w:val="20"/>
          <w:szCs w:val="20"/>
          <w:color w:val="auto"/>
        </w:rPr>
        <w:t>. In consideration of Executive’s continued employment as an executive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in consideration of the Company’s obligations contained in this Agreement, including, without limitation, its agreeing to pay severance benefits in the circumstances specified in Section 9(a), and because Executive shall have access to Confidential Information, including, without limitation, Trade Secrets, Executive hereby covenants as follows (as used in this Section the term “Company” includes Gogo Inc. and its Affiliates):</w:t>
      </w:r>
    </w:p>
    <w:p>
      <w:pPr>
        <w:spacing w:after="0" w:line="154" w:lineRule="exact"/>
        <w:rPr>
          <w:rFonts w:ascii="Arial" w:cs="Arial" w:eastAsia="Arial" w:hAnsi="Arial"/>
          <w:sz w:val="20"/>
          <w:szCs w:val="20"/>
          <w:b w:val="1"/>
          <w:bCs w:val="1"/>
          <w:color w:val="auto"/>
        </w:rPr>
      </w:pPr>
    </w:p>
    <w:p>
      <w:pPr>
        <w:jc w:val="both"/>
        <w:ind w:firstLine="1505"/>
        <w:spacing w:after="0" w:line="243" w:lineRule="auto"/>
        <w:tabs>
          <w:tab w:leader="none" w:pos="2995" w:val="left"/>
        </w:tabs>
        <w:numPr>
          <w:ilvl w:val="1"/>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Covenants</w:t>
      </w:r>
      <w:r>
        <w:rPr>
          <w:rFonts w:ascii="Arial" w:cs="Arial" w:eastAsia="Arial" w:hAnsi="Arial"/>
          <w:sz w:val="22"/>
          <w:szCs w:val="22"/>
          <w:color w:val="auto"/>
        </w:rPr>
        <w:t>. Without the prior written consent of the Board, (x) during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and (y) for twelve (12) months after leaving the employment of the Company, whether voluntarily or involuntarily, Executive shall not directly or</w:t>
      </w:r>
    </w:p>
    <w:p>
      <w:pPr>
        <w:spacing w:after="0" w:line="182"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9" w:name="page110"/>
    <w:bookmarkEnd w:id="109"/>
    <w:p>
      <w:pPr>
        <w:jc w:val="both"/>
        <w:spacing w:after="0" w:line="250" w:lineRule="auto"/>
        <w:rPr>
          <w:sz w:val="20"/>
          <w:szCs w:val="20"/>
          <w:color w:val="auto"/>
        </w:rPr>
      </w:pPr>
      <w:r>
        <w:rPr>
          <w:rFonts w:ascii="Arial" w:cs="Arial" w:eastAsia="Arial" w:hAnsi="Arial"/>
          <w:sz w:val="22"/>
          <w:szCs w:val="22"/>
          <w:color w:val="auto"/>
        </w:rPr>
        <w:t>indirectly, personally, by agency, as an employee, consultant, officer or director, through a corporation, partnership, limited liability company, or by any other artifice or device:</w:t>
      </w:r>
    </w:p>
    <w:p>
      <w:pPr>
        <w:spacing w:after="0" w:line="168" w:lineRule="exact"/>
        <w:rPr>
          <w:sz w:val="20"/>
          <w:szCs w:val="20"/>
          <w:color w:val="auto"/>
        </w:rPr>
      </w:pPr>
    </w:p>
    <w:p>
      <w:pPr>
        <w:jc w:val="both"/>
        <w:ind w:firstLine="2246"/>
        <w:spacing w:after="0" w:line="239"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Own, manage, operate, control, work for, provide services to, employ, have</w:t>
      </w:r>
      <w:r>
        <w:rPr>
          <w:rFonts w:ascii="Arial" w:cs="Arial" w:eastAsia="Arial" w:hAnsi="Arial"/>
          <w:sz w:val="22"/>
          <w:szCs w:val="22"/>
          <w:b w:val="1"/>
          <w:bCs w:val="1"/>
          <w:color w:val="auto"/>
        </w:rPr>
        <w:t xml:space="preserve"> </w:t>
      </w:r>
      <w:r>
        <w:rPr>
          <w:rFonts w:ascii="Arial" w:cs="Arial" w:eastAsia="Arial" w:hAnsi="Arial"/>
          <w:sz w:val="22"/>
          <w:szCs w:val="22"/>
          <w:color w:val="auto"/>
        </w:rPr>
        <w:t>any financial interest in, consult to, lend Executive’s name to or engage in any capacity in any enterprise, business, company or other entity (whether existing or newly established) engaged in a Competitive Business, whether in anticipation of monetary compensation or otherwise;</w:t>
      </w:r>
    </w:p>
    <w:p>
      <w:pPr>
        <w:spacing w:after="0" w:line="185" w:lineRule="exact"/>
        <w:rPr>
          <w:sz w:val="20"/>
          <w:szCs w:val="20"/>
          <w:color w:val="auto"/>
        </w:rPr>
      </w:pPr>
    </w:p>
    <w:p>
      <w:pPr>
        <w:jc w:val="both"/>
        <w:ind w:left="2260" w:hanging="6"/>
        <w:spacing w:after="0" w:line="259" w:lineRule="auto"/>
        <w:tabs>
          <w:tab w:leader="none" w:pos="2587" w:val="left"/>
        </w:tabs>
        <w:numPr>
          <w:ilvl w:val="1"/>
          <w:numId w:val="56"/>
        </w:numPr>
        <w:rPr>
          <w:rFonts w:ascii="Arial" w:cs="Arial" w:eastAsia="Arial" w:hAnsi="Arial"/>
          <w:sz w:val="20"/>
          <w:szCs w:val="20"/>
          <w:color w:val="auto"/>
        </w:rPr>
      </w:pPr>
      <w:r>
        <w:rPr>
          <w:rFonts w:ascii="Arial" w:cs="Arial" w:eastAsia="Arial" w:hAnsi="Arial"/>
          <w:sz w:val="20"/>
          <w:szCs w:val="20"/>
          <w:color w:val="auto"/>
        </w:rPr>
        <w:t>Solicit or otherwise induce any person who is then or was employed by the Company or otherwise engaged by the Company as an independent contractor or consultant at any time during the twelve (12) month period preceding Executive’s last day of employment, to terminate their employment or service with the Company to engage in any Competitive Business, or intentionally interfere with the relationship of the Company with any such employee, former employee or person, it being understood that a general advertisement of employment opportunities to which a current or former employee of the Company or any of its Affiliates responds shall not constitute solicitation or inducement for purposes of this Section 5 (a)(ii), or hire any such former employee within ninety days following their termination of employment with the Company or any of its Affiliates;</w:t>
      </w:r>
    </w:p>
    <w:p>
      <w:pPr>
        <w:spacing w:after="0" w:line="382" w:lineRule="exact"/>
        <w:rPr>
          <w:rFonts w:ascii="Arial" w:cs="Arial" w:eastAsia="Arial" w:hAnsi="Arial"/>
          <w:sz w:val="20"/>
          <w:szCs w:val="20"/>
          <w:color w:val="auto"/>
        </w:rPr>
      </w:pPr>
    </w:p>
    <w:p>
      <w:pPr>
        <w:jc w:val="both"/>
        <w:ind w:left="2260" w:hanging="6"/>
        <w:spacing w:after="0" w:line="235" w:lineRule="auto"/>
        <w:tabs>
          <w:tab w:leader="none" w:pos="2641" w:val="left"/>
        </w:tabs>
        <w:numPr>
          <w:ilvl w:val="1"/>
          <w:numId w:val="56"/>
        </w:numPr>
        <w:rPr>
          <w:rFonts w:ascii="Arial" w:cs="Arial" w:eastAsia="Arial" w:hAnsi="Arial"/>
          <w:sz w:val="22"/>
          <w:szCs w:val="22"/>
          <w:color w:val="auto"/>
        </w:rPr>
      </w:pPr>
      <w:r>
        <w:rPr>
          <w:rFonts w:ascii="Arial" w:cs="Arial" w:eastAsia="Arial" w:hAnsi="Arial"/>
          <w:sz w:val="22"/>
          <w:szCs w:val="22"/>
          <w:color w:val="auto"/>
        </w:rPr>
        <w:t>Solicit or service in any way in connection with or relating to a Competitive Business, on behalf of Executive or on behalf of or in conjunction with others, any client or customer, or prospective client or customer of the Company, or induce any customer, client, prospective customer or client, vendor, consultant, strategic partner or independent contractor of the Company to terminate or negatively alter their relationship with the Company, who has been solicited or serviced by the Company or any of its Affiliates; or</w:t>
      </w:r>
    </w:p>
    <w:p>
      <w:pPr>
        <w:spacing w:after="0" w:line="185" w:lineRule="exact"/>
        <w:rPr>
          <w:rFonts w:ascii="Arial" w:cs="Arial" w:eastAsia="Arial" w:hAnsi="Arial"/>
          <w:sz w:val="22"/>
          <w:szCs w:val="22"/>
          <w:color w:val="auto"/>
        </w:rPr>
      </w:pPr>
    </w:p>
    <w:p>
      <w:pPr>
        <w:jc w:val="both"/>
        <w:ind w:left="2260" w:hanging="6"/>
        <w:spacing w:after="0" w:line="260" w:lineRule="auto"/>
        <w:tabs>
          <w:tab w:leader="none" w:pos="2632" w:val="left"/>
        </w:tabs>
        <w:numPr>
          <w:ilvl w:val="1"/>
          <w:numId w:val="56"/>
        </w:numPr>
        <w:rPr>
          <w:rFonts w:ascii="Arial" w:cs="Arial" w:eastAsia="Arial" w:hAnsi="Arial"/>
          <w:sz w:val="20"/>
          <w:szCs w:val="20"/>
          <w:color w:val="auto"/>
        </w:rPr>
      </w:pPr>
      <w:r>
        <w:rPr>
          <w:rFonts w:ascii="Arial" w:cs="Arial" w:eastAsia="Arial" w:hAnsi="Arial"/>
          <w:sz w:val="20"/>
          <w:szCs w:val="20"/>
          <w:color w:val="auto"/>
        </w:rPr>
        <w:t>Assist others in doing anything prohibited by clause (i), (ii) or (iii) above. Due to the global nature of the Company’s business and its competition there is no applicable geographic restriction on the covenants set forth herein. The covenants in this Section 5(a) shall be specifically enforceable. However, the covenants in this Section 5(a) shall not be construed to prohibit the ownership of not more than one percent of the equity of any publicly-held entity engaged in direct competition with the Company, so long as Executive is not otherwise engaged with such entity in any of the other activities specified in Section 5(a)(i) through (iv) above.</w:t>
      </w:r>
    </w:p>
    <w:p>
      <w:pPr>
        <w:spacing w:after="0" w:line="164" w:lineRule="exact"/>
        <w:rPr>
          <w:rFonts w:ascii="Arial" w:cs="Arial" w:eastAsia="Arial" w:hAnsi="Arial"/>
          <w:sz w:val="20"/>
          <w:szCs w:val="20"/>
          <w:color w:val="auto"/>
        </w:rPr>
      </w:pPr>
    </w:p>
    <w:p>
      <w:pPr>
        <w:jc w:val="both"/>
        <w:ind w:firstLine="1505"/>
        <w:spacing w:after="0" w:line="266" w:lineRule="auto"/>
        <w:tabs>
          <w:tab w:leader="none" w:pos="2995"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Reformation and/or Severability of Covenants</w:t>
      </w:r>
      <w:r>
        <w:rPr>
          <w:rFonts w:ascii="Arial" w:cs="Arial" w:eastAsia="Arial" w:hAnsi="Arial"/>
          <w:sz w:val="20"/>
          <w:szCs w:val="20"/>
          <w:color w:val="auto"/>
        </w:rPr>
        <w:t>. If a court determines that any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foregoing covenants is an unenforceable restriction, the court is authorized and requested to revise such provision to include the maximum restriction allowed under applicable law. If any provision of this Agreement is determined to be in violation of any law, rule or regulation or otherwise unenforceable, and cannot be modified to be enforceable, such determination shall not affect the validity of any other provision of this Agreement, and such other</w:t>
      </w:r>
    </w:p>
    <w:p>
      <w:pPr>
        <w:spacing w:after="0" w:line="161"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0" w:name="page111"/>
    <w:bookmarkEnd w:id="110"/>
    <w:p>
      <w:pPr>
        <w:spacing w:after="0" w:line="299" w:lineRule="auto"/>
        <w:rPr>
          <w:sz w:val="20"/>
          <w:szCs w:val="20"/>
          <w:color w:val="auto"/>
        </w:rPr>
      </w:pPr>
      <w:r>
        <w:rPr>
          <w:rFonts w:ascii="Arial" w:cs="Arial" w:eastAsia="Arial" w:hAnsi="Arial"/>
          <w:sz w:val="20"/>
          <w:szCs w:val="20"/>
          <w:color w:val="auto"/>
        </w:rPr>
        <w:t>provisions shall remain in full force and effect. Each provision, paragraph and subparagraph of this Agreement is severable from every other provision, paragraph and subparagraph and constitutes a separate and distinct covenant.</w:t>
      </w:r>
    </w:p>
    <w:p>
      <w:pPr>
        <w:spacing w:after="0" w:line="122" w:lineRule="exact"/>
        <w:rPr>
          <w:sz w:val="20"/>
          <w:szCs w:val="20"/>
          <w:color w:val="auto"/>
        </w:rPr>
      </w:pPr>
    </w:p>
    <w:p>
      <w:pPr>
        <w:jc w:val="both"/>
        <w:ind w:firstLine="1505"/>
        <w:spacing w:after="0" w:line="243" w:lineRule="auto"/>
        <w:tabs>
          <w:tab w:leader="none" w:pos="2995"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Acknowledgment</w:t>
      </w:r>
      <w:r>
        <w:rPr>
          <w:rFonts w:ascii="Arial" w:cs="Arial" w:eastAsia="Arial" w:hAnsi="Arial"/>
          <w:sz w:val="22"/>
          <w:szCs w:val="22"/>
          <w:color w:val="auto"/>
        </w:rPr>
        <w:t>. Executive acknowledges that the covenants made by Executive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are intended to protect the legitimate business interests of the Company and not to prevent or interfere with Executive’s ability to earn a living.</w:t>
      </w:r>
    </w:p>
    <w:p>
      <w:pPr>
        <w:spacing w:after="0" w:line="175" w:lineRule="exact"/>
        <w:rPr>
          <w:rFonts w:ascii="Arial" w:cs="Arial" w:eastAsia="Arial" w:hAnsi="Arial"/>
          <w:sz w:val="22"/>
          <w:szCs w:val="22"/>
          <w:b w:val="1"/>
          <w:bCs w:val="1"/>
          <w:color w:val="auto"/>
        </w:rPr>
      </w:pPr>
    </w:p>
    <w:p>
      <w:pPr>
        <w:jc w:val="both"/>
        <w:ind w:firstLine="757"/>
        <w:spacing w:after="0" w:line="234" w:lineRule="auto"/>
        <w:tabs>
          <w:tab w:leader="none" w:pos="1498"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Injunctive Relief; Legal Fees</w:t>
      </w:r>
      <w:r>
        <w:rPr>
          <w:rFonts w:ascii="Arial" w:cs="Arial" w:eastAsia="Arial" w:hAnsi="Arial"/>
          <w:sz w:val="22"/>
          <w:szCs w:val="22"/>
          <w:color w:val="auto"/>
        </w:rPr>
        <w:t>. If Executive violates any of the provisions of Section 4 or 5 hereof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“Applicable Sections”</w:t>
      </w:r>
      <w:r>
        <w:rPr>
          <w:rFonts w:ascii="Arial" w:cs="Arial" w:eastAsia="Arial" w:hAnsi="Arial"/>
          <w:sz w:val="22"/>
          <w:szCs w:val="22"/>
          <w:color w:val="auto"/>
        </w:rPr>
        <w:t>), the Company shall be entitled to seek and, if awarded by a court or arbitrator, obtain immediate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permanent injunctive relief in addition to all other rights and remedies it may have, it being agreed that a violation of the Applicable Sections would cause the Company irreparable harm, and the damages which the Company would sustain upon such violation are difficult or impossible to ascertain in advance. If the Company takes legal action to enforce the covenants contained in the Applicable Sections, or to enjoin Executive from violating the Applicable Sections, as part of its damages, the prevailing party shall be entitled to recover its reasonable legal costs and expenses for bringing and maintaining any such action from the losing party.</w:t>
      </w:r>
    </w:p>
    <w:p>
      <w:pPr>
        <w:spacing w:after="0" w:line="184" w:lineRule="exact"/>
        <w:rPr>
          <w:rFonts w:ascii="Arial" w:cs="Arial" w:eastAsia="Arial" w:hAnsi="Arial"/>
          <w:sz w:val="22"/>
          <w:szCs w:val="22"/>
          <w:b w:val="1"/>
          <w:bCs w:val="1"/>
          <w:color w:val="auto"/>
        </w:rPr>
      </w:pPr>
    </w:p>
    <w:p>
      <w:pPr>
        <w:jc w:val="both"/>
        <w:ind w:firstLine="757"/>
        <w:spacing w:after="0" w:line="262" w:lineRule="auto"/>
        <w:tabs>
          <w:tab w:leader="none" w:pos="1498"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No Conflict</w:t>
      </w:r>
      <w:r>
        <w:rPr>
          <w:rFonts w:ascii="Arial" w:cs="Arial" w:eastAsia="Arial" w:hAnsi="Arial"/>
          <w:sz w:val="20"/>
          <w:szCs w:val="20"/>
          <w:color w:val="auto"/>
        </w:rPr>
        <w:t>. Executive represents and warrants to the Company that (a) Executive has not signed any</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agreement, confidentiality agreement, non-competition covenant or the like with any other employer and (b) Executive’s employment with the Company will not violate any other agreement or arrangement Executive has or may have had with any other former employer. Executive covenants that under no circumstances shall Executive disclose to the Company or use for the benefit of the Company any confidential or proprietary information of any former employer or other third party, and Executive shall hold all such information in confidence, and shall comply with the terms of any and all applicable agreements between Executive and the third party with respect to such information.</w:t>
      </w:r>
    </w:p>
    <w:p>
      <w:pPr>
        <w:spacing w:after="0" w:line="157" w:lineRule="exact"/>
        <w:rPr>
          <w:rFonts w:ascii="Arial" w:cs="Arial" w:eastAsia="Arial" w:hAnsi="Arial"/>
          <w:sz w:val="20"/>
          <w:szCs w:val="20"/>
          <w:b w:val="1"/>
          <w:bCs w:val="1"/>
          <w:color w:val="auto"/>
        </w:rPr>
      </w:pPr>
    </w:p>
    <w:p>
      <w:pPr>
        <w:jc w:val="both"/>
        <w:ind w:firstLine="757"/>
        <w:spacing w:after="0" w:line="243" w:lineRule="auto"/>
        <w:tabs>
          <w:tab w:leader="none" w:pos="1498"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r>
        <w:rPr>
          <w:rFonts w:ascii="Arial" w:cs="Arial" w:eastAsia="Arial" w:hAnsi="Arial"/>
          <w:sz w:val="22"/>
          <w:szCs w:val="22"/>
          <w:color w:val="auto"/>
        </w:rPr>
        <w:t>. Executive and the Company each acknowledge that either party has the right to terminate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employment with the Company at any time for any reason whatsoever, with or without cause, pursuant to the following:</w:t>
      </w:r>
    </w:p>
    <w:p>
      <w:pPr>
        <w:spacing w:after="0" w:line="175" w:lineRule="exact"/>
        <w:rPr>
          <w:rFonts w:ascii="Arial" w:cs="Arial" w:eastAsia="Arial" w:hAnsi="Arial"/>
          <w:sz w:val="22"/>
          <w:szCs w:val="22"/>
          <w:b w:val="1"/>
          <w:bCs w:val="1"/>
          <w:color w:val="auto"/>
        </w:rPr>
      </w:pPr>
    </w:p>
    <w:p>
      <w:pPr>
        <w:ind w:firstLine="1505"/>
        <w:spacing w:after="0" w:line="256" w:lineRule="auto"/>
        <w:tabs>
          <w:tab w:leader="none" w:pos="2995"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by the Company Without Cause</w:t>
      </w:r>
      <w:r>
        <w:rPr>
          <w:rFonts w:ascii="Arial" w:cs="Arial" w:eastAsia="Arial" w:hAnsi="Arial"/>
          <w:sz w:val="22"/>
          <w:szCs w:val="22"/>
          <w:color w:val="auto"/>
        </w:rPr>
        <w:t>. Upon thirty (30) days’ written notice to</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or at the Company’s discretion, pay in lieu of notice;</w:t>
      </w:r>
    </w:p>
    <w:p>
      <w:pPr>
        <w:spacing w:after="0" w:line="161" w:lineRule="exact"/>
        <w:rPr>
          <w:rFonts w:ascii="Arial" w:cs="Arial" w:eastAsia="Arial" w:hAnsi="Arial"/>
          <w:sz w:val="22"/>
          <w:szCs w:val="22"/>
          <w:b w:val="1"/>
          <w:bCs w:val="1"/>
          <w:color w:val="auto"/>
        </w:rPr>
      </w:pPr>
    </w:p>
    <w:p>
      <w:pPr>
        <w:ind w:right="20" w:firstLine="1505"/>
        <w:spacing w:after="0" w:line="256" w:lineRule="auto"/>
        <w:tabs>
          <w:tab w:leader="none" w:pos="2995"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Disability</w:t>
      </w:r>
      <w:r>
        <w:rPr>
          <w:rFonts w:ascii="Arial" w:cs="Arial" w:eastAsia="Arial" w:hAnsi="Arial"/>
          <w:sz w:val="22"/>
          <w:szCs w:val="22"/>
          <w:color w:val="auto"/>
        </w:rPr>
        <w:t>. Immediately upon written notice to Executive, if Executive is prevented from</w:t>
      </w:r>
      <w:r>
        <w:rPr>
          <w:rFonts w:ascii="Arial" w:cs="Arial" w:eastAsia="Arial" w:hAnsi="Arial"/>
          <w:sz w:val="22"/>
          <w:szCs w:val="22"/>
          <w:b w:val="1"/>
          <w:bCs w:val="1"/>
          <w:color w:val="auto"/>
        </w:rPr>
        <w:t xml:space="preserve"> </w:t>
      </w:r>
      <w:r>
        <w:rPr>
          <w:rFonts w:ascii="Arial" w:cs="Arial" w:eastAsia="Arial" w:hAnsi="Arial"/>
          <w:sz w:val="22"/>
          <w:szCs w:val="22"/>
          <w:color w:val="auto"/>
        </w:rPr>
        <w:t>performing Executive’s duties by reason of illness or incapacity for a continuous period of 180 days;</w:t>
      </w:r>
    </w:p>
    <w:p>
      <w:pPr>
        <w:spacing w:after="0" w:line="161" w:lineRule="exact"/>
        <w:rPr>
          <w:rFonts w:ascii="Arial" w:cs="Arial" w:eastAsia="Arial" w:hAnsi="Arial"/>
          <w:sz w:val="22"/>
          <w:szCs w:val="22"/>
          <w:b w:val="1"/>
          <w:bCs w:val="1"/>
          <w:color w:val="auto"/>
        </w:rPr>
      </w:pPr>
    </w:p>
    <w:p>
      <w:pPr>
        <w:ind w:left="3000" w:hanging="1495"/>
        <w:spacing w:after="0"/>
        <w:tabs>
          <w:tab w:leader="none" w:pos="3000"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Death</w:t>
      </w:r>
      <w:r>
        <w:rPr>
          <w:rFonts w:ascii="Arial" w:cs="Arial" w:eastAsia="Arial" w:hAnsi="Arial"/>
          <w:sz w:val="22"/>
          <w:szCs w:val="22"/>
          <w:color w:val="auto"/>
        </w:rPr>
        <w:t>. Immediately upon the death of Executive; or</w:t>
      </w:r>
    </w:p>
    <w:p>
      <w:pPr>
        <w:spacing w:after="0" w:line="205" w:lineRule="exact"/>
        <w:rPr>
          <w:rFonts w:ascii="Arial" w:cs="Arial" w:eastAsia="Arial" w:hAnsi="Arial"/>
          <w:sz w:val="22"/>
          <w:szCs w:val="22"/>
          <w:b w:val="1"/>
          <w:bCs w:val="1"/>
          <w:color w:val="auto"/>
        </w:rPr>
      </w:pPr>
    </w:p>
    <w:p>
      <w:pPr>
        <w:jc w:val="both"/>
        <w:ind w:firstLine="1505"/>
        <w:spacing w:after="0" w:line="266" w:lineRule="auto"/>
        <w:tabs>
          <w:tab w:leader="none" w:pos="2995" w:val="left"/>
        </w:tabs>
        <w:numPr>
          <w:ilvl w:val="1"/>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by the Company for Cause</w:t>
      </w:r>
      <w:r>
        <w:rPr>
          <w:rFonts w:ascii="Arial" w:cs="Arial" w:eastAsia="Arial" w:hAnsi="Arial"/>
          <w:sz w:val="20"/>
          <w:szCs w:val="20"/>
          <w:color w:val="auto"/>
        </w:rPr>
        <w:t>. Immediately upon “Cause”, which for purposes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mean Executive’s (1) willful gross misconduct or gross or persistent negligence in the discharge of her duties; (2) act of dishonesty or concealment; (3) breach of her fiduciary duty or duty of loyalty to the Company; (4) a breach of Section 4 or 5 hereof; (5) any other material breach by Executive of this Agreement, which breach has not been cured by Executive within thirty (30) days after written notice of such breach is given to Executive</w:t>
      </w:r>
    </w:p>
    <w:p>
      <w:pPr>
        <w:spacing w:after="0" w:line="161"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1" w:name="page112"/>
    <w:bookmarkEnd w:id="111"/>
    <w:p>
      <w:pPr>
        <w:jc w:val="both"/>
        <w:spacing w:after="0" w:line="268" w:lineRule="auto"/>
        <w:rPr>
          <w:sz w:val="20"/>
          <w:szCs w:val="20"/>
          <w:color w:val="auto"/>
        </w:rPr>
      </w:pPr>
      <w:r>
        <w:rPr>
          <w:rFonts w:ascii="Arial" w:cs="Arial" w:eastAsia="Arial" w:hAnsi="Arial"/>
          <w:sz w:val="20"/>
          <w:szCs w:val="20"/>
          <w:color w:val="auto"/>
        </w:rPr>
        <w:t>by the Company; (6) commission of one or more acts of substance abuse which are materially injurious to the Company; (7) conviction or plea of no contest to a felony involving money or other property of the Company (excluding traffic or other similar violations); or (8) conviction or a plea of no contest to a criminal offense that would, if committed in the State of Colorado, constitute a felony under the laws of the State of Colorado or the United States of America.</w:t>
      </w:r>
    </w:p>
    <w:p>
      <w:pPr>
        <w:spacing w:after="0" w:line="153" w:lineRule="exact"/>
        <w:rPr>
          <w:sz w:val="20"/>
          <w:szCs w:val="20"/>
          <w:color w:val="auto"/>
        </w:rPr>
      </w:pPr>
    </w:p>
    <w:p>
      <w:pPr>
        <w:jc w:val="both"/>
        <w:ind w:firstLine="1505"/>
        <w:spacing w:after="0" w:line="243" w:lineRule="auto"/>
        <w:tabs>
          <w:tab w:leader="none" w:pos="2995" w:val="left"/>
        </w:tabs>
        <w:numPr>
          <w:ilvl w:val="1"/>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Voluntary Resignation</w:t>
      </w:r>
      <w:r>
        <w:rPr>
          <w:rFonts w:ascii="Arial" w:cs="Arial" w:eastAsia="Arial" w:hAnsi="Arial"/>
          <w:sz w:val="22"/>
          <w:szCs w:val="22"/>
          <w:color w:val="auto"/>
        </w:rPr>
        <w:t>. Executive may terminate Executive’s employment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upon thirty (30) days’ written notice to the Company. The Company, at its discretion, may waive the thirty (30) day notice requirement, and in such event shall be required to make any payments in lieu of notice.</w:t>
      </w:r>
    </w:p>
    <w:p>
      <w:pPr>
        <w:spacing w:after="0" w:line="175" w:lineRule="exact"/>
        <w:rPr>
          <w:rFonts w:ascii="Arial" w:cs="Arial" w:eastAsia="Arial" w:hAnsi="Arial"/>
          <w:sz w:val="22"/>
          <w:szCs w:val="22"/>
          <w:b w:val="1"/>
          <w:bCs w:val="1"/>
          <w:color w:val="auto"/>
        </w:rPr>
      </w:pPr>
    </w:p>
    <w:p>
      <w:pPr>
        <w:jc w:val="both"/>
        <w:ind w:firstLine="1505"/>
        <w:spacing w:after="0" w:line="257" w:lineRule="auto"/>
        <w:tabs>
          <w:tab w:leader="none" w:pos="2995" w:val="left"/>
        </w:tabs>
        <w:numPr>
          <w:ilvl w:val="1"/>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Resignation for Good Reason</w:t>
      </w:r>
      <w:r>
        <w:rPr>
          <w:rFonts w:ascii="Arial" w:cs="Arial" w:eastAsia="Arial" w:hAnsi="Arial"/>
          <w:sz w:val="20"/>
          <w:szCs w:val="20"/>
          <w:color w:val="auto"/>
        </w:rPr>
        <w:t>. Executive may terminate her employment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immediately upon a showing of “Good Reason,” which for purposes of this Agreement shall mean (1) a reduction by the Company in Executive’s Base Salary; (2) a material diminution of Executive’s duties or responsibilities such that such duties and responsibilities, when viewed in the aggregate, are not a least commensurate with those duties and responsibilities normally associated with and appropriate to her position; (3) the relocation of Executive’s principal place of employment to a geographic location more than fifty (50) miles from the Company’s headquarters as of the Effective Date; or (4) any material breach by the Company of its obligations to Executive hereunder. In the event that Executive believes that circumstances constituting “Good Reason” have occurred and Executive wishes to terminate her employment as a result of such occurrence, Executive must provide the Company written notice within 3 days from the initial existence of the occurrence. If within 30 days following the Company’s receipt of such notice it corrects the circumstances constituting “Good Reason,” then Executive shall not be entitled to terminate her employment under this Section 8(f) as a result of such circumstances. Furthermore, Executive shall not be entitled to terminate her employment under this Section 8(f) as a result of any circumstances constituting “Good Reason” unless her resignation occurs within 30 days following the expiration of the Company’s cure period.</w:t>
      </w:r>
    </w:p>
    <w:p>
      <w:pPr>
        <w:spacing w:after="0" w:line="200" w:lineRule="exact"/>
        <w:rPr>
          <w:rFonts w:ascii="Arial" w:cs="Arial" w:eastAsia="Arial" w:hAnsi="Arial"/>
          <w:sz w:val="20"/>
          <w:szCs w:val="20"/>
          <w:b w:val="1"/>
          <w:bCs w:val="1"/>
          <w:color w:val="auto"/>
        </w:rPr>
      </w:pPr>
    </w:p>
    <w:p>
      <w:pPr>
        <w:spacing w:after="0" w:line="212" w:lineRule="exact"/>
        <w:rPr>
          <w:rFonts w:ascii="Arial" w:cs="Arial" w:eastAsia="Arial" w:hAnsi="Arial"/>
          <w:sz w:val="20"/>
          <w:szCs w:val="20"/>
          <w:b w:val="1"/>
          <w:bCs w:val="1"/>
          <w:color w:val="auto"/>
        </w:rPr>
      </w:pPr>
    </w:p>
    <w:p>
      <w:pPr>
        <w:ind w:left="1500" w:hanging="743"/>
        <w:spacing w:after="0"/>
        <w:tabs>
          <w:tab w:leader="none" w:pos="15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Benefits</w:t>
      </w:r>
      <w:r>
        <w:rPr>
          <w:rFonts w:ascii="Arial" w:cs="Arial" w:eastAsia="Arial" w:hAnsi="Arial"/>
          <w:sz w:val="22"/>
          <w:szCs w:val="22"/>
          <w:color w:val="auto"/>
        </w:rPr>
        <w:t>.</w:t>
      </w:r>
    </w:p>
    <w:p>
      <w:pPr>
        <w:spacing w:after="0" w:line="205" w:lineRule="exact"/>
        <w:rPr>
          <w:rFonts w:ascii="Arial" w:cs="Arial" w:eastAsia="Arial" w:hAnsi="Arial"/>
          <w:sz w:val="22"/>
          <w:szCs w:val="22"/>
          <w:b w:val="1"/>
          <w:bCs w:val="1"/>
          <w:color w:val="auto"/>
        </w:rPr>
      </w:pPr>
    </w:p>
    <w:p>
      <w:pPr>
        <w:jc w:val="both"/>
        <w:ind w:firstLine="1505"/>
        <w:spacing w:after="0" w:line="258" w:lineRule="auto"/>
        <w:tabs>
          <w:tab w:leader="none" w:pos="2995"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by the Company Without Cause or Resignation for Good Reason</w:t>
      </w:r>
      <w:r>
        <w:rPr>
          <w:rFonts w:ascii="Arial" w:cs="Arial" w:eastAsia="Arial" w:hAnsi="Arial"/>
          <w:sz w:val="20"/>
          <w:szCs w:val="20"/>
          <w:color w:val="auto"/>
        </w:rPr>
        <w:t>. If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Executive is terminated under Section 8(a) or resigns for Good Reason under Section 8(f), and following the execution (and expiration of any revocation period), not later than 45 days following the termination date, of a separation agreement containing a general release of all claims against Parent, the Company and its Affiliates, the Company shall pay Executive an amount equal to twelve (12) months of Executive’s then-current Base Salary, payable in installments as set forth hereinafter (each such payment a </w:t>
      </w:r>
      <w:r>
        <w:rPr>
          <w:rFonts w:ascii="Arial" w:cs="Arial" w:eastAsia="Arial" w:hAnsi="Arial"/>
          <w:sz w:val="20"/>
          <w:szCs w:val="20"/>
          <w:b w:val="1"/>
          <w:bCs w:val="1"/>
          <w:i w:val="1"/>
          <w:iCs w:val="1"/>
          <w:color w:val="auto"/>
        </w:rPr>
        <w:t>“Severance Payment”</w:t>
      </w:r>
      <w:r>
        <w:rPr>
          <w:rFonts w:ascii="Arial" w:cs="Arial" w:eastAsia="Arial" w:hAnsi="Arial"/>
          <w:sz w:val="20"/>
          <w:szCs w:val="20"/>
          <w:color w:val="auto"/>
        </w:rPr>
        <w:t>). The Severance Payments shall be payable in installments, by direct deposit, in accordance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normal payroll practices. The first installment of the Severance Payments shall be made on the first payroll date after the execution (and expiration of any revocation period) of such separation agreement or, if the 45-day period following the termination date spans two calendar years and the Severance Payment is subject to Section 409A of the Internal Revenue Code, after such 45-day period, and shall include all installments of the Severance Payments that would have been paid if the general release of claims had been fully effective on the termination date. In addition, during the twelve (12) months following termination, should Executive timely elect to continue coverage pursuant</w:t>
      </w:r>
    </w:p>
    <w:p>
      <w:pPr>
        <w:spacing w:after="0" w:line="16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2" w:name="page113"/>
    <w:bookmarkEnd w:id="112"/>
    <w:p>
      <w:pPr>
        <w:jc w:val="both"/>
        <w:spacing w:after="0" w:line="264" w:lineRule="auto"/>
        <w:rPr>
          <w:sz w:val="20"/>
          <w:szCs w:val="20"/>
          <w:color w:val="auto"/>
        </w:rPr>
      </w:pPr>
      <w:r>
        <w:rPr>
          <w:rFonts w:ascii="Arial" w:cs="Arial" w:eastAsia="Arial" w:hAnsi="Arial"/>
          <w:sz w:val="20"/>
          <w:szCs w:val="20"/>
          <w:color w:val="auto"/>
        </w:rPr>
        <w:t>to COBRA, the Company agrees to reimburse Executive for the COBRA premiums due to maintain health insurance coverage that is substantially equivalent to that which she received immediately prior to Executive’s termination. The Company shall also pay Executive (i) any salary earned but unpaid prior to termination, (ii) any business expenses incurred but not reimbursed as of the date of termination, and (iii) any award under the annual bonus program referred to in Section 3(a) that has been approved by the Chief Executive Officer and Parent’s Board of Directors but not paid prior to termination.</w:t>
      </w:r>
    </w:p>
    <w:p>
      <w:pPr>
        <w:spacing w:after="0" w:line="158" w:lineRule="exact"/>
        <w:rPr>
          <w:sz w:val="20"/>
          <w:szCs w:val="20"/>
          <w:color w:val="auto"/>
        </w:rPr>
      </w:pPr>
    </w:p>
    <w:p>
      <w:pPr>
        <w:jc w:val="both"/>
        <w:ind w:firstLine="1505"/>
        <w:spacing w:after="0" w:line="279" w:lineRule="auto"/>
        <w:tabs>
          <w:tab w:leader="none" w:pos="2995" w:val="left"/>
        </w:tabs>
        <w:numPr>
          <w:ilvl w:val="1"/>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Other Termination</w:t>
      </w:r>
      <w:r>
        <w:rPr>
          <w:rFonts w:ascii="Arial" w:cs="Arial" w:eastAsia="Arial" w:hAnsi="Arial"/>
          <w:sz w:val="20"/>
          <w:szCs w:val="20"/>
          <w:color w:val="auto"/>
        </w:rPr>
        <w:t>. In all other cases, the Company’s obligation to make payments</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shall cease upon such termination, except the Company shall pay Executive (i) any salary earned but unpaid prior to termination, and (ii) any business expenses incurred but not reimbursed as of the date of termination.</w:t>
      </w:r>
    </w:p>
    <w:p>
      <w:pPr>
        <w:spacing w:after="0" w:line="141" w:lineRule="exact"/>
        <w:rPr>
          <w:rFonts w:ascii="Arial" w:cs="Arial" w:eastAsia="Arial" w:hAnsi="Arial"/>
          <w:sz w:val="20"/>
          <w:szCs w:val="20"/>
          <w:b w:val="1"/>
          <w:bCs w:val="1"/>
          <w:color w:val="auto"/>
        </w:rPr>
      </w:pPr>
    </w:p>
    <w:p>
      <w:pPr>
        <w:ind w:firstLine="1505"/>
        <w:spacing w:after="0" w:line="256" w:lineRule="auto"/>
        <w:tabs>
          <w:tab w:leader="none" w:pos="2995" w:val="left"/>
        </w:tabs>
        <w:numPr>
          <w:ilvl w:val="1"/>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Survival of Obligations</w:t>
      </w:r>
      <w:r>
        <w:rPr>
          <w:rFonts w:ascii="Arial" w:cs="Arial" w:eastAsia="Arial" w:hAnsi="Arial"/>
          <w:sz w:val="22"/>
          <w:szCs w:val="22"/>
          <w:color w:val="auto"/>
        </w:rPr>
        <w:t>. Executive’s obligations pursuant to Sections 4 and 5 shall survive</w:t>
      </w:r>
      <w:r>
        <w:rPr>
          <w:rFonts w:ascii="Arial" w:cs="Arial" w:eastAsia="Arial" w:hAnsi="Arial"/>
          <w:sz w:val="22"/>
          <w:szCs w:val="22"/>
          <w:b w:val="1"/>
          <w:bCs w:val="1"/>
          <w:color w:val="auto"/>
        </w:rPr>
        <w:t xml:space="preserve"> </w:t>
      </w:r>
      <w:r>
        <w:rPr>
          <w:rFonts w:ascii="Arial" w:cs="Arial" w:eastAsia="Arial" w:hAnsi="Arial"/>
          <w:sz w:val="22"/>
          <w:szCs w:val="22"/>
          <w:color w:val="auto"/>
        </w:rPr>
        <w:t>the expiration of the term of Executive’s employment under this Agreement or any early termination thereof.</w:t>
      </w:r>
    </w:p>
    <w:p>
      <w:pPr>
        <w:spacing w:after="0" w:line="161" w:lineRule="exact"/>
        <w:rPr>
          <w:rFonts w:ascii="Arial" w:cs="Arial" w:eastAsia="Arial" w:hAnsi="Arial"/>
          <w:sz w:val="22"/>
          <w:szCs w:val="22"/>
          <w:b w:val="1"/>
          <w:bCs w:val="1"/>
          <w:color w:val="auto"/>
        </w:rPr>
      </w:pPr>
    </w:p>
    <w:p>
      <w:pPr>
        <w:jc w:val="both"/>
        <w:ind w:firstLine="1505"/>
        <w:spacing w:after="0" w:line="283" w:lineRule="auto"/>
        <w:tabs>
          <w:tab w:leader="none" w:pos="2995" w:val="left"/>
        </w:tabs>
        <w:numPr>
          <w:ilvl w:val="1"/>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Returns</w:t>
      </w:r>
      <w:r>
        <w:rPr>
          <w:rFonts w:ascii="Arial" w:cs="Arial" w:eastAsia="Arial" w:hAnsi="Arial"/>
          <w:sz w:val="19"/>
          <w:szCs w:val="19"/>
          <w:color w:val="auto"/>
        </w:rPr>
        <w:t>. Upon termination of Executive’s employment under this Agreement, or as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requested by the Company, immediately upon the Company’s request, Executive shall return to the Company all Company files, notes, business plans and forecasts, financial information, computer-recorded information, tangible property including computers, software, credit cards, entry cards, identification badges, cell phones, pager, keys, tools, equipment and any materials of any kind which contain or embody any proprietary or confidential information of the Company (and all reproductions thereof).</w:t>
      </w:r>
    </w:p>
    <w:p>
      <w:pPr>
        <w:spacing w:after="0" w:line="141" w:lineRule="exact"/>
        <w:rPr>
          <w:rFonts w:ascii="Arial" w:cs="Arial" w:eastAsia="Arial" w:hAnsi="Arial"/>
          <w:sz w:val="19"/>
          <w:szCs w:val="19"/>
          <w:b w:val="1"/>
          <w:bCs w:val="1"/>
          <w:color w:val="auto"/>
        </w:rPr>
      </w:pPr>
    </w:p>
    <w:p>
      <w:pPr>
        <w:jc w:val="both"/>
        <w:ind w:firstLine="757"/>
        <w:spacing w:after="0" w:line="280" w:lineRule="auto"/>
        <w:tabs>
          <w:tab w:leader="none" w:pos="1498"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All notices, reports, records or other communications which are required or permitted to be given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under this Agreement shall be sufficient in all respects if given in writing and delivered in person, by telecopy, by overnight courier, or by registered or certified mail, postage prepaid, return receipt requested, to the receiving party at the address listed on the first page of this Agreement, or to such other address as such party may have given to the other by notice pursuant to this Section 10. Notice shall be deemed given on the date of delivery, in the case of personal delivery or telecopy, or on the delivery or refusal date, as specified on the return receipt, in the case of overnight courier or registered or certified mail.</w:t>
      </w:r>
    </w:p>
    <w:p>
      <w:pPr>
        <w:spacing w:after="0" w:line="142" w:lineRule="exact"/>
        <w:rPr>
          <w:rFonts w:ascii="Arial" w:cs="Arial" w:eastAsia="Arial" w:hAnsi="Arial"/>
          <w:sz w:val="19"/>
          <w:szCs w:val="19"/>
          <w:b w:val="1"/>
          <w:bCs w:val="1"/>
          <w:color w:val="auto"/>
        </w:rPr>
      </w:pPr>
    </w:p>
    <w:p>
      <w:pPr>
        <w:jc w:val="both"/>
        <w:ind w:firstLine="757"/>
        <w:spacing w:after="0" w:line="236" w:lineRule="auto"/>
        <w:tabs>
          <w:tab w:leader="none" w:pos="1498"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Further Assurances</w:t>
      </w:r>
      <w:r>
        <w:rPr>
          <w:rFonts w:ascii="Arial" w:cs="Arial" w:eastAsia="Arial" w:hAnsi="Arial"/>
          <w:sz w:val="22"/>
          <w:szCs w:val="22"/>
          <w:color w:val="auto"/>
        </w:rPr>
        <w:t>. The parties shall cooperate fully with each other and execute such further instruments,</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and agreements, and shall give such further written assurances, as may be reasonably requested by one another to better evidence and reflect the transactions described herein and contemplated hereby and to carry into effect the intent and purposes of this Agreement. Without limiting the generality of the foregoing, Executive shall cooperate fully in assisting the Company to comply with contractual obligations of the Company to third parties regarding Inventions, Trade Secrets and copyrights.</w:t>
      </w:r>
    </w:p>
    <w:p>
      <w:pPr>
        <w:spacing w:after="0" w:line="179" w:lineRule="exact"/>
        <w:rPr>
          <w:rFonts w:ascii="Arial" w:cs="Arial" w:eastAsia="Arial" w:hAnsi="Arial"/>
          <w:sz w:val="22"/>
          <w:szCs w:val="22"/>
          <w:b w:val="1"/>
          <w:bCs w:val="1"/>
          <w:color w:val="auto"/>
        </w:rPr>
      </w:pPr>
    </w:p>
    <w:p>
      <w:pPr>
        <w:ind w:right="20" w:firstLine="757"/>
        <w:spacing w:after="0" w:line="256" w:lineRule="auto"/>
        <w:tabs>
          <w:tab w:leader="none" w:pos="1498"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Waiver of Breach</w:t>
      </w:r>
      <w:r>
        <w:rPr>
          <w:rFonts w:ascii="Arial" w:cs="Arial" w:eastAsia="Arial" w:hAnsi="Arial"/>
          <w:sz w:val="22"/>
          <w:szCs w:val="22"/>
          <w:color w:val="auto"/>
        </w:rPr>
        <w:t>. A waiver by the Company of a breach of any provision of this Agreement by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operate or be construed as a waiver of any subsequent breach by Executive.</w:t>
      </w:r>
    </w:p>
    <w:p>
      <w:pPr>
        <w:spacing w:after="0" w:line="16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3" w:name="page114"/>
    <w:bookmarkEnd w:id="113"/>
    <w:p>
      <w:pPr>
        <w:jc w:val="both"/>
        <w:ind w:left="-440" w:firstLine="757"/>
        <w:spacing w:after="0" w:line="243" w:lineRule="auto"/>
        <w:tabs>
          <w:tab w:leader="none" w:pos="1058"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Applicable Law</w:t>
      </w:r>
      <w:r>
        <w:rPr>
          <w:rFonts w:ascii="Arial" w:cs="Arial" w:eastAsia="Arial" w:hAnsi="Arial"/>
          <w:sz w:val="22"/>
          <w:szCs w:val="22"/>
          <w:color w:val="auto"/>
        </w:rPr>
        <w:t>. This Agreement shall be governed by and construed in accordance with the laws of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of Colorado. Any action pursuant to Section 4 or 5 above may be brought in the Courts in the State of Colorado, and by execution of this Agreement, Executive irrevocably submits to such jurisdiction.</w:t>
      </w:r>
    </w:p>
    <w:p>
      <w:pPr>
        <w:spacing w:after="0" w:line="175" w:lineRule="exact"/>
        <w:rPr>
          <w:rFonts w:ascii="Arial" w:cs="Arial" w:eastAsia="Arial" w:hAnsi="Arial"/>
          <w:sz w:val="22"/>
          <w:szCs w:val="22"/>
          <w:b w:val="1"/>
          <w:bCs w:val="1"/>
          <w:color w:val="auto"/>
        </w:rPr>
      </w:pPr>
    </w:p>
    <w:p>
      <w:pPr>
        <w:ind w:left="1060" w:hanging="743"/>
        <w:spacing w:after="0"/>
        <w:tabs>
          <w:tab w:leader="none" w:pos="10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w:t>
      </w:r>
    </w:p>
    <w:p>
      <w:pPr>
        <w:spacing w:after="0" w:line="211" w:lineRule="exact"/>
        <w:rPr>
          <w:rFonts w:ascii="Arial" w:cs="Arial" w:eastAsia="Arial" w:hAnsi="Arial"/>
          <w:sz w:val="22"/>
          <w:szCs w:val="22"/>
          <w:b w:val="1"/>
          <w:bCs w:val="1"/>
          <w:color w:val="auto"/>
        </w:rPr>
      </w:pPr>
    </w:p>
    <w:p>
      <w:pPr>
        <w:jc w:val="both"/>
        <w:ind w:left="-440" w:firstLine="1505"/>
        <w:spacing w:after="0" w:line="268" w:lineRule="auto"/>
        <w:tabs>
          <w:tab w:leader="none" w:pos="2555" w:val="left"/>
        </w:tabs>
        <w:numPr>
          <w:ilvl w:val="1"/>
          <w:numId w:val="64"/>
        </w:numPr>
        <w:rPr>
          <w:rFonts w:ascii="Arial" w:cs="Arial" w:eastAsia="Arial" w:hAnsi="Arial"/>
          <w:sz w:val="20"/>
          <w:szCs w:val="20"/>
          <w:b w:val="1"/>
          <w:bCs w:val="1"/>
          <w:color w:val="auto"/>
        </w:rPr>
      </w:pPr>
      <w:r>
        <w:rPr>
          <w:rFonts w:ascii="Arial" w:cs="Arial" w:eastAsia="Arial" w:hAnsi="Arial"/>
          <w:sz w:val="20"/>
          <w:szCs w:val="20"/>
          <w:color w:val="auto"/>
        </w:rPr>
        <w:t>Any dispute arising in connection with this Agreement or Executive’s employment with the Company, except for equitable or injunctive actions pursuant to Section 4 or 5 above, or claims by Executive for workers’ compensation, unemployment compensation or benefits under a Company benefits plan, shall be submitted to final and binding arbitration. Judgment upon any award rendered by arbitration may be entered in any court having jurisdiction thereof.</w:t>
      </w:r>
    </w:p>
    <w:p>
      <w:pPr>
        <w:spacing w:after="0" w:line="159" w:lineRule="exact"/>
        <w:rPr>
          <w:rFonts w:ascii="Arial" w:cs="Arial" w:eastAsia="Arial" w:hAnsi="Arial"/>
          <w:sz w:val="20"/>
          <w:szCs w:val="20"/>
          <w:b w:val="1"/>
          <w:bCs w:val="1"/>
          <w:color w:val="auto"/>
        </w:rPr>
      </w:pPr>
    </w:p>
    <w:p>
      <w:pPr>
        <w:jc w:val="both"/>
        <w:ind w:left="-440" w:firstLine="1505"/>
        <w:spacing w:after="0" w:line="237" w:lineRule="auto"/>
        <w:tabs>
          <w:tab w:leader="none" w:pos="2555"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The arbitrator shall be selected by the mutual agreement of the parties. Any arbitrator selected shall be a professional having at least ten years of experience in labor or employment related practice areas. If the amount in dispute exceeds $250,000, the parties shall select, by mutual agreement, a panel of three arbitrators, rather than one arbitrator, to resolve the dispute.</w:t>
      </w:r>
    </w:p>
    <w:p>
      <w:pPr>
        <w:spacing w:after="0" w:line="187" w:lineRule="exact"/>
        <w:rPr>
          <w:rFonts w:ascii="Arial" w:cs="Arial" w:eastAsia="Arial" w:hAnsi="Arial"/>
          <w:sz w:val="22"/>
          <w:szCs w:val="22"/>
          <w:b w:val="1"/>
          <w:bCs w:val="1"/>
          <w:color w:val="auto"/>
        </w:rPr>
      </w:pPr>
    </w:p>
    <w:p>
      <w:pPr>
        <w:jc w:val="both"/>
        <w:ind w:left="-440" w:firstLine="1505"/>
        <w:spacing w:after="0" w:line="281" w:lineRule="auto"/>
        <w:tabs>
          <w:tab w:leader="none" w:pos="2555" w:val="left"/>
        </w:tabs>
        <w:numPr>
          <w:ilvl w:val="1"/>
          <w:numId w:val="64"/>
        </w:numPr>
        <w:rPr>
          <w:rFonts w:ascii="Arial" w:cs="Arial" w:eastAsia="Arial" w:hAnsi="Arial"/>
          <w:sz w:val="19"/>
          <w:szCs w:val="19"/>
          <w:b w:val="1"/>
          <w:bCs w:val="1"/>
          <w:color w:val="auto"/>
        </w:rPr>
      </w:pPr>
      <w:r>
        <w:rPr>
          <w:rFonts w:ascii="Arial" w:cs="Arial" w:eastAsia="Arial" w:hAnsi="Arial"/>
          <w:sz w:val="19"/>
          <w:szCs w:val="19"/>
          <w:color w:val="auto"/>
        </w:rPr>
        <w:t>The arbitration shall be conducted in Denver, Colorado (unless the corporate headquarters of the Company shall have been moved to another location, in which case the arbitration shall be conducted in such location). Reasonable discovery shall be permitted as determined by the arbitrator or arbitrators. Both parties to an arbitration shall have the right to be represented by counsel. The attorneys’ fees and costs of the arbitrator and arbitration proceedings are to be shared equally between the parties, and all other costs and attorneys’ fees are to be paid by the party incurring such costs and fees.</w:t>
      </w:r>
    </w:p>
    <w:p>
      <w:pPr>
        <w:spacing w:after="0" w:line="150" w:lineRule="exact"/>
        <w:rPr>
          <w:rFonts w:ascii="Arial" w:cs="Arial" w:eastAsia="Arial" w:hAnsi="Arial"/>
          <w:sz w:val="19"/>
          <w:szCs w:val="19"/>
          <w:b w:val="1"/>
          <w:bCs w:val="1"/>
          <w:color w:val="auto"/>
        </w:rPr>
      </w:pPr>
    </w:p>
    <w:p>
      <w:pPr>
        <w:jc w:val="both"/>
        <w:ind w:left="-440" w:firstLine="1505"/>
        <w:spacing w:after="0" w:line="275" w:lineRule="auto"/>
        <w:tabs>
          <w:tab w:leader="none" w:pos="2555" w:val="left"/>
        </w:tabs>
        <w:numPr>
          <w:ilvl w:val="1"/>
          <w:numId w:val="64"/>
        </w:numPr>
        <w:rPr>
          <w:rFonts w:ascii="Arial" w:cs="Arial" w:eastAsia="Arial" w:hAnsi="Arial"/>
          <w:sz w:val="19"/>
          <w:szCs w:val="19"/>
          <w:b w:val="1"/>
          <w:bCs w:val="1"/>
          <w:color w:val="auto"/>
        </w:rPr>
      </w:pPr>
      <w:r>
        <w:rPr>
          <w:rFonts w:ascii="Arial" w:cs="Arial" w:eastAsia="Arial" w:hAnsi="Arial"/>
          <w:sz w:val="19"/>
          <w:szCs w:val="19"/>
          <w:color w:val="auto"/>
        </w:rPr>
        <w:t xml:space="preserve">Except as otherwise provided herein, this arbitration procedure is the exclusive remedy for any contractual, non-contractual or statutory claim of any kind, including claims arising under federal, state and local statutory law, including, but not limited to, the Age Discrimination in Employment Act of 1967, 29 U.S.C. § 621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Title VII of the Civil Rights Act of 1964, 42 U.S.C. § 2000e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Americans with Disabilities Act, 42 U.S.C. § 12101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Employee Retirement Income Security Act, 29 U.S.C. § 1001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Colorado Anti-Discrimination Act, C.R.S. 24-34-401, </w:t>
      </w:r>
      <w:r>
        <w:rPr>
          <w:rFonts w:ascii="Arial" w:cs="Arial" w:eastAsia="Arial" w:hAnsi="Arial"/>
          <w:sz w:val="19"/>
          <w:szCs w:val="19"/>
          <w:i w:val="1"/>
          <w:iCs w:val="1"/>
          <w:color w:val="auto"/>
        </w:rPr>
        <w:t>et seq.</w:t>
      </w:r>
      <w:r>
        <w:rPr>
          <w:rFonts w:ascii="Arial" w:cs="Arial" w:eastAsia="Arial" w:hAnsi="Arial"/>
          <w:sz w:val="19"/>
          <w:szCs w:val="19"/>
          <w:color w:val="auto"/>
        </w:rPr>
        <w:t>; and common law or equitable claims alleging breach of contract, defamation, fraud, outrageous conduct, promissory estoppel, violation of public policy, wrongful discharge or any other tort, contract or equitable theory. Executive agrees to exhaust any and all internal dispute resolution procedures established by the Company prior to pursuing arbitration under this Agreement.</w:t>
      </w:r>
    </w:p>
    <w:p>
      <w:pPr>
        <w:spacing w:after="0" w:line="148" w:lineRule="exact"/>
        <w:rPr>
          <w:rFonts w:ascii="Arial" w:cs="Arial" w:eastAsia="Arial" w:hAnsi="Arial"/>
          <w:sz w:val="19"/>
          <w:szCs w:val="19"/>
          <w:b w:val="1"/>
          <w:bCs w:val="1"/>
          <w:color w:val="auto"/>
        </w:rPr>
      </w:pPr>
    </w:p>
    <w:p>
      <w:pPr>
        <w:jc w:val="both"/>
        <w:ind w:left="-440" w:firstLine="757"/>
        <w:spacing w:after="0" w:line="243" w:lineRule="auto"/>
        <w:tabs>
          <w:tab w:leader="none" w:pos="1058"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provision of this Agreement shall be held by any Court of competent jurisdiction to be</w:t>
      </w:r>
      <w:r>
        <w:rPr>
          <w:rFonts w:ascii="Arial" w:cs="Arial" w:eastAsia="Arial" w:hAnsi="Arial"/>
          <w:sz w:val="22"/>
          <w:szCs w:val="22"/>
          <w:b w:val="1"/>
          <w:bCs w:val="1"/>
          <w:color w:val="auto"/>
        </w:rPr>
        <w:t xml:space="preserve"> </w:t>
      </w:r>
      <w:r>
        <w:rPr>
          <w:rFonts w:ascii="Arial" w:cs="Arial" w:eastAsia="Arial" w:hAnsi="Arial"/>
          <w:sz w:val="22"/>
          <w:szCs w:val="22"/>
          <w:color w:val="auto"/>
        </w:rPr>
        <w:t>illegal, void or unenforceable, such provision shall be of no force and effect, but the enforceability of all other provisions of this Agreement shall be unimpaired.</w:t>
      </w:r>
    </w:p>
    <w:p>
      <w:pPr>
        <w:spacing w:after="0" w:line="175" w:lineRule="exact"/>
        <w:rPr>
          <w:rFonts w:ascii="Arial" w:cs="Arial" w:eastAsia="Arial" w:hAnsi="Arial"/>
          <w:sz w:val="22"/>
          <w:szCs w:val="22"/>
          <w:b w:val="1"/>
          <w:bCs w:val="1"/>
          <w:color w:val="auto"/>
        </w:rPr>
      </w:pPr>
    </w:p>
    <w:p>
      <w:pPr>
        <w:jc w:val="both"/>
        <w:ind w:left="-440" w:firstLine="757"/>
        <w:spacing w:after="0" w:line="243" w:lineRule="auto"/>
        <w:tabs>
          <w:tab w:leader="none" w:pos="1058"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Binding Agreement</w:t>
      </w:r>
      <w:r>
        <w:rPr>
          <w:rFonts w:ascii="Arial" w:cs="Arial" w:eastAsia="Arial" w:hAnsi="Arial"/>
          <w:sz w:val="22"/>
          <w:szCs w:val="22"/>
          <w:color w:val="auto"/>
        </w:rPr>
        <w:t>. Executive shall not delegate or assign any of Executive’s rights or obligations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All of the terms and provisions of this Agreement shall be binding upon and inure to the benefit of and be enforceable by Executive, the Company and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217170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355" w:right="339" w:bottom="1440" w:gutter="0" w:footer="0" w:header="0"/>
        </w:sectPr>
      </w:pPr>
    </w:p>
    <w:bookmarkStart w:id="114" w:name="page115"/>
    <w:bookmarkEnd w:id="114"/>
    <w:p>
      <w:pPr>
        <w:jc w:val="both"/>
        <w:spacing w:after="0" w:line="237" w:lineRule="auto"/>
        <w:rPr>
          <w:sz w:val="20"/>
          <w:szCs w:val="20"/>
          <w:color w:val="auto"/>
        </w:rPr>
      </w:pPr>
      <w:r>
        <w:rPr>
          <w:rFonts w:ascii="Arial" w:cs="Arial" w:eastAsia="Arial" w:hAnsi="Arial"/>
          <w:sz w:val="22"/>
          <w:szCs w:val="22"/>
          <w:color w:val="auto"/>
        </w:rPr>
        <w:t xml:space="preserve">Company’s successors and assigns;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the Company may not assign this Agreement to any other person or entity without the prior written consent of Executive except (a) to Parent or (b) in connection with a sale, assignment or other transfer by the Company of all or a substantial portion of its assets or business, in each of which events assignment of this Agreement is expressly permitted without the consent of Executive.</w:t>
      </w:r>
    </w:p>
    <w:p>
      <w:pPr>
        <w:spacing w:after="0" w:line="181" w:lineRule="exact"/>
        <w:rPr>
          <w:sz w:val="20"/>
          <w:szCs w:val="20"/>
          <w:color w:val="auto"/>
        </w:rPr>
      </w:pPr>
    </w:p>
    <w:p>
      <w:pPr>
        <w:jc w:val="both"/>
        <w:ind w:firstLine="757"/>
        <w:spacing w:after="0" w:line="239" w:lineRule="auto"/>
        <w:tabs>
          <w:tab w:leader="none" w:pos="1498"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Merger; Amendment</w:t>
      </w:r>
      <w:r>
        <w:rPr>
          <w:rFonts w:ascii="Arial" w:cs="Arial" w:eastAsia="Arial" w:hAnsi="Arial"/>
          <w:sz w:val="22"/>
          <w:szCs w:val="22"/>
          <w:color w:val="auto"/>
        </w:rPr>
        <w:t>. This Agreement sets forth the entire understanding of the parties with respect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subject matter hereof and no other statement, representation, warranty or covenant has been made by either party except as expressly set forth herein. This Agreement may be amended at any time,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amendment is in writing and is signed by each of the parties.</w:t>
      </w:r>
    </w:p>
    <w:p>
      <w:pPr>
        <w:spacing w:after="0" w:line="178" w:lineRule="exact"/>
        <w:rPr>
          <w:rFonts w:ascii="Arial" w:cs="Arial" w:eastAsia="Arial" w:hAnsi="Arial"/>
          <w:sz w:val="22"/>
          <w:szCs w:val="22"/>
          <w:b w:val="1"/>
          <w:bCs w:val="1"/>
          <w:color w:val="auto"/>
        </w:rPr>
      </w:pPr>
    </w:p>
    <w:p>
      <w:pPr>
        <w:jc w:val="both"/>
        <w:ind w:firstLine="757"/>
        <w:spacing w:after="0" w:line="237" w:lineRule="auto"/>
        <w:tabs>
          <w:tab w:leader="none" w:pos="1498"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Employment</w:t>
      </w:r>
      <w:r>
        <w:rPr>
          <w:rFonts w:ascii="Arial" w:cs="Arial" w:eastAsia="Arial" w:hAnsi="Arial"/>
          <w:sz w:val="22"/>
          <w:szCs w:val="22"/>
          <w:color w:val="auto"/>
        </w:rPr>
        <w:t>. EXECUTIVE IS EMPLOYED WITH THE COMPANY FOR NO SPECIFIC TERM</w:t>
      </w:r>
      <w:r>
        <w:rPr>
          <w:rFonts w:ascii="Arial" w:cs="Arial" w:eastAsia="Arial" w:hAnsi="Arial"/>
          <w:sz w:val="22"/>
          <w:szCs w:val="22"/>
          <w:b w:val="1"/>
          <w:bCs w:val="1"/>
          <w:color w:val="auto"/>
        </w:rPr>
        <w:t xml:space="preserve"> </w:t>
      </w:r>
      <w:r>
        <w:rPr>
          <w:rFonts w:ascii="Arial" w:cs="Arial" w:eastAsia="Arial" w:hAnsi="Arial"/>
          <w:sz w:val="22"/>
          <w:szCs w:val="22"/>
          <w:color w:val="auto"/>
        </w:rPr>
        <w:t>OF EMPLOYMENT, AND IS EMPLOYED AT THE WILL OF THE COMPANY. NOTHING IN THIS AGREEMENT SHALL IN ANY WAY RESTRICT EXECUTIVE’S RIGHT OR THE RIGHT OF THE COMPANY TO TERMINATE EXECUTIVE’S EMPLOYMENT AT ANY TIME, FOR ANY REASON OR FOR NO REASON, WITH OR WITHOUT CAUSE AND WITH OR WITHOUT NOTICE.</w:t>
      </w:r>
    </w:p>
    <w:p>
      <w:pPr>
        <w:spacing w:after="0" w:line="180" w:lineRule="exact"/>
        <w:rPr>
          <w:rFonts w:ascii="Arial" w:cs="Arial" w:eastAsia="Arial" w:hAnsi="Arial"/>
          <w:sz w:val="22"/>
          <w:szCs w:val="22"/>
          <w:b w:val="1"/>
          <w:bCs w:val="1"/>
          <w:color w:val="auto"/>
        </w:rPr>
      </w:pPr>
    </w:p>
    <w:p>
      <w:pPr>
        <w:jc w:val="both"/>
        <w:ind w:firstLine="757"/>
        <w:spacing w:after="0" w:line="255" w:lineRule="auto"/>
        <w:tabs>
          <w:tab w:leader="none" w:pos="1498"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Section 409A</w:t>
      </w:r>
      <w:r>
        <w:rPr>
          <w:rFonts w:ascii="Arial" w:cs="Arial" w:eastAsia="Arial" w:hAnsi="Arial"/>
          <w:sz w:val="20"/>
          <w:szCs w:val="20"/>
          <w:color w:val="auto"/>
        </w:rPr>
        <w:t>. This Agreement is intended to comply with the requirements of Section 409A of the Internal</w:t>
      </w:r>
      <w:r>
        <w:rPr>
          <w:rFonts w:ascii="Arial" w:cs="Arial" w:eastAsia="Arial" w:hAnsi="Arial"/>
          <w:sz w:val="20"/>
          <w:szCs w:val="20"/>
          <w:b w:val="1"/>
          <w:bCs w:val="1"/>
          <w:color w:val="auto"/>
        </w:rPr>
        <w:t xml:space="preserve"> </w:t>
      </w:r>
      <w:r>
        <w:rPr>
          <w:rFonts w:ascii="Arial" w:cs="Arial" w:eastAsia="Arial" w:hAnsi="Arial"/>
          <w:sz w:val="20"/>
          <w:szCs w:val="20"/>
          <w:color w:val="auto"/>
        </w:rPr>
        <w:t>Revenue Code of 1986, as amended (the “</w:t>
      </w:r>
      <w:r>
        <w:rPr>
          <w:rFonts w:ascii="Arial" w:cs="Arial" w:eastAsia="Arial" w:hAnsi="Arial"/>
          <w:sz w:val="20"/>
          <w:szCs w:val="20"/>
          <w:b w:val="1"/>
          <w:bCs w:val="1"/>
          <w:i w:val="1"/>
          <w:iCs w:val="1"/>
          <w:color w:val="auto"/>
        </w:rPr>
        <w:t>Code</w:t>
      </w:r>
      <w:r>
        <w:rPr>
          <w:rFonts w:ascii="Arial" w:cs="Arial" w:eastAsia="Arial" w:hAnsi="Arial"/>
          <w:sz w:val="20"/>
          <w:szCs w:val="20"/>
          <w:color w:val="auto"/>
        </w:rPr>
        <w:t>”), and shall be interpreted and construed consistently with such intent. The payments to Executive pursuant to this Agreement are also intended to be exempt from Section 409A of the Code to the maximum extent possible, under the separation pay exemption pursuant to Treasury regulation §1.409A-1(b)(9)(iii), as short-term deferrals pursuant to Treasury regulation §1.409A-1(b)(4), or another applicable exemption under Section 409A of the Code or the Treasury regulations promulgated thereunder. In the event the terms of this Agreement would subject Executive to taxes or penalties under Section 409A of the Code (“</w:t>
      </w:r>
      <w:r>
        <w:rPr>
          <w:rFonts w:ascii="Arial" w:cs="Arial" w:eastAsia="Arial" w:hAnsi="Arial"/>
          <w:sz w:val="20"/>
          <w:szCs w:val="20"/>
          <w:b w:val="1"/>
          <w:bCs w:val="1"/>
          <w:i w:val="1"/>
          <w:iCs w:val="1"/>
          <w:color w:val="auto"/>
        </w:rPr>
        <w:t>409A Penalties</w:t>
      </w:r>
      <w:r>
        <w:rPr>
          <w:rFonts w:ascii="Arial" w:cs="Arial" w:eastAsia="Arial" w:hAnsi="Arial"/>
          <w:sz w:val="20"/>
          <w:szCs w:val="20"/>
          <w:color w:val="auto"/>
        </w:rPr>
        <w:t>”), the Company and Executive shall cooperate diligently to amend the terms of the Agreement to avoid such 409A Penalties, to the extent possible. To the extent any amounts under this Agreement are payable by reference to Executive’s “termination of employment” or similar terms, such term and similar terms shall be deemed to refer to Executive’s “separation from service,” within the meaning of Section 409A of the Code. Notwithstanding any other provision in this Agreement, if Executive is a “specified employee,” as defined in Section 409A of the Code, as of the date of Executive’s separation from service, then to the extent any amount payable under this Agreement (i) constitutes the payment of nonqualified deferred compensation, within the meaning of Section 409A of the Code, (ii) is payable upon Executive’s separation from service and (iii) under the terms of this Agreement would be payable prior to the six-month anniversary of Executive’s separation from service, such payment shall be delayed until the earlier to occur of (a) the six-month anniversary of the separation from service or (b) the date of Executive’s death. Any reimbursement payable to Executive pursuant to this Agreement shall be conditioned on the submission by Executive of all expense reports reasonably required by the Company under any applicable expense reimbursement policy, and shall be paid to Executive promptly following receipt of such expense reports, but in no event later than the last day of the calendar year following the calendar year in which Executive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w:t>
      </w:r>
    </w:p>
    <w:p>
      <w:pPr>
        <w:spacing w:after="0" w:line="186"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5" w:name="page116"/>
    <w:bookmarkEnd w:id="115"/>
    <w:p>
      <w:pPr>
        <w:jc w:val="both"/>
        <w:spacing w:after="0" w:line="234" w:lineRule="auto"/>
        <w:rPr>
          <w:sz w:val="20"/>
          <w:szCs w:val="20"/>
          <w:color w:val="auto"/>
        </w:rPr>
      </w:pPr>
      <w:r>
        <w:rPr>
          <w:rFonts w:ascii="Arial" w:cs="Arial" w:eastAsia="Arial" w:hAnsi="Arial"/>
          <w:sz w:val="22"/>
          <w:szCs w:val="22"/>
          <w:color w:val="auto"/>
        </w:rPr>
        <w:t>benefit pursuant to this Agreement shall not be subject to liquidation or exchange for any other benefit. Executive’s right to receive any installment payments under this Agreement, including without limitation any salary continuation payments that are payable in installments in accordance with the Company’s normal payroll practices, shall be treated as a right to receive a series of separate payments and, accordingly, each such installment payment shall at all times be considered a separate and distinct payment as permitted under Section 409A of the Code. Whenever a provision under this Agreement specifies a payment period with reference to a number of days, the actual date of payment within the specified period shall be within the sole discretion of the Company.</w:t>
      </w:r>
    </w:p>
    <w:p>
      <w:pPr>
        <w:spacing w:after="0" w:line="182" w:lineRule="exact"/>
        <w:rPr>
          <w:sz w:val="20"/>
          <w:szCs w:val="20"/>
          <w:color w:val="auto"/>
        </w:rPr>
      </w:pPr>
    </w:p>
    <w:p>
      <w:pPr>
        <w:ind w:firstLine="757"/>
        <w:spacing w:after="0" w:line="256" w:lineRule="auto"/>
        <w:tabs>
          <w:tab w:leader="none" w:pos="1498"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In addition to terms defined above and elsewhere in this Agreement, the following terms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meanings set forth below:</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i w:val="1"/>
          <w:iCs w:val="1"/>
          <w:color w:val="auto"/>
        </w:rPr>
        <w:t xml:space="preserve">“Affiliate” </w:t>
      </w:r>
      <w:r>
        <w:rPr>
          <w:rFonts w:ascii="Arial" w:cs="Arial" w:eastAsia="Arial" w:hAnsi="Arial"/>
          <w:sz w:val="22"/>
          <w:szCs w:val="22"/>
          <w:color w:val="auto"/>
        </w:rPr>
        <w:t>means (i) any parent or subsidiary of the Company and (ii) any person or entity that directly or indirectly, through one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more intermediaries, controls, is controlled by or is under common control with, the Company. For purposes of this definition, the terms “controls,” “is controlled by” or “is under common control with” shall mean the possession, direct or indirect, of the power to direct or cause the direction of the management and policies of a person or entity, whether through the ownership of voting securities, by contract or otherwise.</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i w:val="1"/>
          <w:iCs w:val="1"/>
          <w:color w:val="auto"/>
        </w:rPr>
        <w:t xml:space="preserve">“Air-to-Ground Communication” </w:t>
      </w:r>
      <w:r>
        <w:rPr>
          <w:rFonts w:ascii="Arial" w:cs="Arial" w:eastAsia="Arial" w:hAnsi="Arial"/>
          <w:sz w:val="22"/>
          <w:szCs w:val="22"/>
          <w:color w:val="auto"/>
        </w:rPr>
        <w:t>means (i) data and/or voice communications directly or indirectly between an aircraft and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ground, including communications between an aircraft and the ground transmitted in whole or in part by satellite, (ii) data and/or voice communications within an aircraft, including all communications to or from the cabin and/or the cockpit of an aircraft, (iii) any and all related products and services and (iv) any and all products and services directly supportive thereof. For the avoidance of doubt, Air-to-Ground Communications does not include communications by satellite that do not involve communication to or from an aircraft.</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i w:val="1"/>
          <w:iCs w:val="1"/>
          <w:color w:val="auto"/>
        </w:rPr>
        <w:t xml:space="preserve">“Competitive Business” </w:t>
      </w:r>
      <w:r>
        <w:rPr>
          <w:rFonts w:ascii="Arial" w:cs="Arial" w:eastAsia="Arial" w:hAnsi="Arial"/>
          <w:sz w:val="20"/>
          <w:szCs w:val="20"/>
          <w:color w:val="auto"/>
        </w:rPr>
        <w:t>means any business engaged in (i) providing Air-to-Ground Communications, (ii) assembling,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manufacturing, installing or selling equipment involved in or relating to Air-to-Ground Communications or (iii) any other business or activities that are substantially in competition with any other businesses in which the Company or any of its Affiliates engages in during Executive’s employment or is actively contemplating entering into during Executive’s employment. For purposes of this Agreement, in the event that a Competitive Business includes an organization with separate and distinct business units, to the extent possible, and upon the written approval of the Company, the term Competitive Business may be limited to only those business units(s) or persons of the Competitive Business that are engaged in, related to or become engaged in, or related to the business of Air-to-Ground Communications.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i w:val="1"/>
          <w:iCs w:val="1"/>
          <w:color w:val="auto"/>
        </w:rPr>
        <w:t xml:space="preserve">“Confidential Information” </w:t>
      </w:r>
      <w:r>
        <w:rPr>
          <w:rFonts w:ascii="Arial" w:cs="Arial" w:eastAsia="Arial" w:hAnsi="Arial"/>
          <w:sz w:val="19"/>
          <w:szCs w:val="19"/>
          <w:color w:val="auto"/>
        </w:rPr>
        <w:t>means all information relating to the Company, its Affiliates and their respective customers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suppliers considered by the Company or its Affiliates to be confidential and proprietary including, without limitation, (a) business plans, research, development and marketing strategies, customer names and lists, product and service prices and lines, processes, designs, formulae, methods, financial information, costs and supplies and (b) the Trade Secrets (as defined below). Confidential Information may include information which has been acquired or created by Executive or has otherwise become known to Executive through Executive’s employment with Company. Confidential Information may also include information belonging to</w:t>
      </w:r>
    </w:p>
    <w:p>
      <w:pPr>
        <w:spacing w:after="0" w:line="154"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6" w:name="page117"/>
    <w:bookmarkEnd w:id="116"/>
    <w:p>
      <w:pPr>
        <w:jc w:val="both"/>
        <w:spacing w:after="0" w:line="262" w:lineRule="auto"/>
        <w:rPr>
          <w:sz w:val="20"/>
          <w:szCs w:val="20"/>
          <w:color w:val="auto"/>
        </w:rPr>
      </w:pPr>
      <w:r>
        <w:rPr>
          <w:rFonts w:ascii="Arial" w:cs="Arial" w:eastAsia="Arial" w:hAnsi="Arial"/>
          <w:sz w:val="20"/>
          <w:szCs w:val="20"/>
          <w:color w:val="auto"/>
        </w:rPr>
        <w:t>the Company’s clients, customers or suppliers. “Confidential Information” shall not include the foregoing that is or becomes (i) in the public domain other than through acts by Executive, (ii) already lawfully in Executive’s possession at the time of disclosure by the Company as evidenced by Executive’s written records, (iii) disclosed to Executive by a third party who is not prohibited from disclosing the information pursuant to any fiduciary, contractual or other duty to any person or (iv) required by law, rule, regulation or court order to be disclosed. Confidential Information also does not include information that cannot be considered confidential under applicable law.</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i w:val="1"/>
          <w:iCs w:val="1"/>
          <w:color w:val="auto"/>
        </w:rPr>
        <w:t xml:space="preserve">“Existing Proprietary Rights” </w:t>
      </w:r>
      <w:r>
        <w:rPr>
          <w:rFonts w:ascii="Arial" w:cs="Arial" w:eastAsia="Arial" w:hAnsi="Arial"/>
          <w:sz w:val="20"/>
          <w:szCs w:val="20"/>
          <w:color w:val="auto"/>
        </w:rPr>
        <w:t>means all inventions, original works of authorship, developments, improvements and trade secrets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that Executive has, alone or jointly with others, made, conceived, developed or reduced to practice or caused to be made, conceived, developed or reduced to practice prior to the Effective Date, whether or not patentable or registrable under patent, copyright or similar statutes, a list of which is attached to this Agreement as </w:t>
      </w:r>
      <w:r>
        <w:rPr>
          <w:rFonts w:ascii="Arial" w:cs="Arial" w:eastAsia="Arial" w:hAnsi="Arial"/>
          <w:sz w:val="20"/>
          <w:szCs w:val="20"/>
          <w:b w:val="1"/>
          <w:bCs w:val="1"/>
          <w:color w:val="auto"/>
        </w:rPr>
        <w:t>Exhibit A</w:t>
      </w:r>
      <w:r>
        <w:rPr>
          <w:rFonts w:ascii="Arial" w:cs="Arial" w:eastAsia="Arial" w:hAnsi="Arial"/>
          <w:sz w:val="20"/>
          <w:szCs w:val="20"/>
          <w:color w:val="auto"/>
        </w:rPr>
        <w:t>.</w:t>
      </w:r>
    </w:p>
    <w:p>
      <w:pPr>
        <w:spacing w:after="0" w:line="15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i w:val="1"/>
          <w:iCs w:val="1"/>
          <w:color w:val="auto"/>
        </w:rPr>
        <w:t xml:space="preserve">“Inventions” </w:t>
      </w:r>
      <w:r>
        <w:rPr>
          <w:rFonts w:ascii="Arial" w:cs="Arial" w:eastAsia="Arial" w:hAnsi="Arial"/>
          <w:sz w:val="22"/>
          <w:szCs w:val="22"/>
          <w:color w:val="auto"/>
        </w:rPr>
        <w:t>means discoveries, concepts, ideas, methods, formulae, techniques, developments, know-how, inventions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improvements, whether or not patentable or registrable under patent, copyright or similar statutes, conceived of or made by Executive at any time, whether before, during or after business hours, or with the use of the Company’s resources, facilities, materials or personnel, either solely or jointly with others after the Effective Date and during Executive’s employment by the Company, or within one (1) year of the termination of Executive’s employment with the Company; and, if based on or related to the Company’s business, including, without limitation, existing and planned products and services and future products and services of the Company and its Affiliates.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i w:val="1"/>
          <w:iCs w:val="1"/>
          <w:color w:val="auto"/>
        </w:rPr>
        <w:t xml:space="preserve">“Trade Secrets” </w:t>
      </w:r>
      <w:r>
        <w:rPr>
          <w:rFonts w:ascii="Arial" w:cs="Arial" w:eastAsia="Arial" w:hAnsi="Arial"/>
          <w:sz w:val="20"/>
          <w:szCs w:val="20"/>
          <w:color w:val="auto"/>
        </w:rPr>
        <w:t>means any and all technology and information relating to the Company’s and its Affiliates’ business or their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respective patents, methods, formulae, software, know-how, designs, products, processes, services, research development, inventions, systems, engineering and manufacturing which have been designated as secret or confidential or are the subject of efforts that are reasonable under the circumstances to maintain their secrecy or confidentiality and which are sufficiently secret to derive economic value, actual or potential, from not being generally known to other persons.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The parties have executed this Agreement on the date first above written, effective as of the Effective Date.</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COMPANY:</w:t>
            </w:r>
          </w:p>
        </w:tc>
        <w:tc>
          <w:tcPr>
            <w:tcW w:w="2240" w:type="dxa"/>
            <w:vAlign w:val="bottom"/>
            <w:gridSpan w:val="2"/>
          </w:tcPr>
          <w:p>
            <w:pPr>
              <w:spacing w:after="0"/>
              <w:rPr>
                <w:sz w:val="20"/>
                <w:szCs w:val="20"/>
                <w:color w:val="auto"/>
              </w:rPr>
            </w:pPr>
            <w:r>
              <w:rPr>
                <w:rFonts w:ascii="Arial" w:cs="Arial" w:eastAsia="Arial" w:hAnsi="Arial"/>
                <w:sz w:val="22"/>
                <w:szCs w:val="22"/>
                <w:b w:val="1"/>
                <w:bCs w:val="1"/>
                <w:color w:val="auto"/>
              </w:rPr>
              <w:t>EXECUTIVE:</w:t>
            </w:r>
          </w:p>
        </w:tc>
      </w:tr>
      <w:tr>
        <w:trPr>
          <w:trHeight w:val="485"/>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GOGO BUSINESS AVIATION LLC</w:t>
            </w:r>
          </w:p>
        </w:tc>
        <w:tc>
          <w:tcPr>
            <w:tcW w:w="2240" w:type="dxa"/>
            <w:vAlign w:val="bottom"/>
            <w:gridSpan w:val="2"/>
          </w:tcPr>
          <w:p>
            <w:pPr>
              <w:spacing w:after="0"/>
              <w:rPr>
                <w:sz w:val="20"/>
                <w:szCs w:val="20"/>
                <w:color w:val="auto"/>
              </w:rPr>
            </w:pPr>
            <w:r>
              <w:rPr>
                <w:rFonts w:ascii="Arial" w:cs="Arial" w:eastAsia="Arial" w:hAnsi="Arial"/>
                <w:sz w:val="22"/>
                <w:szCs w:val="22"/>
                <w:color w:val="auto"/>
              </w:rPr>
              <w:t>Crystal Gordon</w:t>
            </w:r>
          </w:p>
        </w:tc>
      </w:tr>
      <w:tr>
        <w:trPr>
          <w:trHeight w:val="678"/>
        </w:trPr>
        <w:tc>
          <w:tcPr>
            <w:tcW w:w="5620" w:type="dxa"/>
            <w:vAlign w:val="bottom"/>
            <w:gridSpan w:val="2"/>
          </w:tcPr>
          <w:p>
            <w:pPr>
              <w:spacing w:after="0"/>
              <w:rPr>
                <w:sz w:val="20"/>
                <w:szCs w:val="20"/>
                <w:color w:val="auto"/>
              </w:rPr>
            </w:pPr>
            <w:r>
              <w:rPr>
                <w:rFonts w:ascii="Arial" w:cs="Arial" w:eastAsia="Arial" w:hAnsi="Arial"/>
                <w:sz w:val="22"/>
                <w:szCs w:val="22"/>
                <w:color w:val="auto"/>
              </w:rPr>
              <w:t>/s/ Marguerite M. Elias</w:t>
            </w:r>
          </w:p>
        </w:tc>
        <w:tc>
          <w:tcPr>
            <w:tcW w:w="2240" w:type="dxa"/>
            <w:vAlign w:val="bottom"/>
            <w:gridSpan w:val="2"/>
          </w:tcPr>
          <w:p>
            <w:pPr>
              <w:spacing w:after="0"/>
              <w:rPr>
                <w:sz w:val="20"/>
                <w:szCs w:val="20"/>
                <w:color w:val="auto"/>
              </w:rPr>
            </w:pPr>
            <w:r>
              <w:rPr>
                <w:rFonts w:ascii="Arial" w:cs="Arial" w:eastAsia="Arial" w:hAnsi="Arial"/>
                <w:sz w:val="22"/>
                <w:szCs w:val="22"/>
                <w:color w:val="auto"/>
              </w:rPr>
              <w:t>/s/ Crystal L. Gordon</w:t>
            </w:r>
          </w:p>
        </w:tc>
      </w:tr>
      <w:tr>
        <w:trPr>
          <w:trHeight w:val="20"/>
        </w:trPr>
        <w:tc>
          <w:tcPr>
            <w:tcW w:w="198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759"/>
        </w:trPr>
        <w:tc>
          <w:tcPr>
            <w:tcW w:w="5620" w:type="dxa"/>
            <w:vAlign w:val="bottom"/>
            <w:gridSpan w:val="2"/>
          </w:tcPr>
          <w:p>
            <w:pPr>
              <w:ind w:left="40"/>
              <w:spacing w:after="0"/>
              <w:rPr>
                <w:sz w:val="20"/>
                <w:szCs w:val="20"/>
                <w:color w:val="auto"/>
              </w:rPr>
            </w:pPr>
            <w:r>
              <w:rPr>
                <w:rFonts w:ascii="Arial" w:cs="Arial" w:eastAsia="Arial" w:hAnsi="Arial"/>
                <w:sz w:val="22"/>
                <w:szCs w:val="22"/>
                <w:color w:val="auto"/>
              </w:rPr>
              <w:t>Date: September 21, 2022</w:t>
            </w:r>
          </w:p>
        </w:tc>
        <w:tc>
          <w:tcPr>
            <w:tcW w:w="2240" w:type="dxa"/>
            <w:vAlign w:val="bottom"/>
            <w:gridSpan w:val="2"/>
          </w:tcPr>
          <w:p>
            <w:pPr>
              <w:spacing w:after="0"/>
              <w:rPr>
                <w:sz w:val="20"/>
                <w:szCs w:val="20"/>
                <w:color w:val="auto"/>
              </w:rPr>
            </w:pPr>
            <w:r>
              <w:rPr>
                <w:rFonts w:ascii="Arial" w:cs="Arial" w:eastAsia="Arial" w:hAnsi="Arial"/>
                <w:sz w:val="22"/>
                <w:szCs w:val="22"/>
                <w:color w:val="auto"/>
                <w:w w:val="86"/>
              </w:rPr>
              <w:t>Date: September 27,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7" w:name="page118"/>
    <w:bookmarkEnd w:id="117"/>
    <w:p>
      <w:pPr>
        <w:jc w:val="center"/>
        <w:ind w:right="-1260"/>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1260"/>
        <w:spacing w:after="0"/>
        <w:rPr>
          <w:sz w:val="20"/>
          <w:szCs w:val="20"/>
          <w:color w:val="auto"/>
        </w:rPr>
      </w:pPr>
      <w:r>
        <w:rPr>
          <w:rFonts w:ascii="Arial" w:cs="Arial" w:eastAsia="Arial" w:hAnsi="Arial"/>
          <w:sz w:val="19"/>
          <w:szCs w:val="19"/>
          <w:b w:val="1"/>
          <w:bCs w:val="1"/>
          <w:color w:val="auto"/>
        </w:rPr>
        <w:t>Existing Proprietary Rights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ADVANCE \y 700</w:t>
      </w:r>
    </w:p>
    <w:p>
      <w:pPr>
        <w:ind w:left="57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908"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10.2.22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SEVERANCE AGREEMENT</w:t>
      </w:r>
    </w:p>
    <w:p>
      <w:pPr>
        <w:spacing w:after="0" w:line="187" w:lineRule="exact"/>
        <w:rPr>
          <w:sz w:val="20"/>
          <w:szCs w:val="20"/>
          <w:color w:val="auto"/>
        </w:rPr>
      </w:pPr>
    </w:p>
    <w:p>
      <w:pPr>
        <w:ind w:right="20"/>
        <w:spacing w:after="0"/>
        <w:rPr>
          <w:sz w:val="20"/>
          <w:szCs w:val="20"/>
          <w:color w:val="auto"/>
        </w:rPr>
      </w:pPr>
      <w:r>
        <w:rPr>
          <w:rFonts w:ascii="Arial" w:cs="Arial" w:eastAsia="Arial" w:hAnsi="Arial"/>
          <w:sz w:val="22"/>
          <w:szCs w:val="22"/>
          <w:color w:val="auto"/>
        </w:rPr>
        <w:t xml:space="preserve">This Change in Control Severance Agreement is entered into on this 2nd day of November, 2022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xml:space="preserve">) by and between Gogo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Crystal Gordon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Certain capitalized terms used herein have the meanings given to them in Section 16 hereof.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r>
        <w:rPr>
          <w:rFonts w:ascii="Arial" w:cs="Arial" w:eastAsia="Arial" w:hAnsi="Arial"/>
          <w:sz w:val="22"/>
          <w:szCs w:val="22"/>
          <w:b w:val="1"/>
          <w:bCs w:val="1"/>
          <w:color w:val="auto"/>
        </w:rPr>
        <w:t>:</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Board of Directors of the Company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considers the maintenance of a sound management to be</w:t>
      </w:r>
      <w:r>
        <w:rPr>
          <w:rFonts w:ascii="Arial" w:cs="Arial" w:eastAsia="Arial" w:hAnsi="Arial"/>
          <w:sz w:val="22"/>
          <w:szCs w:val="22"/>
          <w:b w:val="1"/>
          <w:bCs w:val="1"/>
          <w:color w:val="auto"/>
        </w:rPr>
        <w:t xml:space="preserve"> </w:t>
      </w:r>
      <w:r>
        <w:rPr>
          <w:rFonts w:ascii="Arial" w:cs="Arial" w:eastAsia="Arial" w:hAnsi="Arial"/>
          <w:sz w:val="22"/>
          <w:szCs w:val="22"/>
          <w:color w:val="auto"/>
        </w:rPr>
        <w:t>essential to protecting and enhancing the best interests of the Company and its stockholders and, in this connection, recognizes that the possibility of a Change in Control may exist from time to time, and that this possibility, and the uncertainty and questions it may raise among management, may result in the departure or distraction of management personnel to the detriment of Gogo and its stockholders; and</w:t>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has determined that appropriate steps should be taken to encourage the continued attention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dedication of members of management of the Company and its Subsidiaries to their assigned duties without the distraction which may arise from the possibility of a Change in Control.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In consideration of the mutual covenants contained herein, the parties agree as follows:</w:t>
      </w:r>
    </w:p>
    <w:p>
      <w:pPr>
        <w:spacing w:after="0" w:line="173" w:lineRule="exact"/>
        <w:rPr>
          <w:sz w:val="20"/>
          <w:szCs w:val="20"/>
          <w:color w:val="auto"/>
        </w:rPr>
      </w:pPr>
    </w:p>
    <w:p>
      <w:pPr>
        <w:jc w:val="both"/>
        <w:ind w:firstLine="757"/>
        <w:spacing w:after="0" w:line="237" w:lineRule="auto"/>
        <w:tabs>
          <w:tab w:leader="none" w:pos="1498"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The Company and Executive acknowledge that the Executive’s employment is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be at-will, as defined under applicable law. If the Executive’s employment terminates for any reason, the Executive shall not be entitled to any payments, benefits, damages, awards or compensation other than as provided by this Agreement or the Employment Agreement, or as may otherwise be established under the then-existing employee benefit plans or policies of the Company and its Subsidiaries at the time of termination.</w:t>
      </w:r>
    </w:p>
    <w:p>
      <w:pPr>
        <w:spacing w:after="0" w:line="180" w:lineRule="exact"/>
        <w:rPr>
          <w:rFonts w:ascii="Arial" w:cs="Arial" w:eastAsia="Arial" w:hAnsi="Arial"/>
          <w:sz w:val="22"/>
          <w:szCs w:val="22"/>
          <w:b w:val="1"/>
          <w:bCs w:val="1"/>
          <w:color w:val="auto"/>
        </w:rPr>
      </w:pPr>
    </w:p>
    <w:p>
      <w:pPr>
        <w:ind w:left="1500" w:hanging="743"/>
        <w:spacing w:after="0"/>
        <w:tabs>
          <w:tab w:leader="none" w:pos="150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and Severance Benefits</w:t>
      </w:r>
      <w:r>
        <w:rPr>
          <w:rFonts w:ascii="Arial" w:cs="Arial" w:eastAsia="Arial" w:hAnsi="Arial"/>
          <w:sz w:val="22"/>
          <w:szCs w:val="22"/>
          <w:color w:val="auto"/>
        </w:rPr>
        <w:t>.</w:t>
      </w:r>
    </w:p>
    <w:p>
      <w:pPr>
        <w:spacing w:after="0" w:line="205" w:lineRule="exact"/>
        <w:rPr>
          <w:rFonts w:ascii="Arial" w:cs="Arial" w:eastAsia="Arial" w:hAnsi="Arial"/>
          <w:sz w:val="22"/>
          <w:szCs w:val="22"/>
          <w:b w:val="1"/>
          <w:bCs w:val="1"/>
          <w:color w:val="auto"/>
        </w:rPr>
      </w:pPr>
    </w:p>
    <w:p>
      <w:pPr>
        <w:ind w:firstLine="1505"/>
        <w:spacing w:after="0" w:line="256" w:lineRule="auto"/>
        <w:tabs>
          <w:tab w:leader="none" w:pos="2995" w:val="left"/>
        </w:tabs>
        <w:numPr>
          <w:ilvl w:val="1"/>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Severance Payments</w:t>
      </w:r>
      <w:r>
        <w:rPr>
          <w:rFonts w:ascii="Arial" w:cs="Arial" w:eastAsia="Arial" w:hAnsi="Arial"/>
          <w:sz w:val="22"/>
          <w:szCs w:val="22"/>
          <w:color w:val="auto"/>
        </w:rPr>
        <w:t>. If Executive's employment is terminated as a result of a Qualifying</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Company shall pay Executive an amount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jc w:val="both"/>
        <w:spacing w:after="0" w:line="256" w:lineRule="auto"/>
        <w:rPr>
          <w:sz w:val="20"/>
          <w:szCs w:val="20"/>
          <w:color w:val="auto"/>
        </w:rPr>
      </w:pPr>
      <w:r>
        <w:rPr>
          <w:rFonts w:ascii="Arial" w:cs="Arial" w:eastAsia="Arial" w:hAnsi="Arial"/>
          <w:sz w:val="20"/>
          <w:szCs w:val="20"/>
          <w:color w:val="auto"/>
        </w:rPr>
        <w:t>the sum of (i) twelve (12) months of Executive’s Base Salary, pursuant to Section 9(a) of the Employment Agreement (the “</w:t>
      </w:r>
      <w:r>
        <w:rPr>
          <w:rFonts w:ascii="Arial" w:cs="Arial" w:eastAsia="Arial" w:hAnsi="Arial"/>
          <w:sz w:val="20"/>
          <w:szCs w:val="20"/>
          <w:b w:val="1"/>
          <w:bCs w:val="1"/>
          <w:i w:val="1"/>
          <w:iCs w:val="1"/>
          <w:color w:val="auto"/>
        </w:rPr>
        <w:t>Basic</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Separation Payment</w:t>
      </w:r>
      <w:r>
        <w:rPr>
          <w:rFonts w:ascii="Arial" w:cs="Arial" w:eastAsia="Arial" w:hAnsi="Arial"/>
          <w:sz w:val="20"/>
          <w:szCs w:val="20"/>
          <w:color w:val="auto"/>
        </w:rPr>
        <w:t>”), and (ii) six (6) months of Executive’s Base Salary plus an amount equal to the product of (x) 1/12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Executive’s Target Bonus and (y) the number of months in the Severance Period (the, </w:t>
      </w:r>
      <w:r>
        <w:rPr>
          <w:rFonts w:ascii="Arial" w:cs="Arial" w:eastAsia="Arial" w:hAnsi="Arial"/>
          <w:sz w:val="20"/>
          <w:szCs w:val="20"/>
          <w:b w:val="1"/>
          <w:bCs w:val="1"/>
          <w:i w:val="1"/>
          <w:iCs w:val="1"/>
          <w:color w:val="auto"/>
        </w:rPr>
        <w:t>“Additional Payment”)</w:t>
      </w:r>
      <w:r>
        <w:rPr>
          <w:rFonts w:ascii="Arial" w:cs="Arial" w:eastAsia="Arial" w:hAnsi="Arial"/>
          <w:sz w:val="20"/>
          <w:szCs w:val="20"/>
          <w:color w:val="auto"/>
        </w:rPr>
        <w:t>. Notwithstanding anything to the contrary in the Employment Agreement, the Company shall pay the Additional Payment together with the Basic Separation Payment (collectively, the “</w:t>
      </w:r>
      <w:r>
        <w:rPr>
          <w:rFonts w:ascii="Arial" w:cs="Arial" w:eastAsia="Arial" w:hAnsi="Arial"/>
          <w:sz w:val="20"/>
          <w:szCs w:val="20"/>
          <w:b w:val="1"/>
          <w:bCs w:val="1"/>
          <w:i w:val="1"/>
          <w:iCs w:val="1"/>
          <w:color w:val="auto"/>
        </w:rPr>
        <w:t>Severance Payment</w:t>
      </w:r>
      <w:r>
        <w:rPr>
          <w:rFonts w:ascii="Arial" w:cs="Arial" w:eastAsia="Arial" w:hAnsi="Arial"/>
          <w:sz w:val="20"/>
          <w:szCs w:val="20"/>
          <w:color w:val="auto"/>
        </w:rPr>
        <w:t>”), in cash in a single lump sum payment, within ten (10) days following the Date of Termination. In addition, during the eighteen (18) months following the Date of Termination or, if a shorter period, the maximum period permitted by law, should Executive timely elect to continue coverage pursuant to COBRA, the Company agrees to reimburse Executive for the COBRA premiums due to maintain health insurance coverage that is substantially equivalent to that which he or she received immediately prior to Executive’s termination (the “</w:t>
      </w:r>
      <w:r>
        <w:rPr>
          <w:rFonts w:ascii="Arial" w:cs="Arial" w:eastAsia="Arial" w:hAnsi="Arial"/>
          <w:sz w:val="20"/>
          <w:szCs w:val="20"/>
          <w:b w:val="1"/>
          <w:bCs w:val="1"/>
          <w:i w:val="1"/>
          <w:iCs w:val="1"/>
          <w:color w:val="auto"/>
        </w:rPr>
        <w:t>COBRA Payments</w:t>
      </w:r>
      <w:r>
        <w:rPr>
          <w:rFonts w:ascii="Arial" w:cs="Arial" w:eastAsia="Arial" w:hAnsi="Arial"/>
          <w:sz w:val="20"/>
          <w:szCs w:val="20"/>
          <w:color w:val="auto"/>
        </w:rPr>
        <w:t>”). The Company shall also pay Executive (A) any salary earned but unpaid prior to termination and all accrued but unused paid time off or vacation, (B) any business or reimbursable relocation expenses incurred but not reimbursed as of the Date of Termination in accordance with the applicable business expense reimbursement policy of the Company, effective on the Date of Termination, and (C) any award under the Annual Bonus Program that has been approved by the Company’s Chief Executive Officer and the Compensation Committee of the Board but not paid prior to termination.</w:t>
      </w:r>
    </w:p>
    <w:p>
      <w:pPr>
        <w:spacing w:after="0" w:line="173" w:lineRule="exact"/>
        <w:rPr>
          <w:sz w:val="20"/>
          <w:szCs w:val="20"/>
          <w:color w:val="auto"/>
        </w:rPr>
      </w:pPr>
    </w:p>
    <w:p>
      <w:pPr>
        <w:jc w:val="both"/>
        <w:ind w:firstLine="1505"/>
        <w:spacing w:after="0" w:line="258" w:lineRule="auto"/>
        <w:tabs>
          <w:tab w:leader="none" w:pos="2995"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Option Acceleration</w:t>
      </w:r>
      <w:r>
        <w:rPr>
          <w:rFonts w:ascii="Arial" w:cs="Arial" w:eastAsia="Arial" w:hAnsi="Arial"/>
          <w:sz w:val="20"/>
          <w:szCs w:val="20"/>
          <w:color w:val="auto"/>
        </w:rPr>
        <w:t>. If Executive’s employment is terminated as a result of a Qualifying</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then (i) the vesting of each Award that vests based on continued service, and the exercisability of each such Award that is a stock option, shall be automatically accelerated in full as of the Date of Termination, and (ii) each Award that vests based on performance shall remain outstanding through the normal performance vesting date thereof (or, in the case of each such Award that is a stock option, until the 90</w:t>
      </w:r>
      <w:r>
        <w:rPr>
          <w:rFonts w:ascii="Arial" w:cs="Arial" w:eastAsia="Arial" w:hAnsi="Arial"/>
          <w:sz w:val="13"/>
          <w:szCs w:val="13"/>
          <w:color w:val="auto"/>
        </w:rPr>
        <w:t>th</w:t>
      </w:r>
      <w:r>
        <w:rPr>
          <w:rFonts w:ascii="Arial" w:cs="Arial" w:eastAsia="Arial" w:hAnsi="Arial"/>
          <w:sz w:val="20"/>
          <w:szCs w:val="20"/>
          <w:color w:val="auto"/>
        </w:rPr>
        <w:t xml:space="preserve"> day following such normal performance vesting date) and shall vest and/or be forfeited based on the satisfaction of the applicable performance goals to the same extent as if the Executive’s services to the Company had not ended (provided that, to the extent any such Award is subject to both performance and service-based vesting, the service-based vesting shall be automatically accelerated in full as of the Date of Termination). The Award shall continue to be exercisable in accordance with the Executive’s Award Agreement, and with respect to Awards other than stock options and restricted stock awards, will be settled upon vesting to the extent such accelerated vesting is permitted by Section 409(A) of the Code or, if not so permitted, on the scheduled settlement date in accordance with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0" w:name="page121"/>
    <w:bookmarkEnd w:id="120"/>
    <w:p>
      <w:pPr>
        <w:ind w:right="20"/>
        <w:spacing w:after="0" w:line="250" w:lineRule="auto"/>
        <w:rPr>
          <w:sz w:val="20"/>
          <w:szCs w:val="20"/>
          <w:color w:val="auto"/>
        </w:rPr>
      </w:pPr>
      <w:r>
        <w:rPr>
          <w:rFonts w:ascii="Arial" w:cs="Arial" w:eastAsia="Arial" w:hAnsi="Arial"/>
          <w:sz w:val="22"/>
          <w:szCs w:val="22"/>
          <w:color w:val="auto"/>
        </w:rPr>
        <w:t>Award Agreement, including in each case without any limitation any provisions that provide that in connection with a Change in Control, an Award may be surrendered and cancelled in exchange for a cash payment.</w:t>
      </w:r>
    </w:p>
    <w:p>
      <w:pPr>
        <w:spacing w:after="0" w:line="168" w:lineRule="exact"/>
        <w:rPr>
          <w:sz w:val="20"/>
          <w:szCs w:val="20"/>
          <w:color w:val="auto"/>
        </w:rPr>
      </w:pPr>
    </w:p>
    <w:p>
      <w:pPr>
        <w:jc w:val="both"/>
        <w:ind w:firstLine="1505"/>
        <w:spacing w:after="0" w:line="239" w:lineRule="auto"/>
        <w:tabs>
          <w:tab w:leader="none" w:pos="2995"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Termination. </w:t>
      </w:r>
      <w:r>
        <w:rPr>
          <w:rFonts w:ascii="Arial" w:cs="Arial" w:eastAsia="Arial" w:hAnsi="Arial"/>
          <w:sz w:val="22"/>
          <w:szCs w:val="22"/>
          <w:color w:val="auto"/>
        </w:rPr>
        <w:t>If the Executive’s employment terminates other than as a result of a</w:t>
      </w:r>
      <w:r>
        <w:rPr>
          <w:rFonts w:ascii="Arial" w:cs="Arial" w:eastAsia="Arial" w:hAnsi="Arial"/>
          <w:sz w:val="22"/>
          <w:szCs w:val="22"/>
          <w:b w:val="1"/>
          <w:bCs w:val="1"/>
          <w:color w:val="auto"/>
        </w:rPr>
        <w:t xml:space="preserve"> </w:t>
      </w:r>
      <w:r>
        <w:rPr>
          <w:rFonts w:ascii="Arial" w:cs="Arial" w:eastAsia="Arial" w:hAnsi="Arial"/>
          <w:sz w:val="22"/>
          <w:szCs w:val="22"/>
          <w:color w:val="auto"/>
        </w:rPr>
        <w:t>Qualifying Termination, the Executive shall not be entitled to receive severance or other benefits hereunder, but may be eligible for such severance and benefits (if any) as may then be available under the Employment Agreement and the then-existing severance and benefit plans and policies of the Company and its Subsidiaries.</w:t>
      </w:r>
    </w:p>
    <w:p>
      <w:pPr>
        <w:spacing w:after="0" w:line="178" w:lineRule="exact"/>
        <w:rPr>
          <w:rFonts w:ascii="Arial" w:cs="Arial" w:eastAsia="Arial" w:hAnsi="Arial"/>
          <w:sz w:val="22"/>
          <w:szCs w:val="22"/>
          <w:b w:val="1"/>
          <w:bCs w:val="1"/>
          <w:color w:val="auto"/>
        </w:rPr>
      </w:pPr>
    </w:p>
    <w:p>
      <w:pPr>
        <w:jc w:val="both"/>
        <w:ind w:firstLine="1505"/>
        <w:spacing w:after="0" w:line="237" w:lineRule="auto"/>
        <w:tabs>
          <w:tab w:leader="none" w:pos="2995"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Mitigation Requirement. </w:t>
      </w:r>
      <w:r>
        <w:rPr>
          <w:rFonts w:ascii="Arial" w:cs="Arial" w:eastAsia="Arial" w:hAnsi="Arial"/>
          <w:sz w:val="22"/>
          <w:szCs w:val="22"/>
          <w:color w:val="auto"/>
        </w:rPr>
        <w:t>The Executive shall not be required to mitigate the amount</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for in this section by seeking other employment or otherwise, nor shall the amount of any payment or benefit provided for in this section be reduced by the amount of any compensation earned by the Executive as the result of employment by another employer, or by any set-off, counterclaim, recoupment, or other claim, right or action the Company may have against the Executive.</w:t>
      </w:r>
    </w:p>
    <w:p>
      <w:pPr>
        <w:spacing w:after="0" w:line="180" w:lineRule="exact"/>
        <w:rPr>
          <w:rFonts w:ascii="Arial" w:cs="Arial" w:eastAsia="Arial" w:hAnsi="Arial"/>
          <w:sz w:val="22"/>
          <w:szCs w:val="22"/>
          <w:b w:val="1"/>
          <w:bCs w:val="1"/>
          <w:color w:val="auto"/>
        </w:rPr>
      </w:pPr>
    </w:p>
    <w:p>
      <w:pPr>
        <w:jc w:val="both"/>
        <w:ind w:firstLine="757"/>
        <w:spacing w:after="0" w:line="257" w:lineRule="auto"/>
        <w:tabs>
          <w:tab w:leader="none" w:pos="1498"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All notices, reports, records or other communications which are required or permitted to be given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under this Agreement shall be sufficient in all respects if given in writing and delivered in person, by telecopy, by overnight courier, or by registered or certified mail, postage prepaid, return receipt requested, to the Company at its corporate headquarters to the attention of the Corporate Secretary and to the Executive at the home address most recently provided by Executive to the Company, or, in the case of either party, to such other address as such party may have given to the other by notice pursuant to this Section 3. Notice shall be deemed given on the date of delivery, in the case of personal delivery or telecopy, or on the delivery or refusal date, as specified on the return receipt, in the case of overnight courier or registered or certified mail. Any termination by the Company or any of its Subsidiaries for Cause or by Executive for Good Reason shall be communicated by a notice of termination (“</w:t>
      </w:r>
      <w:r>
        <w:rPr>
          <w:rFonts w:ascii="Arial" w:cs="Arial" w:eastAsia="Arial" w:hAnsi="Arial"/>
          <w:sz w:val="20"/>
          <w:szCs w:val="20"/>
          <w:b w:val="1"/>
          <w:bCs w:val="1"/>
          <w:i w:val="1"/>
          <w:iCs w:val="1"/>
          <w:color w:val="auto"/>
        </w:rPr>
        <w:t>Notice of Termination</w:t>
      </w:r>
      <w:r>
        <w:rPr>
          <w:rFonts w:ascii="Arial" w:cs="Arial" w:eastAsia="Arial" w:hAnsi="Arial"/>
          <w:sz w:val="20"/>
          <w:szCs w:val="20"/>
          <w:color w:val="auto"/>
        </w:rPr>
        <w:t>”) to the other party given in accordance with this Agreement. Such notice shall indicate the specific termination provision in this Agreement relied upon and shall set forth in reasonable detail the facts and circumstances claimed to provide a basis for termination under the provision so indicated. The failure by the Company or Executive to include in the notice any fact or circumstance which contributes to a showing of Cause or Good Reason, respectively, shall not waive any right of the Company or the Executive, as the case may be, hereunder,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spacing w:after="0" w:line="250" w:lineRule="auto"/>
        <w:rPr>
          <w:sz w:val="20"/>
          <w:szCs w:val="20"/>
          <w:color w:val="auto"/>
        </w:rPr>
      </w:pPr>
      <w:r>
        <w:rPr>
          <w:rFonts w:ascii="Arial" w:cs="Arial" w:eastAsia="Arial" w:hAnsi="Arial"/>
          <w:sz w:val="22"/>
          <w:szCs w:val="22"/>
          <w:color w:val="auto"/>
        </w:rPr>
        <w:t>preclude the Company or the Executive, as the case may be, from asserting such fact or circumstance in enforcing its or his or her rights hereunder.</w:t>
      </w:r>
    </w:p>
    <w:p>
      <w:pPr>
        <w:spacing w:after="0" w:line="168" w:lineRule="exact"/>
        <w:rPr>
          <w:sz w:val="20"/>
          <w:szCs w:val="20"/>
          <w:color w:val="auto"/>
        </w:rPr>
      </w:pPr>
    </w:p>
    <w:p>
      <w:pPr>
        <w:ind w:left="1500" w:hanging="743"/>
        <w:spacing w:after="0"/>
        <w:tabs>
          <w:tab w:leader="none" w:pos="150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Benefits.</w:t>
      </w:r>
    </w:p>
    <w:p>
      <w:pPr>
        <w:spacing w:after="0" w:line="211" w:lineRule="exact"/>
        <w:rPr>
          <w:rFonts w:ascii="Arial" w:cs="Arial" w:eastAsia="Arial" w:hAnsi="Arial"/>
          <w:sz w:val="22"/>
          <w:szCs w:val="22"/>
          <w:b w:val="1"/>
          <w:bCs w:val="1"/>
          <w:color w:val="auto"/>
        </w:rPr>
      </w:pPr>
    </w:p>
    <w:p>
      <w:pPr>
        <w:jc w:val="both"/>
        <w:ind w:firstLine="1505"/>
        <w:spacing w:after="0" w:line="259" w:lineRule="auto"/>
        <w:tabs>
          <w:tab w:leader="none" w:pos="2995"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If upon a Change in Control any of the payments and benefits provided for under this Agreement or any other agreement or arrangement between the Company and its affiliates and Executive (“</w:t>
      </w:r>
      <w:r>
        <w:rPr>
          <w:rFonts w:ascii="Arial" w:cs="Arial" w:eastAsia="Arial" w:hAnsi="Arial"/>
          <w:sz w:val="20"/>
          <w:szCs w:val="20"/>
          <w:b w:val="1"/>
          <w:bCs w:val="1"/>
          <w:i w:val="1"/>
          <w:iCs w:val="1"/>
          <w:color w:val="auto"/>
        </w:rPr>
        <w:t>Payments</w:t>
      </w:r>
      <w:r>
        <w:rPr>
          <w:rFonts w:ascii="Arial" w:cs="Arial" w:eastAsia="Arial" w:hAnsi="Arial"/>
          <w:sz w:val="20"/>
          <w:szCs w:val="20"/>
          <w:color w:val="auto"/>
        </w:rPr>
        <w:t>”) would constitute a “parachute payment” within the meaning of section 280G of the Code (“</w:t>
      </w:r>
      <w:r>
        <w:rPr>
          <w:rFonts w:ascii="Arial" w:cs="Arial" w:eastAsia="Arial" w:hAnsi="Arial"/>
          <w:sz w:val="20"/>
          <w:szCs w:val="20"/>
          <w:b w:val="1"/>
          <w:bCs w:val="1"/>
          <w:i w:val="1"/>
          <w:iCs w:val="1"/>
          <w:color w:val="auto"/>
        </w:rPr>
        <w:t>Parachute Payments</w:t>
      </w:r>
      <w:r>
        <w:rPr>
          <w:rFonts w:ascii="Arial" w:cs="Arial" w:eastAsia="Arial" w:hAnsi="Arial"/>
          <w:sz w:val="20"/>
          <w:szCs w:val="20"/>
          <w:color w:val="auto"/>
        </w:rPr>
        <w:t>”), then, if and solely to the extent that reducing the benefits payable hereunder, would result in the Executive receiving a greater amount, on an after-tax basis, taking into account any excise tax imposed pursuant to section 4999 of the Code (the “</w:t>
      </w:r>
      <w:r>
        <w:rPr>
          <w:rFonts w:ascii="Arial" w:cs="Arial" w:eastAsia="Arial" w:hAnsi="Arial"/>
          <w:sz w:val="20"/>
          <w:szCs w:val="20"/>
          <w:b w:val="1"/>
          <w:bCs w:val="1"/>
          <w:i w:val="1"/>
          <w:iCs w:val="1"/>
          <w:color w:val="auto"/>
        </w:rPr>
        <w:t>Excise Tax</w:t>
      </w:r>
      <w:r>
        <w:rPr>
          <w:rFonts w:ascii="Arial" w:cs="Arial" w:eastAsia="Arial" w:hAnsi="Arial"/>
          <w:sz w:val="20"/>
          <w:szCs w:val="20"/>
          <w:color w:val="auto"/>
        </w:rPr>
        <w:t>”) and all applicable income, employment and other taxes payable on such amounts, the amounts payable hereunder shall be reduced or eliminated, as the case may be, so that the total amount of Parachute Payments received by the Executive would result in no portion of the payments being subject to the Excise Tax.</w:t>
      </w:r>
    </w:p>
    <w:p>
      <w:pPr>
        <w:spacing w:after="0" w:line="171" w:lineRule="exact"/>
        <w:rPr>
          <w:rFonts w:ascii="Arial" w:cs="Arial" w:eastAsia="Arial" w:hAnsi="Arial"/>
          <w:sz w:val="20"/>
          <w:szCs w:val="20"/>
          <w:b w:val="1"/>
          <w:bCs w:val="1"/>
          <w:color w:val="auto"/>
        </w:rPr>
      </w:pPr>
    </w:p>
    <w:p>
      <w:pPr>
        <w:jc w:val="both"/>
        <w:ind w:firstLine="1505"/>
        <w:spacing w:after="0" w:line="276" w:lineRule="auto"/>
        <w:tabs>
          <w:tab w:leader="none" w:pos="2995"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Any such reduction in the amount of compensation or benefits effected pursuant to this Section 4 shall first come from the Additional Payment and then, in order and in each case, solely to the extent necessary, from the Basic Separation Payment, the COBRA Payments and the benefit of the option acceleration provided in Section 2(b).</w:t>
      </w:r>
    </w:p>
    <w:p>
      <w:pPr>
        <w:spacing w:after="0" w:line="144" w:lineRule="exact"/>
        <w:rPr>
          <w:rFonts w:ascii="Arial" w:cs="Arial" w:eastAsia="Arial" w:hAnsi="Arial"/>
          <w:sz w:val="20"/>
          <w:szCs w:val="20"/>
          <w:b w:val="1"/>
          <w:bCs w:val="1"/>
          <w:color w:val="auto"/>
        </w:rPr>
      </w:pPr>
    </w:p>
    <w:p>
      <w:pPr>
        <w:ind w:right="20" w:firstLine="757"/>
        <w:spacing w:after="0" w:line="256" w:lineRule="auto"/>
        <w:tabs>
          <w:tab w:leader="none" w:pos="1498"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Restrictive Covenants. </w:t>
      </w:r>
      <w:r>
        <w:rPr>
          <w:rFonts w:ascii="Arial" w:cs="Arial" w:eastAsia="Arial" w:hAnsi="Arial"/>
          <w:sz w:val="22"/>
          <w:szCs w:val="22"/>
          <w:color w:val="auto"/>
        </w:rPr>
        <w:t>Notwithstanding anything to the contrary in this Agreement, Sections 4, 5, 6 and 7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Executive’s Employment Agreement shall remain in full force and effect.</w:t>
      </w:r>
    </w:p>
    <w:p>
      <w:pPr>
        <w:spacing w:after="0" w:line="161" w:lineRule="exact"/>
        <w:rPr>
          <w:rFonts w:ascii="Arial" w:cs="Arial" w:eastAsia="Arial" w:hAnsi="Arial"/>
          <w:sz w:val="22"/>
          <w:szCs w:val="22"/>
          <w:b w:val="1"/>
          <w:bCs w:val="1"/>
          <w:color w:val="auto"/>
        </w:rPr>
      </w:pPr>
    </w:p>
    <w:p>
      <w:pPr>
        <w:jc w:val="both"/>
        <w:ind w:firstLine="757"/>
        <w:spacing w:after="0" w:line="239" w:lineRule="auto"/>
        <w:tabs>
          <w:tab w:leader="none" w:pos="1498"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Further Assurances</w:t>
      </w:r>
      <w:r>
        <w:rPr>
          <w:rFonts w:ascii="Arial" w:cs="Arial" w:eastAsia="Arial" w:hAnsi="Arial"/>
          <w:sz w:val="22"/>
          <w:szCs w:val="22"/>
          <w:color w:val="auto"/>
        </w:rPr>
        <w:t>. The parties shall cooperate fully with each other and execute such further instruments,</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and agreements, and shall give such further written assurances, as may be reasonably requested by one another to better evidence and reflect the transactions described herein and contemplated hereby and to carry into effect the intent and purposes of this Agreement.</w:t>
      </w:r>
    </w:p>
    <w:p>
      <w:pPr>
        <w:spacing w:after="0" w:line="178" w:lineRule="exact"/>
        <w:rPr>
          <w:rFonts w:ascii="Arial" w:cs="Arial" w:eastAsia="Arial" w:hAnsi="Arial"/>
          <w:sz w:val="22"/>
          <w:szCs w:val="22"/>
          <w:b w:val="1"/>
          <w:bCs w:val="1"/>
          <w:color w:val="auto"/>
        </w:rPr>
      </w:pPr>
    </w:p>
    <w:p>
      <w:pPr>
        <w:ind w:firstLine="757"/>
        <w:spacing w:after="0" w:line="256" w:lineRule="auto"/>
        <w:tabs>
          <w:tab w:leader="none" w:pos="1498"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Applicable Law</w:t>
      </w:r>
      <w:r>
        <w:rPr>
          <w:rFonts w:ascii="Arial" w:cs="Arial" w:eastAsia="Arial" w:hAnsi="Arial"/>
          <w:sz w:val="22"/>
          <w:szCs w:val="22"/>
          <w:color w:val="auto"/>
        </w:rPr>
        <w:t>. This Agreement shall be governed by and construed in accordance with internal laws,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the conflicts of law rules, of the State of 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2" w:name="page123"/>
    <w:bookmarkEnd w:id="122"/>
    <w:p>
      <w:pPr>
        <w:ind w:left="743" w:hanging="743"/>
        <w:spacing w:after="0"/>
        <w:tabs>
          <w:tab w:leader="none" w:pos="743"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w:t>
      </w:r>
    </w:p>
    <w:p>
      <w:pPr>
        <w:spacing w:after="0" w:line="211" w:lineRule="exact"/>
        <w:rPr>
          <w:rFonts w:ascii="Arial" w:cs="Arial" w:eastAsia="Arial" w:hAnsi="Arial"/>
          <w:sz w:val="22"/>
          <w:szCs w:val="22"/>
          <w:b w:val="1"/>
          <w:bCs w:val="1"/>
          <w:color w:val="auto"/>
        </w:rPr>
      </w:pPr>
    </w:p>
    <w:p>
      <w:pPr>
        <w:ind w:left="-757" w:firstLine="1505"/>
        <w:spacing w:after="0" w:line="299" w:lineRule="auto"/>
        <w:tabs>
          <w:tab w:leader="none" w:pos="2239" w:val="left"/>
        </w:tabs>
        <w:numPr>
          <w:ilvl w:val="1"/>
          <w:numId w:val="72"/>
        </w:numPr>
        <w:rPr>
          <w:rFonts w:ascii="Arial" w:cs="Arial" w:eastAsia="Arial" w:hAnsi="Arial"/>
          <w:sz w:val="20"/>
          <w:szCs w:val="20"/>
          <w:b w:val="1"/>
          <w:bCs w:val="1"/>
          <w:color w:val="auto"/>
        </w:rPr>
      </w:pPr>
      <w:r>
        <w:rPr>
          <w:rFonts w:ascii="Arial" w:cs="Arial" w:eastAsia="Arial" w:hAnsi="Arial"/>
          <w:sz w:val="20"/>
          <w:szCs w:val="20"/>
          <w:color w:val="auto"/>
        </w:rPr>
        <w:t>Any dispute arising in connection with this Agreement shall be submitted to final and binding arbitration. Judgment upon any award rendered by arbitration may be entered in any court having jurisdiction thereof.</w:t>
      </w:r>
    </w:p>
    <w:p>
      <w:pPr>
        <w:spacing w:after="0" w:line="128" w:lineRule="exact"/>
        <w:rPr>
          <w:rFonts w:ascii="Arial" w:cs="Arial" w:eastAsia="Arial" w:hAnsi="Arial"/>
          <w:sz w:val="20"/>
          <w:szCs w:val="20"/>
          <w:b w:val="1"/>
          <w:bCs w:val="1"/>
          <w:color w:val="auto"/>
        </w:rPr>
      </w:pPr>
    </w:p>
    <w:p>
      <w:pPr>
        <w:jc w:val="both"/>
        <w:ind w:left="-757" w:firstLine="1505"/>
        <w:spacing w:after="0" w:line="237" w:lineRule="auto"/>
        <w:tabs>
          <w:tab w:leader="none" w:pos="2239"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The arbitrator shall be selected by the mutual agreement of the parties. Any arbitrator selected shall be a professional having at least ten years of experience in labor or employment related practice areas. If the amount in dispute exceeds $250,000, the parties shall select, by mutual agreement, a panel of three arbitrators, rather than one arbitrator, to resolve the dispute.</w:t>
      </w:r>
    </w:p>
    <w:p>
      <w:pPr>
        <w:spacing w:after="0" w:line="187" w:lineRule="exact"/>
        <w:rPr>
          <w:rFonts w:ascii="Arial" w:cs="Arial" w:eastAsia="Arial" w:hAnsi="Arial"/>
          <w:sz w:val="22"/>
          <w:szCs w:val="22"/>
          <w:b w:val="1"/>
          <w:bCs w:val="1"/>
          <w:color w:val="auto"/>
        </w:rPr>
      </w:pPr>
    </w:p>
    <w:p>
      <w:pPr>
        <w:jc w:val="both"/>
        <w:ind w:left="-757" w:firstLine="1505"/>
        <w:spacing w:after="0" w:line="234" w:lineRule="auto"/>
        <w:tabs>
          <w:tab w:leader="none" w:pos="2239"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The arbitration shall be conducted in Denver, Colorado (unless the corporate headquarters of the Company shall have been moved to another location, in which case the arbitration shall be conducted in such location). Reasonable discovery shall be permitted as determined by the arbitrator or arbitrators. Both parties to an arbitration shall have the right to be represented by counsel. The Company shall be responsible for paying all administrative fees, costs and expenses associated with the arbitration, including filing fees, the arbitrator's fees, and the expense of the arbitration proceedings, with all other costs and attorneys’ fees to be paid by the party incurring such costs and fees (subject to any reimbursement pursuant to Section 9).</w:t>
      </w:r>
    </w:p>
    <w:p>
      <w:pPr>
        <w:spacing w:after="0" w:line="188" w:lineRule="exact"/>
        <w:rPr>
          <w:rFonts w:ascii="Arial" w:cs="Arial" w:eastAsia="Arial" w:hAnsi="Arial"/>
          <w:sz w:val="22"/>
          <w:szCs w:val="22"/>
          <w:b w:val="1"/>
          <w:bCs w:val="1"/>
          <w:color w:val="auto"/>
        </w:rPr>
      </w:pPr>
    </w:p>
    <w:p>
      <w:pPr>
        <w:jc w:val="both"/>
        <w:ind w:left="-757" w:firstLine="1505"/>
        <w:spacing w:after="0" w:line="275" w:lineRule="auto"/>
        <w:tabs>
          <w:tab w:leader="none" w:pos="2239" w:val="left"/>
        </w:tabs>
        <w:numPr>
          <w:ilvl w:val="1"/>
          <w:numId w:val="72"/>
        </w:numPr>
        <w:rPr>
          <w:rFonts w:ascii="Arial" w:cs="Arial" w:eastAsia="Arial" w:hAnsi="Arial"/>
          <w:sz w:val="19"/>
          <w:szCs w:val="19"/>
          <w:b w:val="1"/>
          <w:bCs w:val="1"/>
          <w:color w:val="auto"/>
        </w:rPr>
      </w:pPr>
      <w:r>
        <w:rPr>
          <w:rFonts w:ascii="Arial" w:cs="Arial" w:eastAsia="Arial" w:hAnsi="Arial"/>
          <w:sz w:val="19"/>
          <w:szCs w:val="19"/>
          <w:color w:val="auto"/>
        </w:rPr>
        <w:t xml:space="preserve">Except as otherwise provided herein, this arbitration procedure is the exclusive remedy for any contractual, non-contractual or statutory claim of any kind, including claims arising under federal, state and local statutory law, including, but not limited to, the Age Discrimination in Employment Act of 1967, 29 U.S.C. § 621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Title VII of the Civil Rights Act of 1964, 42 U.S.C. § 2000e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Americans with Disabilities Act, 42 U.S.C. § 12101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Employee Retirement Income Security Act, 29 U.S.C. § 1001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Colorado Anti-Discrimination Act, C.R.S. 24-34-401, </w:t>
      </w:r>
      <w:r>
        <w:rPr>
          <w:rFonts w:ascii="Arial" w:cs="Arial" w:eastAsia="Arial" w:hAnsi="Arial"/>
          <w:sz w:val="19"/>
          <w:szCs w:val="19"/>
          <w:i w:val="1"/>
          <w:iCs w:val="1"/>
          <w:color w:val="auto"/>
        </w:rPr>
        <w:t>et seq.</w:t>
      </w:r>
      <w:r>
        <w:rPr>
          <w:rFonts w:ascii="Arial" w:cs="Arial" w:eastAsia="Arial" w:hAnsi="Arial"/>
          <w:sz w:val="19"/>
          <w:szCs w:val="19"/>
          <w:color w:val="auto"/>
        </w:rPr>
        <w:t>; and common law or equitable claims alleging breach of contract, defamation, fraud, outrageous conduct, promissory estoppel, violation of public policy, wrongful discharge or any other tort, contract or equitable theory. Executive agrees to exhaust any and all internal dispute resolution procedures established by the Company prior to pursuing arbitration under this Agreement.</w:t>
      </w:r>
    </w:p>
    <w:p>
      <w:pPr>
        <w:spacing w:after="0" w:line="148" w:lineRule="exact"/>
        <w:rPr>
          <w:rFonts w:ascii="Arial" w:cs="Arial" w:eastAsia="Arial" w:hAnsi="Arial"/>
          <w:sz w:val="19"/>
          <w:szCs w:val="19"/>
          <w:b w:val="1"/>
          <w:bCs w:val="1"/>
          <w:color w:val="auto"/>
        </w:rPr>
      </w:pPr>
    </w:p>
    <w:p>
      <w:pPr>
        <w:ind w:left="-757" w:firstLine="757"/>
        <w:spacing w:after="0" w:line="256" w:lineRule="auto"/>
        <w:tabs>
          <w:tab w:leader="none" w:pos="741"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Reimbursement of Legal Expenses. </w:t>
      </w:r>
      <w:r>
        <w:rPr>
          <w:rFonts w:ascii="Arial" w:cs="Arial" w:eastAsia="Arial" w:hAnsi="Arial"/>
          <w:sz w:val="22"/>
          <w:szCs w:val="22"/>
          <w:color w:val="auto"/>
        </w:rPr>
        <w:t>If any contest or dispute shall arise between the Company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regarding any provision of this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313055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123" w:name="page124"/>
    <w:bookmarkEnd w:id="123"/>
    <w:p>
      <w:pPr>
        <w:jc w:val="both"/>
        <w:spacing w:after="0" w:line="259" w:lineRule="auto"/>
        <w:rPr>
          <w:sz w:val="20"/>
          <w:szCs w:val="20"/>
          <w:color w:val="auto"/>
        </w:rPr>
      </w:pPr>
      <w:r>
        <w:rPr>
          <w:rFonts w:ascii="Arial" w:cs="Arial" w:eastAsia="Arial" w:hAnsi="Arial"/>
          <w:sz w:val="20"/>
          <w:szCs w:val="20"/>
          <w:color w:val="auto"/>
        </w:rPr>
        <w:t>Company shall reimburse the Executive for all legal fees and expenses reasonably incurred by the Executive in connection with such contest or dispute, but only if the Executive prevails to a substantial extent with respect to at least one of Executive’s material claims brought and pursued in connection with such contest or dispute. Such reimbursement shall be made as soon as practicable following the resolution of such contest or dispute (whether or not appealed) to the extent the Company receives written evidence of such fees and expenses. Any such reimbursements or expenses shall be paid not later than as soon as practicable following the resolution of the dispute but in no event later than the end of the first taxable year of the Executive in which the Company and the Executive enter into a legally binding settlement of such dispute, the Company concedes that the amount is payable, or the Company is required to make such payment pursuant to a final and nonappealable judgment or other binding decision.</w:t>
      </w:r>
    </w:p>
    <w:p>
      <w:pPr>
        <w:spacing w:after="0" w:line="161" w:lineRule="exact"/>
        <w:rPr>
          <w:sz w:val="20"/>
          <w:szCs w:val="20"/>
          <w:color w:val="auto"/>
        </w:rPr>
      </w:pPr>
    </w:p>
    <w:p>
      <w:pPr>
        <w:jc w:val="both"/>
        <w:ind w:firstLine="757"/>
        <w:spacing w:after="0" w:line="243" w:lineRule="auto"/>
        <w:tabs>
          <w:tab w:leader="none" w:pos="1498"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provision of this Agreement shall be held by any Court of competent jurisdiction to be</w:t>
      </w:r>
      <w:r>
        <w:rPr>
          <w:rFonts w:ascii="Arial" w:cs="Arial" w:eastAsia="Arial" w:hAnsi="Arial"/>
          <w:sz w:val="22"/>
          <w:szCs w:val="22"/>
          <w:b w:val="1"/>
          <w:bCs w:val="1"/>
          <w:color w:val="auto"/>
        </w:rPr>
        <w:t xml:space="preserve"> </w:t>
      </w:r>
      <w:r>
        <w:rPr>
          <w:rFonts w:ascii="Arial" w:cs="Arial" w:eastAsia="Arial" w:hAnsi="Arial"/>
          <w:sz w:val="22"/>
          <w:szCs w:val="22"/>
          <w:color w:val="auto"/>
        </w:rPr>
        <w:t>illegal, void or unenforceable, such provision shall be of no force and effect, but the enforceability of all other provisions of this Agreement shall be unimpaired.</w:t>
      </w:r>
    </w:p>
    <w:p>
      <w:pPr>
        <w:spacing w:after="0" w:line="175" w:lineRule="exact"/>
        <w:rPr>
          <w:rFonts w:ascii="Arial" w:cs="Arial" w:eastAsia="Arial" w:hAnsi="Arial"/>
          <w:sz w:val="22"/>
          <w:szCs w:val="22"/>
          <w:b w:val="1"/>
          <w:bCs w:val="1"/>
          <w:color w:val="auto"/>
        </w:rPr>
      </w:pPr>
    </w:p>
    <w:p>
      <w:pPr>
        <w:jc w:val="both"/>
        <w:ind w:firstLine="757"/>
        <w:spacing w:after="0" w:line="258" w:lineRule="auto"/>
        <w:tabs>
          <w:tab w:leader="none" w:pos="1498"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Binding Agreement</w:t>
      </w:r>
      <w:r>
        <w:rPr>
          <w:rFonts w:ascii="Arial" w:cs="Arial" w:eastAsia="Arial" w:hAnsi="Arial"/>
          <w:sz w:val="20"/>
          <w:szCs w:val="20"/>
          <w:color w:val="auto"/>
        </w:rPr>
        <w:t>. Executive shall not delegate or assign any of Executive’s rights or obligations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provided, however, that the terms of this Agreement and all rights of Executive hereunder shall inure to the benefit of, and be enforceable by, Executive’s personal or legal representatives, executors, administrators, successors, heirs, distributees, devisees and legatees. The Company shall cause any successor to the Company (whether direct or indirect and whether by purchase, lease, merger, consolidation, liquidation or otherwise) or to all or substantially all of the Company’s business and/or assets to assume the Company’s obligations under this Agreement and agree expressly to perform the Company’s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or which becomes bound by the terms of the Agreement by operation of law or otherwise. This Agreement may be amended only by a written amendment executed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4" w:name="page125"/>
    <w:bookmarkEnd w:id="124"/>
    <w:p>
      <w:pPr>
        <w:jc w:val="both"/>
        <w:ind w:left="-757" w:firstLine="757"/>
        <w:spacing w:after="0" w:line="262" w:lineRule="auto"/>
        <w:tabs>
          <w:tab w:leader="none" w:pos="741"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Effect on other Agreements and Benefits</w:t>
      </w:r>
      <w:r>
        <w:rPr>
          <w:rFonts w:ascii="Arial" w:cs="Arial" w:eastAsia="Arial" w:hAnsi="Arial"/>
          <w:sz w:val="20"/>
          <w:szCs w:val="20"/>
          <w:color w:val="auto"/>
        </w:rPr>
        <w:t>. Except to the extent expressly set forth herein, any benefit or</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to which Executive is entitled under the Employment Agreement, any other agreement between Executive and the Company or any of its Subsidiaries or any plan maintained by the Company or any of its Subsidiaries in which the Executive participates or participated shall not be modified or lessened in any way, but shall be payable according to the terms of the applicable plan or agreement. Notwithstanding the foregoing, any severance benefit received by Executive under this Agreement shall be in lieu of any severance benefits to which the Executive would otherwise be entitled under the Employment Agreement or any other severance policy or plan maintained by the Company or any of its Subsidiaries.</w:t>
      </w:r>
    </w:p>
    <w:p>
      <w:pPr>
        <w:spacing w:after="0" w:line="157" w:lineRule="exact"/>
        <w:rPr>
          <w:rFonts w:ascii="Arial" w:cs="Arial" w:eastAsia="Arial" w:hAnsi="Arial"/>
          <w:sz w:val="20"/>
          <w:szCs w:val="20"/>
          <w:b w:val="1"/>
          <w:bCs w:val="1"/>
          <w:color w:val="auto"/>
        </w:rPr>
      </w:pPr>
    </w:p>
    <w:p>
      <w:pPr>
        <w:ind w:left="-757" w:firstLine="757"/>
        <w:spacing w:after="0" w:line="256" w:lineRule="auto"/>
        <w:tabs>
          <w:tab w:leader="none" w:pos="741"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Employment Taxes. </w:t>
      </w:r>
      <w:r>
        <w:rPr>
          <w:rFonts w:ascii="Arial" w:cs="Arial" w:eastAsia="Arial" w:hAnsi="Arial"/>
          <w:sz w:val="22"/>
          <w:szCs w:val="22"/>
          <w:color w:val="auto"/>
        </w:rPr>
        <w:t>All payments made pursuant to this Agreement shall be subject to withholding of</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income and employment taxes.</w:t>
      </w:r>
    </w:p>
    <w:p>
      <w:pPr>
        <w:spacing w:after="0" w:line="161" w:lineRule="exact"/>
        <w:rPr>
          <w:rFonts w:ascii="Arial" w:cs="Arial" w:eastAsia="Arial" w:hAnsi="Arial"/>
          <w:sz w:val="22"/>
          <w:szCs w:val="22"/>
          <w:b w:val="1"/>
          <w:bCs w:val="1"/>
          <w:color w:val="auto"/>
        </w:rPr>
      </w:pPr>
    </w:p>
    <w:p>
      <w:pPr>
        <w:jc w:val="both"/>
        <w:ind w:left="-757" w:firstLine="757"/>
        <w:spacing w:after="0" w:line="256" w:lineRule="auto"/>
        <w:tabs>
          <w:tab w:leader="none" w:pos="741"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Section 409A</w:t>
      </w:r>
      <w:r>
        <w:rPr>
          <w:rFonts w:ascii="Arial" w:cs="Arial" w:eastAsia="Arial" w:hAnsi="Arial"/>
          <w:sz w:val="20"/>
          <w:szCs w:val="20"/>
          <w:color w:val="auto"/>
        </w:rPr>
        <w:t>. This Agreement is intended to comply with the requirements of Section 409A of the Code,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interpreted and construed consistently with such intent. The payments to Executive pursuant to this Agreement are also intended to be exempt from Section 409A of the Code to the maximum extent possible. The amount referred to herein as the “Basic Separation Payment” is intended to be exempt from being treated as deferred compensation under the separation pay exemption pursuant to Treasury regulation §1.409A-1(b)(9). The change in the time and form of payment of the Separation Payment from installments as provided in the Employment Agreement to a lump sum payment as provided herein is intended to comply with Section 409A in reliance on such subsection of the regulations and, as applicable, Treasury regulation §1.409A-3(c). The amount referred to herein as the “Additional Payment” is a new legally binding right created pursuant to this Agreement and is intended to be exempt from Section 409A of the Code as short-term deferral pursuant to Treasury regulation §1.409A-1(b)(4). In the event the terms of this Agreement would subject Executive to taxes or penalties under Section 409A of the Code (“</w:t>
      </w:r>
      <w:r>
        <w:rPr>
          <w:rFonts w:ascii="Arial" w:cs="Arial" w:eastAsia="Arial" w:hAnsi="Arial"/>
          <w:sz w:val="20"/>
          <w:szCs w:val="20"/>
          <w:b w:val="1"/>
          <w:bCs w:val="1"/>
          <w:i w:val="1"/>
          <w:iCs w:val="1"/>
          <w:color w:val="auto"/>
        </w:rPr>
        <w:t>409A</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Penalties</w:t>
      </w:r>
      <w:r>
        <w:rPr>
          <w:rFonts w:ascii="Arial" w:cs="Arial" w:eastAsia="Arial" w:hAnsi="Arial"/>
          <w:sz w:val="20"/>
          <w:szCs w:val="20"/>
          <w:color w:val="auto"/>
        </w:rPr>
        <w:t>”), the Company and Executive shall cooperate diligently to amend the terms of the Agreement to avoid such 409A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Penalties, to the extent possible. To the extent any amounts under this Agreement are payable by reference to Executive’s “termination of employment,” such term shall be deemed to refer to Executive’s “separation from service,” within the meaning of Section 409A of the Code. Notwithstanding any other provision in this Agreement, if Executive is a “specified employee,” as defined in Section 409A of the Code, as of the date of Executive’s separation from service, then to the extent any amount payable under this Agreement (i) constitutes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320675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125" w:name="page126"/>
    <w:bookmarkEnd w:id="125"/>
    <w:p>
      <w:pPr>
        <w:jc w:val="both"/>
        <w:spacing w:after="0" w:line="260" w:lineRule="auto"/>
        <w:rPr>
          <w:sz w:val="20"/>
          <w:szCs w:val="20"/>
          <w:color w:val="auto"/>
        </w:rPr>
      </w:pPr>
      <w:r>
        <w:rPr>
          <w:rFonts w:ascii="Arial" w:cs="Arial" w:eastAsia="Arial" w:hAnsi="Arial"/>
          <w:sz w:val="20"/>
          <w:szCs w:val="20"/>
          <w:color w:val="auto"/>
        </w:rPr>
        <w:t>the payment of nonqualified deferred compensation, within the meaning of Section 409A of the Code, (ii) is payable upon Executive’s separation from service and (iii) under the terms of this Agreement would be payable prior to the six-month anniversary of Executive’s separation from service, such payment shall be delayed until the earlier to occur of (a) the six-month anniversary of the separation from service or (b) the date of Executive’s death.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w:t>
      </w:r>
    </w:p>
    <w:p>
      <w:pPr>
        <w:spacing w:after="0" w:line="165" w:lineRule="exact"/>
        <w:rPr>
          <w:sz w:val="20"/>
          <w:szCs w:val="20"/>
          <w:color w:val="auto"/>
        </w:rPr>
      </w:pPr>
    </w:p>
    <w:p>
      <w:pPr>
        <w:ind w:firstLine="757"/>
        <w:spacing w:after="0" w:line="256" w:lineRule="auto"/>
        <w:tabs>
          <w:tab w:leader="none" w:pos="1498"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shall be deemed an original, but</w:t>
      </w:r>
      <w:r>
        <w:rPr>
          <w:rFonts w:ascii="Arial" w:cs="Arial" w:eastAsia="Arial" w:hAnsi="Arial"/>
          <w:sz w:val="22"/>
          <w:szCs w:val="22"/>
          <w:b w:val="1"/>
          <w:bCs w:val="1"/>
          <w:color w:val="auto"/>
        </w:rPr>
        <w:t xml:space="preserve"> </w:t>
      </w:r>
      <w:r>
        <w:rPr>
          <w:rFonts w:ascii="Arial" w:cs="Arial" w:eastAsia="Arial" w:hAnsi="Arial"/>
          <w:sz w:val="22"/>
          <w:szCs w:val="22"/>
          <w:color w:val="auto"/>
        </w:rPr>
        <w:t>all of which together will constitute one and the same instrument.</w:t>
      </w:r>
    </w:p>
    <w:p>
      <w:pPr>
        <w:spacing w:after="0" w:line="161" w:lineRule="exact"/>
        <w:rPr>
          <w:rFonts w:ascii="Arial" w:cs="Arial" w:eastAsia="Arial" w:hAnsi="Arial"/>
          <w:sz w:val="22"/>
          <w:szCs w:val="22"/>
          <w:b w:val="1"/>
          <w:bCs w:val="1"/>
          <w:color w:val="auto"/>
        </w:rPr>
      </w:pPr>
    </w:p>
    <w:p>
      <w:pPr>
        <w:ind w:firstLine="757"/>
        <w:spacing w:after="0" w:line="256" w:lineRule="auto"/>
        <w:tabs>
          <w:tab w:leader="none" w:pos="1498"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In addition to terms defined above and elsewhere in this Agreement, the following terms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meanings set forth below:</w:t>
      </w:r>
    </w:p>
    <w:p>
      <w:pPr>
        <w:spacing w:after="0" w:line="168"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b w:val="1"/>
          <w:bCs w:val="1"/>
          <w:i w:val="1"/>
          <w:iCs w:val="1"/>
          <w:color w:val="auto"/>
        </w:rPr>
        <w:t xml:space="preserve">“Affiliate” </w:t>
      </w:r>
      <w:r>
        <w:rPr>
          <w:rFonts w:ascii="Arial" w:cs="Arial" w:eastAsia="Arial" w:hAnsi="Arial"/>
          <w:sz w:val="22"/>
          <w:szCs w:val="22"/>
          <w:color w:val="auto"/>
        </w:rPr>
        <w:t>means with respect to any Person, any other Person who directly or indirectly, through one or more intermediaries,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Annual Bonus Plan</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annual bonus plan established by the Board in which members of management participate.</w:t>
      </w:r>
    </w:p>
    <w:p>
      <w:pPr>
        <w:spacing w:after="0" w:line="261"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any options, restricted stock, restricted stock units or other equity incentives awarded to the Executive under the Gogo Inc. 2016 Omnibus Incentive Plan or any other plan implemented by the Company.</w:t>
      </w:r>
    </w:p>
    <w:p>
      <w:pPr>
        <w:spacing w:after="0" w:line="195"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written agreement between the Company and the Executive evidencing an Award under the Gogo</w:t>
      </w:r>
      <w:r>
        <w:rPr>
          <w:rFonts w:ascii="Arial" w:cs="Arial" w:eastAsia="Arial" w:hAnsi="Arial"/>
          <w:sz w:val="22"/>
          <w:szCs w:val="22"/>
          <w:b w:val="1"/>
          <w:bCs w:val="1"/>
          <w:color w:val="auto"/>
        </w:rPr>
        <w:t xml:space="preserve"> </w:t>
      </w:r>
      <w:r>
        <w:rPr>
          <w:rFonts w:ascii="Arial" w:cs="Arial" w:eastAsia="Arial" w:hAnsi="Arial"/>
          <w:sz w:val="22"/>
          <w:szCs w:val="22"/>
          <w:color w:val="auto"/>
        </w:rPr>
        <w:t>Inc. 2016 Omnibus Incentive Plan or any other plan implemented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6" w:name="page127"/>
    <w:bookmarkEnd w:id="126"/>
    <w:p>
      <w:pPr>
        <w:ind w:right="140"/>
        <w:spacing w:after="0" w:line="243"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Executive’s annual base salary paid or payable by the Company or any of its Subsidiaries at the rate in</w:t>
      </w:r>
      <w:r>
        <w:rPr>
          <w:rFonts w:ascii="Arial" w:cs="Arial" w:eastAsia="Arial" w:hAnsi="Arial"/>
          <w:sz w:val="22"/>
          <w:szCs w:val="22"/>
          <w:b w:val="1"/>
          <w:bCs w:val="1"/>
          <w:color w:val="auto"/>
        </w:rPr>
        <w:t xml:space="preserve"> </w:t>
      </w:r>
      <w:r>
        <w:rPr>
          <w:rFonts w:ascii="Arial" w:cs="Arial" w:eastAsia="Arial" w:hAnsi="Arial"/>
          <w:sz w:val="22"/>
          <w:szCs w:val="22"/>
          <w:color w:val="auto"/>
        </w:rPr>
        <w:t>effect (or required to be in effect before any diminution that is a basis of the Executive’s termination for Good Reason) on the Date of Termination.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b w:val="1"/>
          <w:bCs w:val="1"/>
          <w:i w:val="1"/>
          <w:iCs w:val="1"/>
          <w:color w:val="auto"/>
        </w:rPr>
        <w:t>“Cause</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shall have the meaning ascribed to it in the Employment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“Change in Control” </w:t>
      </w:r>
      <w:r>
        <w:rPr>
          <w:rFonts w:ascii="Arial" w:cs="Arial" w:eastAsia="Arial" w:hAnsi="Arial"/>
          <w:sz w:val="22"/>
          <w:szCs w:val="22"/>
          <w:color w:val="auto"/>
        </w:rPr>
        <w:t>means:</w:t>
      </w:r>
    </w:p>
    <w:p>
      <w:pPr>
        <w:spacing w:after="0" w:line="205" w:lineRule="exact"/>
        <w:rPr>
          <w:sz w:val="20"/>
          <w:szCs w:val="20"/>
          <w:color w:val="auto"/>
        </w:rPr>
      </w:pPr>
    </w:p>
    <w:p>
      <w:pPr>
        <w:ind w:right="480" w:firstLine="757"/>
        <w:spacing w:after="0" w:line="287" w:lineRule="auto"/>
        <w:tabs>
          <w:tab w:leader="none" w:pos="1551"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acquisition by any person, entity or “group” (within the meaning of Section 13(d)(3) or 14(d)(2) of the Exchange Act), of beneficial ownership (within the meaning of Rule 13d-3 promulgated under the Exchange Act) of 50% or more of either the then outstanding equity interests in the Company or the combined voting power of the Company's then outstanding voting securities, excluding acquisitions by the Thorne Affiliates, as defined in the Stockholders’ Agreement; or</w:t>
      </w:r>
    </w:p>
    <w:p>
      <w:pPr>
        <w:spacing w:after="0" w:line="141" w:lineRule="exact"/>
        <w:rPr>
          <w:rFonts w:ascii="Arial" w:cs="Arial" w:eastAsia="Arial" w:hAnsi="Arial"/>
          <w:sz w:val="19"/>
          <w:szCs w:val="19"/>
          <w:color w:val="auto"/>
        </w:rPr>
      </w:pPr>
    </w:p>
    <w:p>
      <w:pPr>
        <w:ind w:right="60" w:firstLine="757"/>
        <w:spacing w:after="0" w:line="236" w:lineRule="auto"/>
        <w:tabs>
          <w:tab w:leader="none" w:pos="15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of the Company or the sale of all or substantially all of the assets of the Company, in each case with respect to which the Thorne Affiliates and any other persons who held equity interests in the Company immediately prior to such reorganization, merger, consolidation or sale do not immediately thereafter own, directly or indirectly, 50% or more of the combined voting power of the then outstanding securities of the surviving or resulting corporation or other entity.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Internal Revenue Code of 1986, as amended from time to time.</w:t>
      </w:r>
    </w:p>
    <w:p>
      <w:pPr>
        <w:spacing w:after="0" w:line="238" w:lineRule="exact"/>
        <w:rPr>
          <w:sz w:val="20"/>
          <w:szCs w:val="20"/>
          <w:color w:val="auto"/>
        </w:rPr>
      </w:pPr>
    </w:p>
    <w:p>
      <w:pPr>
        <w:jc w:val="both"/>
        <w:spacing w:after="0" w:line="227" w:lineRule="auto"/>
        <w:rPr>
          <w:sz w:val="20"/>
          <w:szCs w:val="20"/>
          <w:color w:val="auto"/>
        </w:rPr>
      </w:pPr>
      <w:r>
        <w:rPr>
          <w:rFonts w:ascii="Arial" w:cs="Arial" w:eastAsia="Arial" w:hAnsi="Arial"/>
          <w:sz w:val="22"/>
          <w:szCs w:val="22"/>
          <w:b w:val="1"/>
          <w:bCs w:val="1"/>
          <w:i w:val="1"/>
          <w:iCs w:val="1"/>
          <w:color w:val="auto"/>
        </w:rPr>
        <w:t xml:space="preserve">“Date of Termination” </w:t>
      </w:r>
      <w:r>
        <w:rPr>
          <w:rFonts w:ascii="Arial" w:cs="Arial" w:eastAsia="Arial" w:hAnsi="Arial"/>
          <w:sz w:val="22"/>
          <w:szCs w:val="22"/>
          <w:color w:val="auto"/>
        </w:rPr>
        <w:t>means (i) if the Executive’s employment is terminated by the Company for Cause, or by the Executive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Good Reason, the date of receipt of the Notice of Termination or such later date specified in the Notice of Termination, as the case may be, (ii) if the Executive’s employment is terminated by the Company other than for Cause or Disability, the date on which the Company notifies the Executive of such termination, (iii) if the Executive resigns without Good Reason, the date on which the Executive notifies the Company of such termination, and (iv) if the Executive’s employment is terminated by reason of death or Disability, the date of death of Executive or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after receipt of notice of Disability from Executive, as the case may be. Notwithstanding the foregoing, in no event shall the Date of Termination occur until the Executive experiences a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7" w:name="page128"/>
    <w:bookmarkEnd w:id="127"/>
    <w:p>
      <w:pPr>
        <w:jc w:val="both"/>
        <w:spacing w:after="0" w:line="250" w:lineRule="auto"/>
        <w:rPr>
          <w:sz w:val="20"/>
          <w:szCs w:val="20"/>
          <w:color w:val="auto"/>
        </w:rPr>
      </w:pPr>
      <w:r>
        <w:rPr>
          <w:rFonts w:ascii="Arial" w:cs="Arial" w:eastAsia="Arial" w:hAnsi="Arial"/>
          <w:sz w:val="22"/>
          <w:szCs w:val="22"/>
          <w:color w:val="auto"/>
        </w:rPr>
        <w:t>from service” within the meaning of Section 409A of the Code, and the date on which such separation from service occurs shall be the “Date of Termination.”</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 xml:space="preserve">“Disability” </w:t>
      </w:r>
      <w:r>
        <w:rPr>
          <w:rFonts w:ascii="Arial" w:cs="Arial" w:eastAsia="Arial" w:hAnsi="Arial"/>
          <w:sz w:val="22"/>
          <w:szCs w:val="22"/>
          <w:color w:val="auto"/>
        </w:rPr>
        <w:t>means a condition such that the Executive by reason of physical or mental disability becomes unable to perform 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her normal duties for more than one hundred eighty (180) days in the aggregate (excluding infrequent or temporary absence due to ordinary transitory illness) during any twelve-month period.</w:t>
      </w:r>
    </w:p>
    <w:p>
      <w:pPr>
        <w:spacing w:after="0" w:line="158" w:lineRule="exact"/>
        <w:rPr>
          <w:sz w:val="20"/>
          <w:szCs w:val="20"/>
          <w:color w:val="auto"/>
        </w:rPr>
      </w:pPr>
    </w:p>
    <w:p>
      <w:pPr>
        <w:jc w:val="both"/>
        <w:spacing w:after="0" w:line="299" w:lineRule="auto"/>
        <w:rPr>
          <w:sz w:val="20"/>
          <w:szCs w:val="20"/>
          <w:color w:val="auto"/>
        </w:rPr>
      </w:pPr>
      <w:r>
        <w:rPr>
          <w:rFonts w:ascii="Arial" w:cs="Arial" w:eastAsia="Arial" w:hAnsi="Arial"/>
          <w:sz w:val="20"/>
          <w:szCs w:val="20"/>
          <w:b w:val="1"/>
          <w:bCs w:val="1"/>
          <w:i w:val="1"/>
          <w:iCs w:val="1"/>
          <w:color w:val="auto"/>
        </w:rPr>
        <w:t xml:space="preserve">“Employment Agreement” </w:t>
      </w:r>
      <w:r>
        <w:rPr>
          <w:rFonts w:ascii="Arial" w:cs="Arial" w:eastAsia="Arial" w:hAnsi="Arial"/>
          <w:sz w:val="20"/>
          <w:szCs w:val="20"/>
          <w:color w:val="auto"/>
        </w:rPr>
        <w:t>means the Employment Agreement, dated November 2, 2022 between Gogo Business Aviation LLC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Executive, and any other written agreement between Executive and the Company or any of its Subsidiaries.</w:t>
      </w:r>
    </w:p>
    <w:p>
      <w:pPr>
        <w:spacing w:after="0" w:line="88"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b w:val="1"/>
          <w:bCs w:val="1"/>
          <w:i w:val="1"/>
          <w:iCs w:val="1"/>
          <w:color w:val="auto"/>
        </w:rPr>
        <w:t xml:space="preserve">“Good Reason” </w:t>
      </w:r>
      <w:r>
        <w:rPr>
          <w:rFonts w:ascii="Arial" w:cs="Arial" w:eastAsia="Arial" w:hAnsi="Arial"/>
          <w:sz w:val="19"/>
          <w:szCs w:val="19"/>
          <w:color w:val="auto"/>
        </w:rPr>
        <w:t>means (i) a reduction by the Company or any of its Subsidiaries in Executive’s Base Salary or in his or 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Target Bonus; (ii) a material diminution in the Executive’s position with the Company, such that the Executive is required to perform duties and responsibilities following the Change in Control which would have been assigned to a position that would have been below the level of Vice President under the title structure in effect at the Company immediately prior to the Change in Control; (iii) the relocation of Executive’s principal place of employment to a geographic location greater than fifty (50) miles from the Company’s headquarters immediately prior to the Change in Control, (iv) the occurrence of a Change in Control in which the acquiror does not assume the obligations of the Company or its Subsidiaries under the Employment Agreement; and</w:t>
      </w:r>
    </w:p>
    <w:p>
      <w:pPr>
        <w:spacing w:after="0" w:line="3" w:lineRule="exact"/>
        <w:rPr>
          <w:sz w:val="20"/>
          <w:szCs w:val="20"/>
          <w:color w:val="auto"/>
        </w:rPr>
      </w:pPr>
    </w:p>
    <w:p>
      <w:pPr>
        <w:ind w:right="100" w:firstLine="8"/>
        <w:spacing w:after="0" w:line="275" w:lineRule="auto"/>
        <w:tabs>
          <w:tab w:leader="none" w:pos="306" w:val="left"/>
        </w:tabs>
        <w:numPr>
          <w:ilvl w:val="0"/>
          <w:numId w:val="77"/>
        </w:numPr>
        <w:rPr>
          <w:rFonts w:ascii="Arial" w:cs="Arial" w:eastAsia="Arial" w:hAnsi="Arial"/>
          <w:sz w:val="20"/>
          <w:szCs w:val="20"/>
          <w:color w:val="auto"/>
        </w:rPr>
      </w:pPr>
      <w:r>
        <w:rPr>
          <w:rFonts w:ascii="Arial" w:cs="Arial" w:eastAsia="Arial" w:hAnsi="Arial"/>
          <w:sz w:val="20"/>
          <w:szCs w:val="20"/>
          <w:color w:val="auto"/>
        </w:rPr>
        <w:t>any material failure by the Company or any Subsidiary to pay the Executive any compensation when otherwise due under the terms of the Employment Agreement; provided, however, that Executive may resign for Good Reason only if (i) he or she has given the Company written notice of its breach within 90 days of the date that the Executive discovers such breach and (ii) the Company has not remedied such breach on or before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Company’s receipt of such notice.</w:t>
      </w:r>
    </w:p>
    <w:p>
      <w:pPr>
        <w:spacing w:after="0" w:line="76" w:lineRule="exact"/>
        <w:rPr>
          <w:sz w:val="20"/>
          <w:szCs w:val="20"/>
          <w:color w:val="auto"/>
        </w:rPr>
      </w:pPr>
    </w:p>
    <w:p>
      <w:pPr>
        <w:ind w:right="880"/>
        <w:spacing w:after="0" w:line="327" w:lineRule="auto"/>
        <w:rPr>
          <w:sz w:val="20"/>
          <w:szCs w:val="20"/>
          <w:color w:val="auto"/>
        </w:rPr>
      </w:pPr>
      <w:r>
        <w:rPr>
          <w:rFonts w:ascii="Arial" w:cs="Arial" w:eastAsia="Arial" w:hAnsi="Arial"/>
          <w:sz w:val="19"/>
          <w:szCs w:val="19"/>
          <w:b w:val="1"/>
          <w:bCs w:val="1"/>
          <w:i w:val="1"/>
          <w:iCs w:val="1"/>
          <w:color w:val="auto"/>
        </w:rPr>
        <w:t xml:space="preserve">“Person” </w:t>
      </w:r>
      <w:r>
        <w:rPr>
          <w:rFonts w:ascii="Arial" w:cs="Arial" w:eastAsia="Arial" w:hAnsi="Arial"/>
          <w:sz w:val="19"/>
          <w:szCs w:val="19"/>
          <w:color w:val="auto"/>
        </w:rPr>
        <w:t>means an individual, partnership, corporation, limited liability company, joint stock company, unincorporated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 or association, trust, joint venture, association or other similar entity, whether or not a legal entity.</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Qualifying Termination</w:t>
      </w:r>
      <w:r>
        <w:rPr>
          <w:rFonts w:ascii="Arial" w:cs="Arial" w:eastAsia="Arial" w:hAnsi="Arial"/>
          <w:sz w:val="22"/>
          <w:szCs w:val="22"/>
          <w:color w:val="auto"/>
        </w:rPr>
        <w:t>” means:</w:t>
      </w:r>
    </w:p>
    <w:p>
      <w:pPr>
        <w:spacing w:after="0" w:line="226" w:lineRule="exact"/>
        <w:rPr>
          <w:sz w:val="20"/>
          <w:szCs w:val="20"/>
          <w:color w:val="auto"/>
        </w:rPr>
      </w:pPr>
    </w:p>
    <w:p>
      <w:pPr>
        <w:ind w:firstLine="2246"/>
        <w:spacing w:after="0" w:line="256"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at any time within the period commencing on the date of the consummation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a Change in Control and ending twenty-four (24) months thereafter,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8" w:name="page129"/>
    <w:bookmarkEnd w:id="128"/>
    <w:p>
      <w:pPr>
        <w:jc w:val="both"/>
        <w:spacing w:after="0" w:line="250" w:lineRule="auto"/>
        <w:rPr>
          <w:sz w:val="20"/>
          <w:szCs w:val="20"/>
          <w:color w:val="auto"/>
        </w:rPr>
      </w:pPr>
      <w:r>
        <w:rPr>
          <w:rFonts w:ascii="Arial" w:cs="Arial" w:eastAsia="Arial" w:hAnsi="Arial"/>
          <w:sz w:val="22"/>
          <w:szCs w:val="22"/>
          <w:color w:val="auto"/>
        </w:rPr>
        <w:t>Executive’s employment is terminated (A) involuntarily for any reason other than Cause, death or Disability or (B) by the Executive for Good Reason; or</w:t>
      </w:r>
    </w:p>
    <w:p>
      <w:pPr>
        <w:spacing w:after="0" w:line="168" w:lineRule="exact"/>
        <w:rPr>
          <w:sz w:val="20"/>
          <w:szCs w:val="20"/>
          <w:color w:val="auto"/>
        </w:rPr>
      </w:pPr>
    </w:p>
    <w:p>
      <w:pPr>
        <w:jc w:val="both"/>
        <w:ind w:firstLine="2246"/>
        <w:spacing w:after="0" w:line="259" w:lineRule="auto"/>
        <w:rPr>
          <w:sz w:val="20"/>
          <w:szCs w:val="20"/>
          <w:color w:val="auto"/>
        </w:rPr>
      </w:pPr>
      <w:r>
        <w:rPr>
          <w:rFonts w:ascii="Arial" w:cs="Arial" w:eastAsia="Arial" w:hAnsi="Arial"/>
          <w:sz w:val="20"/>
          <w:szCs w:val="20"/>
          <w:b w:val="1"/>
          <w:bCs w:val="1"/>
          <w:color w:val="auto"/>
        </w:rPr>
        <w:t xml:space="preserve">(ii) </w:t>
      </w:r>
      <w:r>
        <w:rPr>
          <w:rFonts w:ascii="Arial" w:cs="Arial" w:eastAsia="Arial" w:hAnsi="Arial"/>
          <w:sz w:val="20"/>
          <w:szCs w:val="20"/>
          <w:color w:val="auto"/>
        </w:rPr>
        <w:t>at any time following the date the Company or any of its Affiliates enters into</w:t>
      </w:r>
      <w:r>
        <w:rPr>
          <w:rFonts w:ascii="Arial" w:cs="Arial" w:eastAsia="Arial" w:hAnsi="Arial"/>
          <w:sz w:val="20"/>
          <w:szCs w:val="20"/>
          <w:b w:val="1"/>
          <w:bCs w:val="1"/>
          <w:color w:val="auto"/>
        </w:rPr>
        <w:t xml:space="preserve"> </w:t>
      </w:r>
      <w:r>
        <w:rPr>
          <w:rFonts w:ascii="Arial" w:cs="Arial" w:eastAsia="Arial" w:hAnsi="Arial"/>
          <w:sz w:val="20"/>
          <w:szCs w:val="20"/>
          <w:color w:val="auto"/>
        </w:rPr>
        <w:t>an agreement with a third party and the consummation of the transactions contemplated by such agreement would result in a Change in Control of the Company and prior to the date of the consummation of the Change in Control pursuant to such agreement, the Executive’s employment is terminated (A) involuntarily for any reason other than Cause, death, or Disability or</w:t>
      </w:r>
    </w:p>
    <w:p>
      <w:pPr>
        <w:spacing w:after="0" w:line="2" w:lineRule="exact"/>
        <w:rPr>
          <w:sz w:val="20"/>
          <w:szCs w:val="20"/>
          <w:color w:val="auto"/>
        </w:rPr>
      </w:pPr>
    </w:p>
    <w:p>
      <w:pPr>
        <w:jc w:val="both"/>
        <w:ind w:firstLine="8"/>
        <w:spacing w:after="0" w:line="233" w:lineRule="auto"/>
        <w:tabs>
          <w:tab w:leader="none" w:pos="349" w:val="left"/>
        </w:tabs>
        <w:numPr>
          <w:ilvl w:val="0"/>
          <w:numId w:val="78"/>
        </w:numPr>
        <w:rPr>
          <w:rFonts w:ascii="Arial" w:cs="Arial" w:eastAsia="Arial" w:hAnsi="Arial"/>
          <w:sz w:val="22"/>
          <w:szCs w:val="22"/>
          <w:color w:val="auto"/>
        </w:rPr>
      </w:pPr>
      <w:r>
        <w:rPr>
          <w:rFonts w:ascii="Arial" w:cs="Arial" w:eastAsia="Arial" w:hAnsi="Arial"/>
          <w:sz w:val="22"/>
          <w:szCs w:val="22"/>
          <w:color w:val="auto"/>
        </w:rPr>
        <w:t>by the Executive for Good Reason; provided, however, that in the case of each of clauses (A) and (B) the affected Executive demonstrates that such termination or circumstance leading to such termination (1) was at the request of a third party or any of their Affiliates with which the Company had entered into such agreement contemplating a Change in Control; or (2) otherwise occurred in connection with a Change in Control.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Severance Period</w:t>
      </w:r>
      <w:r>
        <w:rPr>
          <w:rFonts w:ascii="Arial" w:cs="Arial" w:eastAsia="Arial" w:hAnsi="Arial"/>
          <w:sz w:val="22"/>
          <w:szCs w:val="22"/>
          <w:color w:val="auto"/>
        </w:rPr>
        <w:t>” shall mean 18 months.</w:t>
      </w:r>
    </w:p>
    <w:p>
      <w:pPr>
        <w:spacing w:after="0" w:line="232"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Stockholders’ Agreement</w:t>
      </w:r>
      <w:r>
        <w:rPr>
          <w:rFonts w:ascii="Arial" w:cs="Arial" w:eastAsia="Arial" w:hAnsi="Arial"/>
          <w:sz w:val="22"/>
          <w:szCs w:val="22"/>
          <w:color w:val="auto"/>
        </w:rPr>
        <w:t>” means the Stockholders’ Agreement, dated December 31, 2009, between the Company and the stockholders who are parties thereto, as amended.</w:t>
      </w: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i w:val="1"/>
          <w:iCs w:val="1"/>
          <w:color w:val="auto"/>
        </w:rPr>
        <w:t xml:space="preserve">“Subsidiary” </w:t>
      </w:r>
      <w:r>
        <w:rPr>
          <w:rFonts w:ascii="Arial" w:cs="Arial" w:eastAsia="Arial" w:hAnsi="Arial"/>
          <w:sz w:val="22"/>
          <w:szCs w:val="22"/>
          <w:color w:val="auto"/>
        </w:rPr>
        <w:t>means any corporation or limited liability company in which the Company, directly or indirectly, holds a majority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voting power of such entity’s outstanding shares of capital stock or membership interests.</w:t>
      </w:r>
    </w:p>
    <w:p>
      <w:pPr>
        <w:spacing w:after="0" w:line="134" w:lineRule="exact"/>
        <w:rPr>
          <w:sz w:val="20"/>
          <w:szCs w:val="20"/>
          <w:color w:val="auto"/>
        </w:rPr>
      </w:pPr>
    </w:p>
    <w:p>
      <w:pPr>
        <w:ind w:right="300"/>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 Bonus</w:t>
      </w:r>
      <w:r>
        <w:rPr>
          <w:rFonts w:ascii="Arial" w:cs="Arial" w:eastAsia="Arial" w:hAnsi="Arial"/>
          <w:sz w:val="20"/>
          <w:szCs w:val="20"/>
          <w:color w:val="auto"/>
        </w:rPr>
        <w:t>” means the target bonus, determined by multiplying an agreed-upon percentage times Base Salary, for which Executive is eligible under the Annual Bonus Plan at the percentage in effect (or required to be in effect before any diminution that is a basis of the Executive’s termination for Good Reason)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9" w:name="page130"/>
    <w:bookmarkEnd w:id="129"/>
    <w:p>
      <w:pPr>
        <w:spacing w:after="0"/>
        <w:rPr>
          <w:sz w:val="20"/>
          <w:szCs w:val="20"/>
          <w:color w:val="auto"/>
        </w:rPr>
      </w:pPr>
      <w:r>
        <w:rPr>
          <w:rFonts w:ascii="Arial" w:cs="Arial" w:eastAsia="Arial" w:hAnsi="Arial"/>
          <w:sz w:val="19"/>
          <w:szCs w:val="19"/>
          <w:color w:val="auto"/>
        </w:rPr>
        <w:t>The parties have executed this Agreement on the date first above written, effective as of the Effective Date.</w:t>
      </w:r>
    </w:p>
    <w:p>
      <w:pPr>
        <w:sectPr>
          <w:pgSz w:w="11900" w:h="16838" w:orient="portrait"/>
          <w:cols w:equalWidth="0" w:num="1">
            <w:col w:w="11240"/>
          </w:cols>
          <w:pgMar w:left="320" w:top="3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COMPANY:</w:t>
            </w:r>
          </w:p>
        </w:tc>
        <w:tc>
          <w:tcPr>
            <w:tcW w:w="5500" w:type="dxa"/>
            <w:vAlign w:val="bottom"/>
            <w:gridSpan w:val="2"/>
          </w:tcPr>
          <w:p>
            <w:pPr>
              <w:spacing w:after="0"/>
              <w:rPr>
                <w:sz w:val="20"/>
                <w:szCs w:val="20"/>
                <w:color w:val="auto"/>
              </w:rPr>
            </w:pPr>
            <w:r>
              <w:rPr>
                <w:rFonts w:ascii="Arial" w:cs="Arial" w:eastAsia="Arial" w:hAnsi="Arial"/>
                <w:sz w:val="22"/>
                <w:szCs w:val="22"/>
                <w:b w:val="1"/>
                <w:bCs w:val="1"/>
                <w:color w:val="auto"/>
              </w:rPr>
              <w:t>EXECUTIVE:</w:t>
            </w:r>
          </w:p>
        </w:tc>
      </w:tr>
      <w:tr>
        <w:trPr>
          <w:trHeight w:val="485"/>
        </w:trPr>
        <w:tc>
          <w:tcPr>
            <w:tcW w:w="1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ogo</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tc>
        <w:tc>
          <w:tcPr>
            <w:tcW w:w="18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728"/>
        </w:trPr>
        <w:tc>
          <w:tcPr>
            <w:tcW w:w="1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Date: September 21, 2022</w:t>
            </w:r>
          </w:p>
        </w:tc>
        <w:tc>
          <w:tcPr>
            <w:tcW w:w="5500" w:type="dxa"/>
            <w:vAlign w:val="bottom"/>
            <w:gridSpan w:val="2"/>
          </w:tcPr>
          <w:p>
            <w:pPr>
              <w:spacing w:after="0"/>
              <w:rPr>
                <w:sz w:val="20"/>
                <w:szCs w:val="20"/>
                <w:color w:val="auto"/>
              </w:rPr>
            </w:pPr>
            <w:r>
              <w:rPr>
                <w:rFonts w:ascii="Arial" w:cs="Arial" w:eastAsia="Arial" w:hAnsi="Arial"/>
                <w:sz w:val="22"/>
                <w:szCs w:val="22"/>
                <w:color w:val="auto"/>
              </w:rPr>
              <w:t>Date: September 27, 2022</w:t>
            </w:r>
          </w:p>
        </w:tc>
      </w:tr>
      <w:tr>
        <w:trPr>
          <w:trHeight w:val="678"/>
        </w:trPr>
        <w:tc>
          <w:tcPr>
            <w:tcW w:w="1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22"/>
                <w:szCs w:val="22"/>
                <w:color w:val="auto"/>
                <w:w w:val="90"/>
              </w:rPr>
              <w:t>/s/ Marguerite M Elias</w:t>
            </w:r>
          </w:p>
        </w:tc>
        <w:tc>
          <w:tcPr>
            <w:tcW w:w="368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22"/>
                <w:szCs w:val="22"/>
                <w:color w:val="auto"/>
              </w:rPr>
              <w:t>/s/ Crystal L. Gordon</w:t>
            </w:r>
          </w:p>
        </w:tc>
      </w:tr>
      <w:tr>
        <w:trPr>
          <w:trHeight w:val="20"/>
        </w:trPr>
        <w:tc>
          <w:tcPr>
            <w:tcW w:w="1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73"/>
        </w:trPr>
        <w:tc>
          <w:tcPr>
            <w:tcW w:w="120" w:type="dxa"/>
            <w:vAlign w:val="bottom"/>
          </w:tcPr>
          <w:p>
            <w:pPr>
              <w:spacing w:after="0"/>
              <w:rPr>
                <w:sz w:val="23"/>
                <w:szCs w:val="23"/>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Title: EVP and General Counsel</w:t>
            </w:r>
          </w:p>
        </w:tc>
        <w:tc>
          <w:tcPr>
            <w:tcW w:w="5500" w:type="dxa"/>
            <w:vAlign w:val="bottom"/>
            <w:gridSpan w:val="2"/>
          </w:tcPr>
          <w:p>
            <w:pPr>
              <w:spacing w:after="0"/>
              <w:rPr>
                <w:sz w:val="20"/>
                <w:szCs w:val="20"/>
                <w:color w:val="auto"/>
              </w:rPr>
            </w:pPr>
            <w:r>
              <w:rPr>
                <w:rFonts w:ascii="Arial" w:cs="Arial" w:eastAsia="Arial" w:hAnsi="Arial"/>
                <w:sz w:val="22"/>
                <w:szCs w:val="22"/>
                <w:color w:val="auto"/>
              </w:rPr>
              <w:t>Print Name: Crystal L. Gordon</w:t>
            </w:r>
          </w:p>
        </w:tc>
      </w:tr>
      <w:tr>
        <w:trPr>
          <w:trHeight w:val="1089"/>
        </w:trPr>
        <w:tc>
          <w:tcPr>
            <w:tcW w:w="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10.9.4</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149860</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167005</wp:posOffset>
            </wp:positionV>
            <wp:extent cx="71323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FIRST AMENDMENT TO CREDIT AGREEMENT</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February 2, 2023</w:t>
      </w:r>
    </w:p>
    <w:p>
      <w:pPr>
        <w:spacing w:after="0" w:line="107"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among</w:t>
      </w:r>
    </w:p>
    <w:p>
      <w:pPr>
        <w:spacing w:after="0" w:line="215"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GOGO INC.,</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Holdings,</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GOGO INTERMEDIATE HOLDINGS LLC,</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the Borrower</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MORGAN STANLEY SENIOR FUNDING, INC.</w:t>
      </w:r>
    </w:p>
    <w:p>
      <w:pPr>
        <w:spacing w:after="0" w:line="215"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716915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6"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0"/>
          <w:szCs w:val="20"/>
          <w:b w:val="1"/>
          <w:bCs w:val="1"/>
          <w:color w:val="auto"/>
        </w:rPr>
        <w:t>FIRST AMENDMENT TO CREDIT AGREEMENT</w:t>
      </w:r>
    </w:p>
    <w:p>
      <w:pPr>
        <w:spacing w:after="0" w:line="234"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This FIRST AMENDMENT TO CREDIT AGREEMENT (this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dated as of February 2, 2023, by and between Gogo Inc., a Delaware corporation (“</w:t>
      </w:r>
      <w:r>
        <w:rPr>
          <w:rFonts w:ascii="Arial" w:cs="Arial" w:eastAsia="Arial" w:hAnsi="Arial"/>
          <w:sz w:val="20"/>
          <w:szCs w:val="20"/>
          <w:b w:val="1"/>
          <w:bCs w:val="1"/>
          <w:i w:val="1"/>
          <w:iCs w:val="1"/>
          <w:color w:val="auto"/>
        </w:rPr>
        <w:t>Holdings</w:t>
      </w:r>
      <w:r>
        <w:rPr>
          <w:rFonts w:ascii="Arial" w:cs="Arial" w:eastAsia="Arial" w:hAnsi="Arial"/>
          <w:sz w:val="20"/>
          <w:szCs w:val="20"/>
          <w:color w:val="auto"/>
        </w:rPr>
        <w:t>”), Gogo Intermediate Holdings LLC, a Delaware limited liability company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and Morgan Stanley Senior Funding, Inc., as administrative agent (in such capacity, including any successor thereto, the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PRELIMINARY STATEMENTS:</w:t>
      </w:r>
    </w:p>
    <w:p>
      <w:pPr>
        <w:spacing w:after="0" w:line="215" w:lineRule="exact"/>
        <w:rPr>
          <w:sz w:val="20"/>
          <w:szCs w:val="20"/>
          <w:color w:val="auto"/>
        </w:rPr>
      </w:pPr>
    </w:p>
    <w:p>
      <w:pPr>
        <w:jc w:val="both"/>
        <w:ind w:firstLine="1505"/>
        <w:spacing w:after="0" w:line="263" w:lineRule="auto"/>
        <w:tabs>
          <w:tab w:leader="none" w:pos="1893"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Borrower, Holdings, the Administrative Agent, the Lenders from time to time party thereto and the Issuing Banks from time to time party thereto are party to that certain Credit Agreement, dated as of April 30, 2021 (as amended, restated, amended and restated, supplemented, waived or otherwise modified from time to time prior to the date hereof, the “</w:t>
      </w:r>
      <w:r>
        <w:rPr>
          <w:rFonts w:ascii="Arial" w:cs="Arial" w:eastAsia="Arial" w:hAnsi="Arial"/>
          <w:sz w:val="19"/>
          <w:szCs w:val="19"/>
          <w:b w:val="1"/>
          <w:bCs w:val="1"/>
          <w:i w:val="1"/>
          <w:iCs w:val="1"/>
          <w:color w:val="auto"/>
        </w:rPr>
        <w:t>Existing Credit Agreement</w:t>
      </w:r>
      <w:r>
        <w:rPr>
          <w:rFonts w:ascii="Arial" w:cs="Arial" w:eastAsia="Arial" w:hAnsi="Arial"/>
          <w:sz w:val="19"/>
          <w:szCs w:val="19"/>
          <w:color w:val="auto"/>
        </w:rPr>
        <w:t>”; and the Existing Credit Agreement as amended by this Amendment, the “</w:t>
      </w:r>
      <w:r>
        <w:rPr>
          <w:rFonts w:ascii="Arial" w:cs="Arial" w:eastAsia="Arial" w:hAnsi="Arial"/>
          <w:sz w:val="19"/>
          <w:szCs w:val="19"/>
          <w:b w:val="1"/>
          <w:bCs w:val="1"/>
          <w:i w:val="1"/>
          <w:iCs w:val="1"/>
          <w:color w:val="auto"/>
        </w:rPr>
        <w:t>Amended Credit Agreement</w:t>
      </w:r>
      <w:r>
        <w:rPr>
          <w:rFonts w:ascii="Arial" w:cs="Arial" w:eastAsia="Arial" w:hAnsi="Arial"/>
          <w:sz w:val="19"/>
          <w:szCs w:val="19"/>
          <w:color w:val="auto"/>
        </w:rPr>
        <w:t>”); and</w:t>
      </w:r>
    </w:p>
    <w:p>
      <w:pPr>
        <w:spacing w:after="0" w:line="174" w:lineRule="exact"/>
        <w:rPr>
          <w:rFonts w:ascii="Arial" w:cs="Arial" w:eastAsia="Arial" w:hAnsi="Arial"/>
          <w:sz w:val="19"/>
          <w:szCs w:val="19"/>
          <w:color w:val="auto"/>
        </w:rPr>
      </w:pPr>
    </w:p>
    <w:p>
      <w:pPr>
        <w:jc w:val="both"/>
        <w:ind w:firstLine="1505"/>
        <w:spacing w:after="0" w:line="249" w:lineRule="auto"/>
        <w:tabs>
          <w:tab w:leader="none" w:pos="1893"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The Administrative Agent and the Borrower desire to amend certain provisions of the Existing Credit Agreement, in each case, in accordance with </w:t>
      </w:r>
      <w:r>
        <w:rPr>
          <w:rFonts w:ascii="Arial" w:cs="Arial" w:eastAsia="Arial" w:hAnsi="Arial"/>
          <w:sz w:val="20"/>
          <w:szCs w:val="20"/>
          <w:u w:val="single" w:color="auto"/>
          <w:color w:val="auto"/>
        </w:rPr>
        <w:t>Section 1.10</w:t>
      </w:r>
      <w:r>
        <w:rPr>
          <w:rFonts w:ascii="Arial" w:cs="Arial" w:eastAsia="Arial" w:hAnsi="Arial"/>
          <w:sz w:val="20"/>
          <w:szCs w:val="20"/>
          <w:color w:val="auto"/>
        </w:rPr>
        <w:t xml:space="preserve"> of the Existing Credit Agreement and, subject to the terms and conditions set forth herein, this Amendment shall become effective on the First Amendment Effective Date (as defined below);</w:t>
      </w:r>
    </w:p>
    <w:p>
      <w:pPr>
        <w:spacing w:after="0" w:line="18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NOW, THEREFORE, in consideration of the mutual agreements herein contained and other good and valuable consideration, the sufficiency and receipt of which are hereby acknowledged, and subject to the conditions set forth herein, the parties hereto hereby agree as follows:</w:t>
      </w:r>
    </w:p>
    <w:p>
      <w:pPr>
        <w:spacing w:after="0" w:line="188"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i w:val="1"/>
          <w:iCs w:val="1"/>
          <w:color w:val="auto"/>
        </w:rPr>
        <w:t>.</w:t>
      </w:r>
      <w:r>
        <w:rPr>
          <w:rFonts w:ascii="Arial" w:cs="Arial" w:eastAsia="Arial" w:hAnsi="Arial"/>
          <w:sz w:val="20"/>
          <w:szCs w:val="20"/>
          <w:color w:val="auto"/>
        </w:rPr>
        <w:t xml:space="preserve"> Capitalized terms used but not defined herein shall have the meanings assigned to such terms in the Amended Credit Agreement.</w:t>
      </w:r>
    </w:p>
    <w:p>
      <w:pPr>
        <w:spacing w:after="0" w:line="17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Amendments to the Existing Credit Agreement</w:t>
      </w:r>
      <w:r>
        <w:rPr>
          <w:rFonts w:ascii="Arial" w:cs="Arial" w:eastAsia="Arial" w:hAnsi="Arial"/>
          <w:sz w:val="19"/>
          <w:szCs w:val="19"/>
          <w:color w:val="auto"/>
        </w:rPr>
        <w:t xml:space="preserve">. Subject to the satisfaction of the conditions precedent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hereof, on and as of the First Amendment Effective Date, (A) the Existing Credit Agreement is hereby amended by (i) deleting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(ii) adding the double underlined text (indicated textually in the same manner as the following example: </w:t>
      </w:r>
      <w:r>
        <w:rPr>
          <w:rFonts w:ascii="Arial" w:cs="Arial" w:eastAsia="Arial" w:hAnsi="Arial"/>
          <w:sz w:val="19"/>
          <w:szCs w:val="19"/>
          <w:u w:val="single" w:color="auto"/>
          <w:color w:val="074BB9"/>
        </w:rPr>
        <w:t>double-underlined text</w:t>
      </w:r>
      <w:r>
        <w:rPr>
          <w:rFonts w:ascii="Arial" w:cs="Arial" w:eastAsia="Arial" w:hAnsi="Arial"/>
          <w:sz w:val="19"/>
          <w:szCs w:val="19"/>
          <w:color w:val="auto"/>
        </w:rPr>
        <w:t xml:space="preserve">) as set forth in the Amended Credit Agreement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and (B) Exhibit C-1 to the Existing Credit Agreement is hereby amended by (i) deleting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(ii) adding the double underlined text (indicated textually in the same manner as the following example: </w:t>
      </w:r>
      <w:r>
        <w:rPr>
          <w:rFonts w:ascii="Arial" w:cs="Arial" w:eastAsia="Arial" w:hAnsi="Arial"/>
          <w:sz w:val="19"/>
          <w:szCs w:val="19"/>
          <w:u w:val="single" w:color="auto"/>
          <w:color w:val="074BB9"/>
        </w:rPr>
        <w:t>double-underlined text</w:t>
      </w:r>
      <w:r>
        <w:rPr>
          <w:rFonts w:ascii="Arial" w:cs="Arial" w:eastAsia="Arial" w:hAnsi="Arial"/>
          <w:sz w:val="19"/>
          <w:szCs w:val="19"/>
          <w:color w:val="auto"/>
        </w:rPr>
        <w:t xml:space="preserve">) as set forth attached hereto as </w:t>
      </w:r>
      <w:r>
        <w:rPr>
          <w:rFonts w:ascii="Arial" w:cs="Arial" w:eastAsia="Arial" w:hAnsi="Arial"/>
          <w:sz w:val="19"/>
          <w:szCs w:val="19"/>
          <w:u w:val="single" w:color="auto"/>
          <w:color w:val="auto"/>
        </w:rPr>
        <w:t>Annex B</w:t>
      </w:r>
      <w:r>
        <w:rPr>
          <w:rFonts w:ascii="Arial" w:cs="Arial" w:eastAsia="Arial" w:hAnsi="Arial"/>
          <w:sz w:val="19"/>
          <w:szCs w:val="19"/>
          <w:color w:val="auto"/>
        </w:rPr>
        <w:t>. The amendments to the Existing Credit Agreement and Exhibit C-1 shall constitute amendments stemming from an Early Opt-in Election (as defined in the Existing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2" w:name="page133"/>
    <w:bookmarkEnd w:id="132"/>
    <w:p>
      <w:pPr>
        <w:jc w:val="both"/>
        <w:ind w:firstLine="749"/>
        <w:spacing w:after="0" w:line="25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of the Loan Parties</w:t>
      </w:r>
      <w:r>
        <w:rPr>
          <w:rFonts w:ascii="Arial" w:cs="Arial" w:eastAsia="Arial" w:hAnsi="Arial"/>
          <w:sz w:val="19"/>
          <w:szCs w:val="19"/>
          <w:i w:val="1"/>
          <w:iCs w:val="1"/>
          <w:color w:val="auto"/>
        </w:rPr>
        <w:t>.</w:t>
      </w:r>
      <w:r>
        <w:rPr>
          <w:rFonts w:ascii="Arial" w:cs="Arial" w:eastAsia="Arial" w:hAnsi="Arial"/>
          <w:sz w:val="19"/>
          <w:szCs w:val="19"/>
          <w:color w:val="auto"/>
        </w:rPr>
        <w:t xml:space="preserve"> Each Loan Party hereby represents and warrants to the Administrative Agent as of the First Amendment Effective Date that (a) it has all corporate or other organizational power and authority to execute, deliver and perform its obligations under this Amendment, (b) the execution, delivery and performance of this Amendment has been duly authorized by all necessary corporate or other organizational action, and (c) each of this Amendment has been duly executed and delivered by such Loan Party and constitutes a legal, valid and binding obligation of such Loan Party, enforceable against such Loan Party in accordance with its respective terms, except as such enforceability may be limited by Debtor Relief Laws or other laws affecting creditors’ rights generally and by general principles of equity and principles of good faith and fair dealing.</w:t>
      </w:r>
    </w:p>
    <w:p>
      <w:pPr>
        <w:spacing w:after="0" w:line="183"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Conditions Precedent</w:t>
      </w:r>
      <w:r>
        <w:rPr>
          <w:rFonts w:ascii="Arial" w:cs="Arial" w:eastAsia="Arial" w:hAnsi="Arial"/>
          <w:sz w:val="19"/>
          <w:szCs w:val="19"/>
          <w:i w:val="1"/>
          <w:iCs w:val="1"/>
          <w:color w:val="auto"/>
        </w:rPr>
        <w:t>.</w:t>
      </w:r>
      <w:r>
        <w:rPr>
          <w:rFonts w:ascii="Arial" w:cs="Arial" w:eastAsia="Arial" w:hAnsi="Arial"/>
          <w:sz w:val="19"/>
          <w:szCs w:val="19"/>
          <w:color w:val="auto"/>
        </w:rPr>
        <w:t xml:space="preserve"> The effectiveness of this Amendment, including Section 2 hereof, is subject to the satisfaction or waiver of the following condition (the date of such satisfaction or waiver, the “</w:t>
      </w:r>
      <w:r>
        <w:rPr>
          <w:rFonts w:ascii="Arial" w:cs="Arial" w:eastAsia="Arial" w:hAnsi="Arial"/>
          <w:sz w:val="19"/>
          <w:szCs w:val="19"/>
          <w:b w:val="1"/>
          <w:bCs w:val="1"/>
          <w:i w:val="1"/>
          <w:iCs w:val="1"/>
          <w:color w:val="auto"/>
        </w:rPr>
        <w:t>First Amendment Effective Date</w:t>
      </w:r>
      <w:r>
        <w:rPr>
          <w:rFonts w:ascii="Arial" w:cs="Arial" w:eastAsia="Arial" w:hAnsi="Arial"/>
          <w:sz w:val="19"/>
          <w:szCs w:val="19"/>
          <w:color w:val="auto"/>
        </w:rPr>
        <w:t>”):</w:t>
      </w:r>
    </w:p>
    <w:p>
      <w:pPr>
        <w:spacing w:after="0" w:line="153"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(a) The Administrative Agent’s receipt of executed counterparts of this Amendment, which shall be originals or pdf copies or facsimile or delivered by other electronic method unless otherwise specified, properly executed by a Responsible Officer of each applicable Loan Party, in form and substance reasonably satisfactory to the Administrative Agent.</w:t>
      </w:r>
    </w:p>
    <w:p>
      <w:pPr>
        <w:spacing w:after="0" w:line="18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Reference to and Effect on the Loan Documents</w:t>
      </w:r>
      <w:r>
        <w:rPr>
          <w:rFonts w:ascii="Arial" w:cs="Arial" w:eastAsia="Arial" w:hAnsi="Arial"/>
          <w:sz w:val="19"/>
          <w:szCs w:val="19"/>
          <w:color w:val="auto"/>
        </w:rPr>
        <w:t>. (a) On and after the First Amendment Effective Date, each reference in the Amended Credit Agreement to “hereunder”, “hereof”, “Agreement”, “this Agreement” or words of like import and each reference in the other Loan Documents to “Credit Agreement”, “thereunder”, “thereof” or words of like import shall, unless the context otherwise requires, mean and be a reference to the Amended Credit Agreement. On and after the First Amendment Effective Date, this Amendment shall be a Loan Document under the Existing Credit Agreement and the Amended Credit Agreement.</w:t>
      </w:r>
    </w:p>
    <w:p>
      <w:pPr>
        <w:spacing w:after="0" w:line="178" w:lineRule="exact"/>
        <w:rPr>
          <w:sz w:val="20"/>
          <w:szCs w:val="20"/>
          <w:color w:val="auto"/>
        </w:rPr>
      </w:pPr>
    </w:p>
    <w:p>
      <w:pPr>
        <w:jc w:val="both"/>
        <w:ind w:firstLine="1505"/>
        <w:spacing w:after="0" w:line="257" w:lineRule="auto"/>
        <w:tabs>
          <w:tab w:leader="none" w:pos="23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Guarantees, the Collateral Documents and each other Loan Document shall continue to be in full force and effect and are hereby in all respects ratified and confirmed, and the respective guarantees, pledges, grants of security interests and other agreements, as applicable, under each of the Guarantees and the Collateral Documents, notwithstanding the consummation of the transactions contemplated hereby, shall continue to be in full force and effect and shall accrue to the benefit of the Secured Parties under the Existing Credit Agreement and the Amended Credit Agreement. Without limiting the generality of the foregoing, the Guarantees and the Collateral Documents and all of the Collateral described therein do and shall continue to secure the payment of all Obligations of the Loan Parties under the Loan Documents, in each case, as may be amended by this Amendment.</w:t>
      </w:r>
    </w:p>
    <w:p>
      <w:pPr>
        <w:spacing w:after="0" w:line="182" w:lineRule="exact"/>
        <w:rPr>
          <w:rFonts w:ascii="Arial" w:cs="Arial" w:eastAsia="Arial" w:hAnsi="Arial"/>
          <w:sz w:val="19"/>
          <w:szCs w:val="19"/>
          <w:color w:val="auto"/>
        </w:rPr>
      </w:pPr>
    </w:p>
    <w:p>
      <w:pPr>
        <w:jc w:val="both"/>
        <w:ind w:firstLine="1505"/>
        <w:spacing w:after="0" w:line="249" w:lineRule="auto"/>
        <w:tabs>
          <w:tab w:leader="none" w:pos="23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8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.pdf or other electronic form shall be effective as delivery of a manually executed original counterpart of this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3" w:name="page134"/>
    <w:bookmarkEnd w:id="133"/>
    <w:p>
      <w:pPr>
        <w:jc w:val="both"/>
        <w:spacing w:after="0" w:line="246" w:lineRule="auto"/>
        <w:rPr>
          <w:sz w:val="20"/>
          <w:szCs w:val="20"/>
          <w:color w:val="auto"/>
        </w:rPr>
      </w:pPr>
      <w:r>
        <w:rPr>
          <w:rFonts w:ascii="Arial" w:cs="Arial" w:eastAsia="Arial" w:hAnsi="Arial"/>
          <w:sz w:val="20"/>
          <w:szCs w:val="20"/>
          <w:color w:val="auto"/>
        </w:rPr>
        <w:t>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0"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Amendments; Headings; Severability</w:t>
      </w:r>
      <w:r>
        <w:rPr>
          <w:rFonts w:ascii="Arial" w:cs="Arial" w:eastAsia="Arial" w:hAnsi="Arial"/>
          <w:sz w:val="20"/>
          <w:szCs w:val="20"/>
          <w:color w:val="auto"/>
        </w:rPr>
        <w:t>. This Amendment may not be amended nor may any provision hereof be waived except pursuant to a writing signed by the Administrative Agent and the Loan Parties.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00" w:lineRule="exact"/>
        <w:rPr>
          <w:sz w:val="20"/>
          <w:szCs w:val="20"/>
          <w:color w:val="auto"/>
        </w:rPr>
      </w:pPr>
    </w:p>
    <w:p>
      <w:pPr>
        <w:ind w:left="760"/>
        <w:spacing w:after="0"/>
        <w:tabs>
          <w:tab w:leader="none" w:pos="206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8"/>
          <w:szCs w:val="18"/>
          <w:u w:val="single" w:color="auto"/>
          <w:color w:val="auto"/>
        </w:rPr>
        <w:t>Governing Law; Etc</w:t>
      </w:r>
      <w:r>
        <w:rPr>
          <w:rFonts w:ascii="Arial" w:cs="Arial" w:eastAsia="Arial" w:hAnsi="Arial"/>
          <w:sz w:val="18"/>
          <w:szCs w:val="18"/>
          <w:i w:val="1"/>
          <w:iCs w:val="1"/>
          <w:color w:val="auto"/>
        </w:rPr>
        <w:t>.</w:t>
      </w:r>
    </w:p>
    <w:p>
      <w:pPr>
        <w:spacing w:after="0" w:line="215" w:lineRule="exact"/>
        <w:rPr>
          <w:sz w:val="20"/>
          <w:szCs w:val="20"/>
          <w:color w:val="auto"/>
        </w:rPr>
      </w:pPr>
    </w:p>
    <w:p>
      <w:pPr>
        <w:jc w:val="both"/>
        <w:ind w:firstLine="1505"/>
        <w:spacing w:after="0" w:line="249" w:lineRule="auto"/>
        <w:tabs>
          <w:tab w:leader="none" w:pos="23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THIS AMENDMENT AND EACH OTHER LOAN DOCUMENT SHALL, EXCEPT AS OTHERWISE PROVIDED IN CERTAIN OF THE GUARANTY AND COLLATERAL DOCUMENTS, BE GOVERNED BY, AND CONSTRUED IN ACCORDANCE WITH, THE LAW OF THE STATE OF NEW YORK.</w:t>
      </w:r>
    </w:p>
    <w:p>
      <w:pPr>
        <w:spacing w:after="0" w:line="187" w:lineRule="exact"/>
        <w:rPr>
          <w:rFonts w:ascii="Arial" w:cs="Arial" w:eastAsia="Arial" w:hAnsi="Arial"/>
          <w:sz w:val="20"/>
          <w:szCs w:val="20"/>
          <w:color w:val="auto"/>
        </w:rPr>
      </w:pPr>
    </w:p>
    <w:p>
      <w:pPr>
        <w:ind w:firstLine="1505"/>
        <w:spacing w:after="0" w:line="260" w:lineRule="auto"/>
        <w:tabs>
          <w:tab w:leader="none" w:pos="23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EACH PARTY HERETO HEREBY AGREES AS SET FORTH IN SECTIONS 9.09 AND 9.10 OF THE EXISTING CREDIT AGREEMENT AS IF SUCH SECTIONS WERE SET FORTH IN FULL HEREIN.</w:t>
      </w:r>
    </w:p>
    <w:p>
      <w:pPr>
        <w:spacing w:after="0" w:line="17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No Novation</w:t>
      </w:r>
      <w:r>
        <w:rPr>
          <w:rFonts w:ascii="Arial" w:cs="Arial" w:eastAsia="Arial" w:hAnsi="Arial"/>
          <w:sz w:val="19"/>
          <w:szCs w:val="19"/>
          <w:color w:val="auto"/>
        </w:rPr>
        <w:t>. This Amendment shall not extinguish the obligations for the payment of money outstanding under the Existing Credit Agreement or discharge or release the Lien or priority of any Collateral Document or any other security therefor. Nothing herein contained shall be construed as a substitution or novation of the obligations outstanding under the Existing Credit Agreement or instruments securing the same, which shall remain in full force and effect, except to any extent modified hereby or by instruments executed concurrently herewith and except to the extent repaid as provided herein. Nothing implied in this Amendment or in any other document contemplated hereby shall be construed as a release or other discharge of any of the Loan Parties under any Loan Document from any of its obligations and liabilities as a borrower, guarantor or pledgor under any of the Loan Documents.</w:t>
      </w:r>
    </w:p>
    <w:p>
      <w:pPr>
        <w:spacing w:after="0" w:line="18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hereunder shall be given in accordance with the provisions of Section 9.01 of the Amended Credit Agreement. Notwithstanding the foregoing, execution and delivery of this Amendment shall constitute notice for purposes of Section 1.10(c) of the Existing Credit Agreement.</w:t>
      </w:r>
    </w:p>
    <w:p>
      <w:pPr>
        <w:spacing w:after="0" w:line="18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the Amended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4" w:name="page135"/>
    <w:bookmarkEnd w:id="134"/>
    <w:p>
      <w:pPr>
        <w:ind w:firstLine="1498"/>
        <w:spacing w:after="0" w:line="260" w:lineRule="auto"/>
        <w:rPr>
          <w:sz w:val="20"/>
          <w:szCs w:val="20"/>
          <w:color w:val="auto"/>
        </w:rPr>
      </w:pPr>
      <w:r>
        <w:rPr>
          <w:rFonts w:ascii="Arial" w:cs="Arial" w:eastAsia="Arial" w:hAnsi="Arial"/>
          <w:sz w:val="20"/>
          <w:szCs w:val="20"/>
          <w:color w:val="auto"/>
        </w:rPr>
        <w:t>IN WITNESS WHEREOF, the parties hereto have caused this Amendment to be executed by their respective officers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GOGO INC.</w:t>
      </w:r>
      <w:r>
        <w:rPr>
          <w:rFonts w:ascii="Arial" w:cs="Arial" w:eastAsia="Arial" w:hAnsi="Arial"/>
          <w:sz w:val="20"/>
          <w:szCs w:val="20"/>
          <w:color w:val="auto"/>
        </w:rPr>
        <w:t>, as Holdings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1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/s/ Crystal L. Gordon</w:t>
            </w:r>
          </w:p>
        </w:tc>
        <w:tc>
          <w:tcPr>
            <w:tcW w:w="1720" w:type="dxa"/>
            <w:vAlign w:val="bottom"/>
          </w:tcPr>
          <w:p>
            <w:pPr>
              <w:spacing w:after="0"/>
              <w:rPr>
                <w:sz w:val="19"/>
                <w:szCs w:val="19"/>
                <w:color w:val="auto"/>
              </w:rPr>
            </w:pPr>
          </w:p>
        </w:tc>
      </w:tr>
      <w:tr>
        <w:trPr>
          <w:trHeight w:val="260"/>
        </w:trPr>
        <w:tc>
          <w:tcPr>
            <w:tcW w:w="800" w:type="dxa"/>
            <w:vAlign w:val="bottom"/>
          </w:tcPr>
          <w:p>
            <w:pPr>
              <w:spacing w:after="0"/>
              <w:rPr>
                <w:sz w:val="20"/>
                <w:szCs w:val="20"/>
                <w:color w:val="auto"/>
              </w:rPr>
            </w:pPr>
            <w:r>
              <w:rPr>
                <w:rFonts w:ascii="Arial" w:cs="Arial" w:eastAsia="Arial" w:hAnsi="Arial"/>
                <w:sz w:val="20"/>
                <w:szCs w:val="20"/>
                <w:color w:val="auto"/>
              </w:rPr>
              <w:t>Name:</w:t>
            </w:r>
          </w:p>
        </w:tc>
        <w:tc>
          <w:tcPr>
            <w:tcW w:w="3400" w:type="dxa"/>
            <w:vAlign w:val="bottom"/>
            <w:gridSpan w:val="2"/>
          </w:tcPr>
          <w:p>
            <w:pPr>
              <w:spacing w:after="0"/>
              <w:rPr>
                <w:sz w:val="20"/>
                <w:szCs w:val="20"/>
                <w:color w:val="auto"/>
              </w:rPr>
            </w:pPr>
            <w:r>
              <w:rPr>
                <w:rFonts w:ascii="Arial" w:cs="Arial" w:eastAsia="Arial" w:hAnsi="Arial"/>
                <w:sz w:val="20"/>
                <w:szCs w:val="20"/>
                <w:color w:val="auto"/>
              </w:rPr>
              <w:t>Crystal L. Gordon</w:t>
            </w:r>
          </w:p>
        </w:tc>
      </w:tr>
      <w:tr>
        <w:trPr>
          <w:trHeight w:val="229"/>
        </w:trPr>
        <w:tc>
          <w:tcPr>
            <w:tcW w:w="800" w:type="dxa"/>
            <w:vAlign w:val="bottom"/>
          </w:tcPr>
          <w:p>
            <w:pPr>
              <w:spacing w:after="0"/>
              <w:rPr>
                <w:sz w:val="20"/>
                <w:szCs w:val="20"/>
                <w:color w:val="auto"/>
              </w:rPr>
            </w:pPr>
            <w:r>
              <w:rPr>
                <w:rFonts w:ascii="Arial" w:cs="Arial" w:eastAsia="Arial" w:hAnsi="Arial"/>
                <w:sz w:val="20"/>
                <w:szCs w:val="20"/>
                <w:color w:val="auto"/>
              </w:rPr>
              <w:t>Title:</w:t>
            </w:r>
          </w:p>
        </w:tc>
        <w:tc>
          <w:tcPr>
            <w:tcW w:w="3400" w:type="dxa"/>
            <w:vAlign w:val="bottom"/>
            <w:gridSpan w:val="2"/>
          </w:tcPr>
          <w:p>
            <w:pPr>
              <w:spacing w:after="0"/>
              <w:rPr>
                <w:sz w:val="20"/>
                <w:szCs w:val="20"/>
                <w:color w:val="auto"/>
              </w:rPr>
            </w:pPr>
            <w:r>
              <w:rPr>
                <w:rFonts w:ascii="Arial" w:cs="Arial" w:eastAsia="Arial" w:hAnsi="Arial"/>
                <w:sz w:val="20"/>
                <w:szCs w:val="20"/>
                <w:color w:val="auto"/>
                <w:w w:val="88"/>
              </w:rPr>
              <w:t>Executive Vice President, General Counsel</w:t>
            </w:r>
          </w:p>
        </w:tc>
      </w:tr>
      <w:tr>
        <w:trPr>
          <w:trHeight w:val="250"/>
        </w:trPr>
        <w:tc>
          <w:tcPr>
            <w:tcW w:w="800" w:type="dxa"/>
            <w:vAlign w:val="bottom"/>
          </w:tcPr>
          <w:p>
            <w:pPr>
              <w:spacing w:after="0"/>
              <w:rPr>
                <w:sz w:val="21"/>
                <w:szCs w:val="21"/>
                <w:color w:val="auto"/>
              </w:rPr>
            </w:pPr>
          </w:p>
        </w:tc>
        <w:tc>
          <w:tcPr>
            <w:tcW w:w="3400" w:type="dxa"/>
            <w:vAlign w:val="bottom"/>
            <w:gridSpan w:val="2"/>
          </w:tcPr>
          <w:p>
            <w:pPr>
              <w:ind w:left="40"/>
              <w:spacing w:after="0"/>
              <w:rPr>
                <w:sz w:val="20"/>
                <w:szCs w:val="20"/>
                <w:color w:val="auto"/>
              </w:rPr>
            </w:pPr>
            <w:r>
              <w:rPr>
                <w:rFonts w:ascii="Arial" w:cs="Arial" w:eastAsia="Arial" w:hAnsi="Arial"/>
                <w:sz w:val="20"/>
                <w:szCs w:val="20"/>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GOGO INTERMEDIATE HOLDINGS LLC</w:t>
      </w:r>
      <w:r>
        <w:rPr>
          <w:rFonts w:ascii="Arial" w:cs="Arial" w:eastAsia="Arial" w:hAnsi="Arial"/>
          <w:sz w:val="20"/>
          <w:szCs w:val="20"/>
          <w:color w:val="auto"/>
        </w:rPr>
        <w:t>, as the Borrower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5200"/>
              <w:spacing w:after="0"/>
              <w:rPr>
                <w:sz w:val="20"/>
                <w:szCs w:val="20"/>
                <w:color w:val="auto"/>
              </w:rPr>
            </w:pPr>
            <w:r>
              <w:rPr>
                <w:rFonts w:ascii="Arial" w:cs="Arial" w:eastAsia="Arial" w:hAnsi="Arial"/>
                <w:sz w:val="20"/>
                <w:szCs w:val="20"/>
                <w:color w:val="auto"/>
              </w:rPr>
              <w:t>By:</w:t>
            </w:r>
          </w:p>
        </w:tc>
        <w:tc>
          <w:tcPr>
            <w:tcW w:w="1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/s/ Crystal L. Gordon</w:t>
            </w:r>
          </w:p>
        </w:tc>
        <w:tc>
          <w:tcPr>
            <w:tcW w:w="3560" w:type="dxa"/>
            <w:vAlign w:val="bottom"/>
          </w:tcPr>
          <w:p>
            <w:pPr>
              <w:spacing w:after="0"/>
              <w:rPr>
                <w:sz w:val="19"/>
                <w:szCs w:val="19"/>
                <w:color w:val="auto"/>
              </w:rPr>
            </w:pPr>
          </w:p>
        </w:tc>
      </w:tr>
      <w:tr>
        <w:trPr>
          <w:trHeight w:val="260"/>
        </w:trPr>
        <w:tc>
          <w:tcPr>
            <w:tcW w:w="6000" w:type="dxa"/>
            <w:vAlign w:val="bottom"/>
          </w:tcPr>
          <w:p>
            <w:pPr>
              <w:ind w:left="5200"/>
              <w:spacing w:after="0"/>
              <w:rPr>
                <w:sz w:val="20"/>
                <w:szCs w:val="20"/>
                <w:color w:val="auto"/>
              </w:rPr>
            </w:pPr>
            <w:r>
              <w:rPr>
                <w:rFonts w:ascii="Arial" w:cs="Arial" w:eastAsia="Arial" w:hAnsi="Arial"/>
                <w:sz w:val="20"/>
                <w:szCs w:val="20"/>
                <w:color w:val="auto"/>
              </w:rPr>
              <w:t>Name:</w:t>
            </w:r>
          </w:p>
        </w:tc>
        <w:tc>
          <w:tcPr>
            <w:tcW w:w="5240" w:type="dxa"/>
            <w:vAlign w:val="bottom"/>
            <w:gridSpan w:val="2"/>
          </w:tcPr>
          <w:p>
            <w:pPr>
              <w:spacing w:after="0"/>
              <w:rPr>
                <w:sz w:val="20"/>
                <w:szCs w:val="20"/>
                <w:color w:val="auto"/>
              </w:rPr>
            </w:pPr>
            <w:r>
              <w:rPr>
                <w:rFonts w:ascii="Arial" w:cs="Arial" w:eastAsia="Arial" w:hAnsi="Arial"/>
                <w:sz w:val="20"/>
                <w:szCs w:val="20"/>
                <w:color w:val="auto"/>
              </w:rPr>
              <w:t>Crystal L. Gordon</w:t>
            </w:r>
          </w:p>
        </w:tc>
      </w:tr>
      <w:tr>
        <w:trPr>
          <w:trHeight w:val="229"/>
        </w:trPr>
        <w:tc>
          <w:tcPr>
            <w:tcW w:w="6000" w:type="dxa"/>
            <w:vAlign w:val="bottom"/>
          </w:tcPr>
          <w:p>
            <w:pPr>
              <w:ind w:left="5200"/>
              <w:spacing w:after="0"/>
              <w:rPr>
                <w:sz w:val="20"/>
                <w:szCs w:val="20"/>
                <w:color w:val="auto"/>
              </w:rPr>
            </w:pPr>
            <w:r>
              <w:rPr>
                <w:rFonts w:ascii="Arial" w:cs="Arial" w:eastAsia="Arial" w:hAnsi="Arial"/>
                <w:sz w:val="20"/>
                <w:szCs w:val="20"/>
                <w:color w:val="auto"/>
              </w:rPr>
              <w:t>Title:</w:t>
            </w:r>
          </w:p>
        </w:tc>
        <w:tc>
          <w:tcPr>
            <w:tcW w:w="5240" w:type="dxa"/>
            <w:vAlign w:val="bottom"/>
            <w:gridSpan w:val="2"/>
          </w:tcPr>
          <w:p>
            <w:pPr>
              <w:spacing w:after="0"/>
              <w:rPr>
                <w:sz w:val="20"/>
                <w:szCs w:val="20"/>
                <w:color w:val="auto"/>
              </w:rPr>
            </w:pPr>
            <w:r>
              <w:rPr>
                <w:rFonts w:ascii="Arial" w:cs="Arial" w:eastAsia="Arial" w:hAnsi="Arial"/>
                <w:sz w:val="20"/>
                <w:szCs w:val="20"/>
                <w:color w:val="auto"/>
              </w:rPr>
              <w:t>Executive Vice President, General Counsel</w:t>
            </w:r>
          </w:p>
        </w:tc>
      </w:tr>
      <w:tr>
        <w:trPr>
          <w:trHeight w:val="250"/>
        </w:trPr>
        <w:tc>
          <w:tcPr>
            <w:tcW w:w="6000" w:type="dxa"/>
            <w:vAlign w:val="bottom"/>
          </w:tcPr>
          <w:p>
            <w:pPr>
              <w:spacing w:after="0"/>
              <w:rPr>
                <w:sz w:val="21"/>
                <w:szCs w:val="21"/>
                <w:color w:val="auto"/>
              </w:rPr>
            </w:pPr>
          </w:p>
        </w:tc>
        <w:tc>
          <w:tcPr>
            <w:tcW w:w="5240" w:type="dxa"/>
            <w:vAlign w:val="bottom"/>
            <w:gridSpan w:val="2"/>
          </w:tcPr>
          <w:p>
            <w:pPr>
              <w:ind w:left="40"/>
              <w:spacing w:after="0"/>
              <w:rPr>
                <w:sz w:val="20"/>
                <w:szCs w:val="20"/>
                <w:color w:val="auto"/>
              </w:rPr>
            </w:pPr>
            <w:r>
              <w:rPr>
                <w:rFonts w:ascii="Arial" w:cs="Arial" w:eastAsia="Arial" w:hAnsi="Arial"/>
                <w:sz w:val="20"/>
                <w:szCs w:val="20"/>
                <w:color w:val="auto"/>
              </w:rPr>
              <w:t>and Secretary</w:t>
            </w:r>
          </w:p>
        </w:tc>
      </w:tr>
      <w:tr>
        <w:trPr>
          <w:trHeight w:val="674"/>
        </w:trPr>
        <w:tc>
          <w:tcPr>
            <w:tcW w:w="6000" w:type="dxa"/>
            <w:vAlign w:val="bottom"/>
          </w:tcPr>
          <w:p>
            <w:pPr>
              <w:jc w:val="right"/>
              <w:ind w:right="221"/>
              <w:spacing w:after="0"/>
              <w:rPr>
                <w:sz w:val="20"/>
                <w:szCs w:val="20"/>
                <w:color w:val="auto"/>
              </w:rPr>
            </w:pPr>
            <w:r>
              <w:rPr>
                <w:rFonts w:ascii="Arial" w:cs="Arial" w:eastAsia="Arial" w:hAnsi="Arial"/>
                <w:sz w:val="20"/>
                <w:szCs w:val="20"/>
                <w:color w:val="auto"/>
              </w:rPr>
              <w:t>5</w:t>
            </w:r>
          </w:p>
        </w:tc>
        <w:tc>
          <w:tcPr>
            <w:tcW w:w="1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11"/>
        </w:trPr>
        <w:tc>
          <w:tcPr>
            <w:tcW w:w="60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135" w:name="page136"/>
    <w:bookmarkEnd w:id="135"/>
    <w:p>
      <w:pPr>
        <w:ind w:left="5200"/>
        <w:spacing w:after="0"/>
        <w:rPr>
          <w:sz w:val="20"/>
          <w:szCs w:val="20"/>
          <w:color w:val="auto"/>
        </w:rPr>
      </w:pPr>
      <w:r>
        <w:rPr>
          <w:rFonts w:ascii="Arial" w:cs="Arial" w:eastAsia="Arial" w:hAnsi="Arial"/>
          <w:sz w:val="20"/>
          <w:szCs w:val="20"/>
          <w:b w:val="1"/>
          <w:bCs w:val="1"/>
          <w:color w:val="auto"/>
        </w:rPr>
        <w:t>MORGAN STANLEY SENIOR FUNDING, INC.</w:t>
      </w:r>
      <w:r>
        <w:rPr>
          <w:rFonts w:ascii="Arial" w:cs="Arial" w:eastAsia="Arial" w:hAnsi="Arial"/>
          <w:sz w:val="20"/>
          <w:szCs w:val="20"/>
          <w:color w:val="auto"/>
        </w:rPr>
        <w:t>,</w:t>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as Administrative Agent and as Collateral Agent</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5200"/>
              <w:spacing w:after="0"/>
              <w:rPr>
                <w:sz w:val="20"/>
                <w:szCs w:val="20"/>
                <w:color w:val="auto"/>
              </w:rPr>
            </w:pPr>
            <w:r>
              <w:rPr>
                <w:rFonts w:ascii="Arial" w:cs="Arial" w:eastAsia="Arial" w:hAnsi="Arial"/>
                <w:sz w:val="20"/>
                <w:szCs w:val="20"/>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/s/ Mara MacDonald</w:t>
            </w:r>
          </w:p>
        </w:tc>
        <w:tc>
          <w:tcPr>
            <w:tcW w:w="3600" w:type="dxa"/>
            <w:vAlign w:val="bottom"/>
          </w:tcPr>
          <w:p>
            <w:pPr>
              <w:spacing w:after="0"/>
              <w:rPr>
                <w:sz w:val="19"/>
                <w:szCs w:val="19"/>
                <w:color w:val="auto"/>
              </w:rPr>
            </w:pPr>
          </w:p>
        </w:tc>
      </w:tr>
      <w:tr>
        <w:trPr>
          <w:trHeight w:val="260"/>
        </w:trPr>
        <w:tc>
          <w:tcPr>
            <w:tcW w:w="6000" w:type="dxa"/>
            <w:vAlign w:val="bottom"/>
          </w:tcPr>
          <w:p>
            <w:pPr>
              <w:ind w:left="5200"/>
              <w:spacing w:after="0"/>
              <w:rPr>
                <w:sz w:val="20"/>
                <w:szCs w:val="20"/>
                <w:color w:val="auto"/>
              </w:rPr>
            </w:pPr>
            <w:r>
              <w:rPr>
                <w:rFonts w:ascii="Arial" w:cs="Arial" w:eastAsia="Arial" w:hAnsi="Arial"/>
                <w:sz w:val="20"/>
                <w:szCs w:val="20"/>
                <w:color w:val="auto"/>
              </w:rPr>
              <w:t>Name:</w:t>
            </w:r>
          </w:p>
        </w:tc>
        <w:tc>
          <w:tcPr>
            <w:tcW w:w="5240" w:type="dxa"/>
            <w:vAlign w:val="bottom"/>
            <w:gridSpan w:val="2"/>
          </w:tcPr>
          <w:p>
            <w:pPr>
              <w:spacing w:after="0"/>
              <w:rPr>
                <w:sz w:val="20"/>
                <w:szCs w:val="20"/>
                <w:color w:val="auto"/>
              </w:rPr>
            </w:pPr>
            <w:r>
              <w:rPr>
                <w:rFonts w:ascii="Arial" w:cs="Arial" w:eastAsia="Arial" w:hAnsi="Arial"/>
                <w:sz w:val="20"/>
                <w:szCs w:val="20"/>
                <w:color w:val="auto"/>
              </w:rPr>
              <w:t>Mara MacDonald</w:t>
            </w:r>
          </w:p>
        </w:tc>
      </w:tr>
      <w:tr>
        <w:trPr>
          <w:trHeight w:val="250"/>
        </w:trPr>
        <w:tc>
          <w:tcPr>
            <w:tcW w:w="6000" w:type="dxa"/>
            <w:vAlign w:val="bottom"/>
          </w:tcPr>
          <w:p>
            <w:pPr>
              <w:ind w:left="5200"/>
              <w:spacing w:after="0"/>
              <w:rPr>
                <w:sz w:val="20"/>
                <w:szCs w:val="20"/>
                <w:color w:val="auto"/>
              </w:rPr>
            </w:pPr>
            <w:r>
              <w:rPr>
                <w:rFonts w:ascii="Arial" w:cs="Arial" w:eastAsia="Arial" w:hAnsi="Arial"/>
                <w:sz w:val="20"/>
                <w:szCs w:val="20"/>
                <w:color w:val="auto"/>
              </w:rPr>
              <w:t>Title:</w:t>
            </w:r>
          </w:p>
        </w:tc>
        <w:tc>
          <w:tcPr>
            <w:tcW w:w="5240" w:type="dxa"/>
            <w:vAlign w:val="bottom"/>
            <w:gridSpan w:val="2"/>
          </w:tcPr>
          <w:p>
            <w:pPr>
              <w:spacing w:after="0"/>
              <w:rPr>
                <w:sz w:val="20"/>
                <w:szCs w:val="20"/>
                <w:color w:val="auto"/>
              </w:rPr>
            </w:pPr>
            <w:r>
              <w:rPr>
                <w:rFonts w:ascii="Arial" w:cs="Arial" w:eastAsia="Arial" w:hAnsi="Arial"/>
                <w:sz w:val="20"/>
                <w:szCs w:val="20"/>
                <w:color w:val="auto"/>
              </w:rPr>
              <w:t>Authorized Signatory</w:t>
            </w:r>
          </w:p>
        </w:tc>
      </w:tr>
      <w:tr>
        <w:trPr>
          <w:trHeight w:val="556"/>
        </w:trPr>
        <w:tc>
          <w:tcPr>
            <w:tcW w:w="60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t>ANNEX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5472430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606425</wp:posOffset>
            </wp:positionV>
            <wp:extent cx="71323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623570</wp:posOffset>
            </wp:positionV>
            <wp:extent cx="71323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CREDIT AGREEMENT</w:t>
      </w:r>
    </w:p>
    <w:p>
      <w:pPr>
        <w:spacing w:after="0" w:line="148"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dated as of April 30, 2021</w:t>
      </w:r>
    </w:p>
    <w:p>
      <w:pPr>
        <w:spacing w:after="0" w:line="222" w:lineRule="exact"/>
        <w:rPr>
          <w:sz w:val="20"/>
          <w:szCs w:val="20"/>
          <w:color w:val="auto"/>
        </w:rPr>
      </w:pPr>
    </w:p>
    <w:p>
      <w:pPr>
        <w:jc w:val="center"/>
        <w:ind w:right="940"/>
        <w:spacing w:after="0"/>
        <w:rPr>
          <w:sz w:val="20"/>
          <w:szCs w:val="20"/>
          <w:color w:val="auto"/>
        </w:rPr>
      </w:pPr>
      <w:r>
        <w:rPr>
          <w:rFonts w:ascii="Arial" w:cs="Arial" w:eastAsia="Arial" w:hAnsi="Arial"/>
          <w:sz w:val="20"/>
          <w:szCs w:val="20"/>
          <w:b w:val="1"/>
          <w:bCs w:val="1"/>
          <w:u w:val="single" w:color="auto"/>
          <w:color w:val="0000FF"/>
        </w:rPr>
        <w:t>As amended by the First Amendment to Credit Agreement,</w:t>
      </w:r>
    </w:p>
    <w:p>
      <w:pPr>
        <w:spacing w:after="0" w:line="215" w:lineRule="exact"/>
        <w:rPr>
          <w:sz w:val="20"/>
          <w:szCs w:val="20"/>
          <w:color w:val="auto"/>
        </w:rPr>
      </w:pPr>
    </w:p>
    <w:p>
      <w:pPr>
        <w:jc w:val="center"/>
        <w:ind w:right="940"/>
        <w:spacing w:after="0"/>
        <w:rPr>
          <w:sz w:val="20"/>
          <w:szCs w:val="20"/>
          <w:color w:val="auto"/>
        </w:rPr>
      </w:pPr>
      <w:r>
        <w:rPr>
          <w:rFonts w:ascii="Arial" w:cs="Arial" w:eastAsia="Arial" w:hAnsi="Arial"/>
          <w:sz w:val="20"/>
          <w:szCs w:val="20"/>
          <w:b w:val="1"/>
          <w:bCs w:val="1"/>
          <w:u w:val="single" w:color="auto"/>
          <w:color w:val="0000FF"/>
        </w:rPr>
        <w:t>Dated as of February 2, 2023</w:t>
      </w:r>
    </w:p>
    <w:p>
      <w:pPr>
        <w:spacing w:after="0" w:line="234" w:lineRule="exact"/>
        <w:rPr>
          <w:sz w:val="20"/>
          <w:szCs w:val="20"/>
          <w:color w:val="auto"/>
        </w:rPr>
      </w:pPr>
    </w:p>
    <w:p>
      <w:pPr>
        <w:jc w:val="center"/>
        <w:ind w:right="940"/>
        <w:spacing w:after="0"/>
        <w:rPr>
          <w:sz w:val="20"/>
          <w:szCs w:val="20"/>
          <w:color w:val="auto"/>
        </w:rPr>
      </w:pPr>
      <w:r>
        <w:rPr>
          <w:rFonts w:ascii="Arial" w:cs="Arial" w:eastAsia="Arial" w:hAnsi="Arial"/>
          <w:sz w:val="20"/>
          <w:szCs w:val="20"/>
          <w:color w:val="auto"/>
        </w:rPr>
        <w:t>among</w:t>
      </w:r>
    </w:p>
    <w:p>
      <w:pPr>
        <w:spacing w:after="0" w:line="228"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GOGO INC.,</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as Holdings,</w:t>
      </w:r>
    </w:p>
    <w:p>
      <w:pPr>
        <w:spacing w:after="0" w:line="212" w:lineRule="exact"/>
        <w:rPr>
          <w:sz w:val="20"/>
          <w:szCs w:val="20"/>
          <w:color w:val="auto"/>
        </w:rPr>
      </w:pPr>
    </w:p>
    <w:p>
      <w:pPr>
        <w:jc w:val="center"/>
        <w:ind w:right="940"/>
        <w:spacing w:after="0"/>
        <w:rPr>
          <w:sz w:val="20"/>
          <w:szCs w:val="20"/>
          <w:color w:val="auto"/>
        </w:rPr>
      </w:pPr>
      <w:r>
        <w:rPr>
          <w:rFonts w:ascii="Arial" w:cs="Arial" w:eastAsia="Arial" w:hAnsi="Arial"/>
          <w:sz w:val="20"/>
          <w:szCs w:val="20"/>
          <w:color w:val="auto"/>
        </w:rPr>
        <w:t>GOGO INTERMEDIATE HOLDINGS LLC,</w:t>
      </w:r>
    </w:p>
    <w:p>
      <w:pPr>
        <w:spacing w:after="0" w:line="15" w:lineRule="exact"/>
        <w:rPr>
          <w:sz w:val="20"/>
          <w:szCs w:val="20"/>
          <w:color w:val="auto"/>
        </w:rPr>
      </w:pPr>
    </w:p>
    <w:p>
      <w:pPr>
        <w:jc w:val="center"/>
        <w:ind w:right="940"/>
        <w:spacing w:after="0"/>
        <w:rPr>
          <w:sz w:val="20"/>
          <w:szCs w:val="20"/>
          <w:color w:val="auto"/>
        </w:rPr>
      </w:pPr>
      <w:r>
        <w:rPr>
          <w:rFonts w:ascii="Arial" w:cs="Arial" w:eastAsia="Arial" w:hAnsi="Arial"/>
          <w:sz w:val="20"/>
          <w:szCs w:val="20"/>
          <w:color w:val="auto"/>
        </w:rPr>
        <w:t>as the Borrower</w:t>
      </w:r>
    </w:p>
    <w:p>
      <w:pPr>
        <w:spacing w:after="0" w:line="199" w:lineRule="exact"/>
        <w:rPr>
          <w:sz w:val="20"/>
          <w:szCs w:val="20"/>
          <w:color w:val="auto"/>
        </w:rPr>
      </w:pPr>
    </w:p>
    <w:p>
      <w:pPr>
        <w:jc w:val="center"/>
        <w:ind w:right="940"/>
        <w:spacing w:after="0"/>
        <w:rPr>
          <w:sz w:val="20"/>
          <w:szCs w:val="20"/>
          <w:color w:val="auto"/>
        </w:rPr>
      </w:pPr>
      <w:r>
        <w:rPr>
          <w:rFonts w:ascii="Arial" w:cs="Arial" w:eastAsia="Arial" w:hAnsi="Arial"/>
          <w:sz w:val="20"/>
          <w:szCs w:val="20"/>
          <w:color w:val="auto"/>
        </w:rPr>
        <w:t>the Lenders and Issuing Banks party hereto and</w:t>
      </w:r>
    </w:p>
    <w:p>
      <w:pPr>
        <w:spacing w:after="0" w:line="15" w:lineRule="exact"/>
        <w:rPr>
          <w:sz w:val="20"/>
          <w:szCs w:val="20"/>
          <w:color w:val="auto"/>
        </w:rPr>
      </w:pPr>
    </w:p>
    <w:p>
      <w:pPr>
        <w:jc w:val="center"/>
        <w:ind w:right="940"/>
        <w:spacing w:after="0"/>
        <w:rPr>
          <w:sz w:val="20"/>
          <w:szCs w:val="20"/>
          <w:color w:val="auto"/>
        </w:rPr>
      </w:pPr>
      <w:r>
        <w:rPr>
          <w:rFonts w:ascii="Arial" w:cs="Arial" w:eastAsia="Arial" w:hAnsi="Arial"/>
          <w:sz w:val="20"/>
          <w:szCs w:val="20"/>
          <w:color w:val="auto"/>
        </w:rPr>
        <w:t>MORGAN STANLEY SENIOR FUNDING, INC.,</w:t>
      </w:r>
    </w:p>
    <w:p>
      <w:pPr>
        <w:jc w:val="center"/>
        <w:ind w:right="940"/>
        <w:spacing w:after="0"/>
        <w:rPr>
          <w:sz w:val="20"/>
          <w:szCs w:val="20"/>
          <w:color w:val="auto"/>
        </w:rPr>
      </w:pPr>
      <w:r>
        <w:rPr>
          <w:rFonts w:ascii="Arial" w:cs="Arial" w:eastAsia="Arial" w:hAnsi="Arial"/>
          <w:sz w:val="20"/>
          <w:szCs w:val="20"/>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154305</wp:posOffset>
            </wp:positionV>
            <wp:extent cx="370776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55">
                      <a:extLst>
                        <a:ext uri="{28A0092B-C50C-407E-A947-70E740481C1C}"/>
                      </a:extLst>
                    </a:blip>
                    <a:srcRect/>
                    <a:stretch>
                      <a:fillRect/>
                    </a:stretch>
                  </pic:blipFill>
                  <pic:spPr bwMode="auto">
                    <a:xfrm>
                      <a:off x="0" y="0"/>
                      <a:ext cx="370776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left="1660" w:right="2600"/>
        <w:spacing w:after="0" w:line="263" w:lineRule="auto"/>
        <w:rPr>
          <w:sz w:val="20"/>
          <w:szCs w:val="20"/>
          <w:color w:val="auto"/>
        </w:rPr>
      </w:pPr>
      <w:r>
        <w:rPr>
          <w:rFonts w:ascii="Arial" w:cs="Arial" w:eastAsia="Arial" w:hAnsi="Arial"/>
          <w:sz w:val="19"/>
          <w:szCs w:val="19"/>
          <w:color w:val="auto"/>
        </w:rPr>
        <w:t>MORGAN STANLEY SENIOR FUNDING, INC., CREDIT SUISSE LOAN FUNDING LLC, DEUTSCHE BANK SECURITIES, INC., BENEFIT STREET PARTNERS L.L.C., and CBAM PARTNERS, LLC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888365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388" w:right="49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55"/>
        </w:trPr>
        <w:tc>
          <w:tcPr>
            <w:tcW w:w="2940" w:type="dxa"/>
            <w:vAlign w:val="bottom"/>
          </w:tcPr>
          <w:p>
            <w:pPr>
              <w:spacing w:after="0"/>
              <w:rPr>
                <w:sz w:val="22"/>
                <w:szCs w:val="22"/>
                <w:color w:val="auto"/>
              </w:rPr>
            </w:pPr>
          </w:p>
        </w:tc>
        <w:tc>
          <w:tcPr>
            <w:tcW w:w="5880" w:type="dxa"/>
            <w:vAlign w:val="bottom"/>
            <w:gridSpan w:val="3"/>
          </w:tcPr>
          <w:p>
            <w:pPr>
              <w:ind w:left="1640"/>
              <w:spacing w:after="0"/>
              <w:rPr>
                <w:sz w:val="20"/>
                <w:szCs w:val="20"/>
                <w:color w:val="auto"/>
              </w:rPr>
            </w:pPr>
            <w:r>
              <w:rPr>
                <w:rFonts w:ascii="Arial" w:cs="Arial" w:eastAsia="Arial" w:hAnsi="Arial"/>
                <w:sz w:val="20"/>
                <w:szCs w:val="20"/>
                <w:b w:val="1"/>
                <w:bCs w:val="1"/>
                <w:color w:val="auto"/>
              </w:rPr>
              <w:t>TABLE OF CONTENTS</w:t>
            </w:r>
          </w:p>
        </w:tc>
        <w:tc>
          <w:tcPr>
            <w:tcW w:w="2420" w:type="dxa"/>
            <w:vAlign w:val="bottom"/>
          </w:tcPr>
          <w:p>
            <w:pPr>
              <w:spacing w:after="0"/>
              <w:rPr>
                <w:sz w:val="22"/>
                <w:szCs w:val="22"/>
                <w:color w:val="auto"/>
              </w:rPr>
            </w:pPr>
          </w:p>
        </w:tc>
      </w:tr>
      <w:tr>
        <w:trPr>
          <w:trHeight w:val="485"/>
        </w:trPr>
        <w:tc>
          <w:tcPr>
            <w:tcW w:w="2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505"/>
        </w:trPr>
        <w:tc>
          <w:tcPr>
            <w:tcW w:w="2940" w:type="dxa"/>
            <w:vAlign w:val="bottom"/>
          </w:tcPr>
          <w:p>
            <w:pPr>
              <w:ind w:left="20"/>
              <w:spacing w:after="0"/>
              <w:rPr>
                <w:sz w:val="20"/>
                <w:szCs w:val="20"/>
                <w:color w:val="auto"/>
              </w:rPr>
            </w:pPr>
            <w:r>
              <w:rPr>
                <w:rFonts w:ascii="Arial" w:cs="Arial" w:eastAsia="Arial" w:hAnsi="Arial"/>
                <w:sz w:val="22"/>
                <w:szCs w:val="22"/>
                <w:color w:val="auto"/>
              </w:rPr>
              <w:t>ARTICLE I DEFINITIONS</w:t>
            </w: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1.01</w:t>
            </w:r>
          </w:p>
        </w:tc>
        <w:tc>
          <w:tcPr>
            <w:tcW w:w="5880" w:type="dxa"/>
            <w:vAlign w:val="bottom"/>
            <w:gridSpan w:val="3"/>
          </w:tcPr>
          <w:p>
            <w:pPr>
              <w:spacing w:after="0"/>
              <w:rPr>
                <w:sz w:val="20"/>
                <w:szCs w:val="20"/>
                <w:color w:val="auto"/>
              </w:rPr>
            </w:pPr>
            <w:r>
              <w:rPr>
                <w:rFonts w:ascii="Arial" w:cs="Arial" w:eastAsia="Arial" w:hAnsi="Arial"/>
                <w:sz w:val="22"/>
                <w:szCs w:val="22"/>
                <w:color w:val="auto"/>
              </w:rPr>
              <w:t>Defined Terms</w:t>
            </w:r>
          </w:p>
        </w:tc>
        <w:tc>
          <w:tcPr>
            <w:tcW w:w="24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1.02</w:t>
            </w:r>
          </w:p>
        </w:tc>
        <w:tc>
          <w:tcPr>
            <w:tcW w:w="5880" w:type="dxa"/>
            <w:vAlign w:val="bottom"/>
            <w:gridSpan w:val="3"/>
          </w:tcPr>
          <w:p>
            <w:pPr>
              <w:spacing w:after="0"/>
              <w:rPr>
                <w:sz w:val="20"/>
                <w:szCs w:val="20"/>
                <w:color w:val="auto"/>
              </w:rPr>
            </w:pPr>
            <w:r>
              <w:rPr>
                <w:rFonts w:ascii="Arial" w:cs="Arial" w:eastAsia="Arial" w:hAnsi="Arial"/>
                <w:sz w:val="22"/>
                <w:szCs w:val="22"/>
                <w:color w:val="auto"/>
              </w:rPr>
              <w:t>Classification of Loans and Borrowings</w:t>
            </w:r>
          </w:p>
        </w:tc>
        <w:tc>
          <w:tcPr>
            <w:tcW w:w="242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1.03</w:t>
            </w:r>
          </w:p>
        </w:tc>
        <w:tc>
          <w:tcPr>
            <w:tcW w:w="5880" w:type="dxa"/>
            <w:vAlign w:val="bottom"/>
            <w:gridSpan w:val="3"/>
          </w:tcPr>
          <w:p>
            <w:pPr>
              <w:spacing w:after="0"/>
              <w:rPr>
                <w:sz w:val="20"/>
                <w:szCs w:val="20"/>
                <w:color w:val="auto"/>
              </w:rPr>
            </w:pPr>
            <w:r>
              <w:rPr>
                <w:rFonts w:ascii="Arial" w:cs="Arial" w:eastAsia="Arial" w:hAnsi="Arial"/>
                <w:sz w:val="22"/>
                <w:szCs w:val="22"/>
                <w:color w:val="auto"/>
              </w:rPr>
              <w:t>Terms Generally</w:t>
            </w:r>
          </w:p>
        </w:tc>
        <w:tc>
          <w:tcPr>
            <w:tcW w:w="242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1.04</w:t>
            </w:r>
          </w:p>
        </w:tc>
        <w:tc>
          <w:tcPr>
            <w:tcW w:w="5880" w:type="dxa"/>
            <w:vAlign w:val="bottom"/>
            <w:gridSpan w:val="3"/>
          </w:tcPr>
          <w:p>
            <w:pPr>
              <w:spacing w:after="0"/>
              <w:rPr>
                <w:sz w:val="20"/>
                <w:szCs w:val="20"/>
                <w:color w:val="auto"/>
              </w:rPr>
            </w:pPr>
            <w:r>
              <w:rPr>
                <w:rFonts w:ascii="Arial" w:cs="Arial" w:eastAsia="Arial" w:hAnsi="Arial"/>
                <w:sz w:val="22"/>
                <w:szCs w:val="22"/>
                <w:color w:val="auto"/>
              </w:rPr>
              <w:t>Accounting Terms; GAAP</w:t>
            </w:r>
          </w:p>
        </w:tc>
        <w:tc>
          <w:tcPr>
            <w:tcW w:w="24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1.05</w:t>
            </w:r>
          </w:p>
        </w:tc>
        <w:tc>
          <w:tcPr>
            <w:tcW w:w="5880" w:type="dxa"/>
            <w:vAlign w:val="bottom"/>
            <w:gridSpan w:val="3"/>
          </w:tcPr>
          <w:p>
            <w:pPr>
              <w:spacing w:after="0"/>
              <w:rPr>
                <w:sz w:val="20"/>
                <w:szCs w:val="20"/>
                <w:color w:val="auto"/>
              </w:rPr>
            </w:pPr>
            <w:r>
              <w:rPr>
                <w:rFonts w:ascii="Arial" w:cs="Arial" w:eastAsia="Arial" w:hAnsi="Arial"/>
                <w:sz w:val="22"/>
                <w:szCs w:val="22"/>
                <w:color w:val="auto"/>
              </w:rPr>
              <w:t>Effectuation of Transactions</w:t>
            </w:r>
          </w:p>
        </w:tc>
        <w:tc>
          <w:tcPr>
            <w:tcW w:w="24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1.06</w:t>
            </w:r>
          </w:p>
        </w:tc>
        <w:tc>
          <w:tcPr>
            <w:tcW w:w="5880" w:type="dxa"/>
            <w:vAlign w:val="bottom"/>
            <w:gridSpan w:val="3"/>
          </w:tcPr>
          <w:p>
            <w:pPr>
              <w:spacing w:after="0"/>
              <w:rPr>
                <w:sz w:val="20"/>
                <w:szCs w:val="20"/>
                <w:color w:val="auto"/>
              </w:rPr>
            </w:pPr>
            <w:r>
              <w:rPr>
                <w:rFonts w:ascii="Arial" w:cs="Arial" w:eastAsia="Arial" w:hAnsi="Arial"/>
                <w:sz w:val="22"/>
                <w:szCs w:val="22"/>
                <w:color w:val="auto"/>
              </w:rPr>
              <w:t>Limited Condition Transactions</w:t>
            </w:r>
          </w:p>
        </w:tc>
        <w:tc>
          <w:tcPr>
            <w:tcW w:w="24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1.07</w:t>
            </w:r>
          </w:p>
        </w:tc>
        <w:tc>
          <w:tcPr>
            <w:tcW w:w="5880" w:type="dxa"/>
            <w:vAlign w:val="bottom"/>
            <w:gridSpan w:val="3"/>
          </w:tcPr>
          <w:p>
            <w:pPr>
              <w:spacing w:after="0"/>
              <w:rPr>
                <w:sz w:val="20"/>
                <w:szCs w:val="20"/>
                <w:color w:val="auto"/>
              </w:rPr>
            </w:pPr>
            <w:r>
              <w:rPr>
                <w:rFonts w:ascii="Arial" w:cs="Arial" w:eastAsia="Arial" w:hAnsi="Arial"/>
                <w:sz w:val="22"/>
                <w:szCs w:val="22"/>
                <w:color w:val="auto"/>
              </w:rPr>
              <w:t>Additional Alternative Currencies</w:t>
            </w:r>
          </w:p>
        </w:tc>
        <w:tc>
          <w:tcPr>
            <w:tcW w:w="24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1.08</w:t>
            </w:r>
          </w:p>
        </w:tc>
        <w:tc>
          <w:tcPr>
            <w:tcW w:w="5880" w:type="dxa"/>
            <w:vAlign w:val="bottom"/>
            <w:gridSpan w:val="3"/>
          </w:tcPr>
          <w:p>
            <w:pPr>
              <w:spacing w:after="0"/>
              <w:rPr>
                <w:sz w:val="20"/>
                <w:szCs w:val="20"/>
                <w:color w:val="auto"/>
              </w:rPr>
            </w:pPr>
            <w:r>
              <w:rPr>
                <w:rFonts w:ascii="Arial" w:cs="Arial" w:eastAsia="Arial" w:hAnsi="Arial"/>
                <w:sz w:val="22"/>
                <w:szCs w:val="22"/>
                <w:color w:val="auto"/>
              </w:rPr>
              <w:t>Currency Equivalents Generally</w:t>
            </w:r>
          </w:p>
        </w:tc>
        <w:tc>
          <w:tcPr>
            <w:tcW w:w="24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1.09</w:t>
            </w:r>
          </w:p>
        </w:tc>
        <w:tc>
          <w:tcPr>
            <w:tcW w:w="5880" w:type="dxa"/>
            <w:vAlign w:val="bottom"/>
            <w:gridSpan w:val="3"/>
          </w:tcPr>
          <w:p>
            <w:pPr>
              <w:spacing w:after="0"/>
              <w:rPr>
                <w:sz w:val="20"/>
                <w:szCs w:val="20"/>
                <w:color w:val="auto"/>
              </w:rPr>
            </w:pPr>
            <w:r>
              <w:rPr>
                <w:rFonts w:ascii="Arial" w:cs="Arial" w:eastAsia="Arial" w:hAnsi="Arial"/>
                <w:sz w:val="22"/>
                <w:szCs w:val="22"/>
                <w:color w:val="auto"/>
              </w:rPr>
              <w:t>Change in Currency</w:t>
            </w:r>
          </w:p>
        </w:tc>
        <w:tc>
          <w:tcPr>
            <w:tcW w:w="242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435"/>
        </w:trPr>
        <w:tc>
          <w:tcPr>
            <w:tcW w:w="2940" w:type="dxa"/>
            <w:vAlign w:val="bottom"/>
          </w:tcPr>
          <w:p>
            <w:pPr>
              <w:ind w:left="660"/>
              <w:spacing w:after="0"/>
              <w:rPr>
                <w:sz w:val="20"/>
                <w:szCs w:val="20"/>
                <w:color w:val="auto"/>
              </w:rPr>
            </w:pPr>
            <w:r>
              <w:rPr>
                <w:rFonts w:ascii="Arial" w:cs="Arial" w:eastAsia="Arial" w:hAnsi="Arial"/>
                <w:sz w:val="22"/>
                <w:szCs w:val="22"/>
                <w:color w:val="010000"/>
              </w:rPr>
              <w:t>SECTION 1.10</w:t>
            </w:r>
          </w:p>
        </w:tc>
        <w:tc>
          <w:tcPr>
            <w:tcW w:w="1920" w:type="dxa"/>
            <w:vAlign w:val="bottom"/>
          </w:tcPr>
          <w:p>
            <w:pPr>
              <w:spacing w:after="0"/>
              <w:rPr>
                <w:sz w:val="20"/>
                <w:szCs w:val="20"/>
                <w:color w:val="auto"/>
              </w:rPr>
            </w:pPr>
            <w:r>
              <w:rPr>
                <w:rFonts w:ascii="Arial" w:cs="Arial" w:eastAsia="Arial" w:hAnsi="Arial"/>
                <w:sz w:val="22"/>
                <w:szCs w:val="22"/>
                <w:b w:val="1"/>
                <w:bCs w:val="1"/>
                <w:color w:val="FF0000"/>
                <w:strike w:val="1"/>
                <w:w w:val="91"/>
              </w:rPr>
              <w:t>Adjusted LIBO Rate</w:t>
            </w:r>
          </w:p>
        </w:tc>
        <w:tc>
          <w:tcPr>
            <w:tcW w:w="3960" w:type="dxa"/>
            <w:vAlign w:val="bottom"/>
            <w:gridSpan w:val="2"/>
          </w:tcPr>
          <w:p>
            <w:pPr>
              <w:spacing w:after="0"/>
              <w:rPr>
                <w:sz w:val="20"/>
                <w:szCs w:val="20"/>
                <w:color w:val="auto"/>
              </w:rPr>
            </w:pPr>
            <w:r>
              <w:rPr>
                <w:rFonts w:ascii="Arial" w:cs="Arial" w:eastAsia="Arial" w:hAnsi="Arial"/>
                <w:sz w:val="22"/>
                <w:szCs w:val="22"/>
                <w:b w:val="1"/>
                <w:bCs w:val="1"/>
                <w:color w:val="0000FF"/>
              </w:rPr>
              <w:t>Rates</w:t>
            </w:r>
          </w:p>
        </w:tc>
        <w:tc>
          <w:tcPr>
            <w:tcW w:w="242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516"/>
        </w:trPr>
        <w:tc>
          <w:tcPr>
            <w:tcW w:w="2940" w:type="dxa"/>
            <w:vAlign w:val="bottom"/>
          </w:tcPr>
          <w:p>
            <w:pPr>
              <w:ind w:left="660"/>
              <w:spacing w:after="0"/>
              <w:rPr>
                <w:sz w:val="20"/>
                <w:szCs w:val="20"/>
                <w:color w:val="auto"/>
              </w:rPr>
            </w:pPr>
            <w:r>
              <w:rPr>
                <w:rFonts w:ascii="Arial" w:cs="Arial" w:eastAsia="Arial" w:hAnsi="Arial"/>
                <w:sz w:val="22"/>
                <w:szCs w:val="22"/>
                <w:color w:val="010000"/>
              </w:rPr>
              <w:t>SECTION 1.11</w:t>
            </w:r>
          </w:p>
        </w:tc>
        <w:tc>
          <w:tcPr>
            <w:tcW w:w="1920" w:type="dxa"/>
            <w:vAlign w:val="bottom"/>
          </w:tcPr>
          <w:p>
            <w:pPr>
              <w:spacing w:after="0"/>
              <w:rPr>
                <w:sz w:val="20"/>
                <w:szCs w:val="20"/>
                <w:color w:val="auto"/>
              </w:rPr>
            </w:pPr>
            <w:r>
              <w:rPr>
                <w:rFonts w:ascii="Arial" w:cs="Arial" w:eastAsia="Arial" w:hAnsi="Arial"/>
                <w:sz w:val="22"/>
                <w:szCs w:val="22"/>
                <w:color w:val="auto"/>
              </w:rPr>
              <w:t>Divisions</w:t>
            </w:r>
          </w:p>
        </w:tc>
        <w:tc>
          <w:tcPr>
            <w:tcW w:w="520" w:type="dxa"/>
            <w:vAlign w:val="bottom"/>
            <w:tcBorders>
              <w:top w:val="single" w:sz="8" w:color="0000FF"/>
            </w:tcBorders>
          </w:tcPr>
          <w:p>
            <w:pPr>
              <w:spacing w:after="0"/>
              <w:rPr>
                <w:sz w:val="24"/>
                <w:szCs w:val="24"/>
                <w:color w:val="auto"/>
              </w:rPr>
            </w:pPr>
          </w:p>
        </w:tc>
        <w:tc>
          <w:tcPr>
            <w:tcW w:w="34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485"/>
        </w:trPr>
        <w:tc>
          <w:tcPr>
            <w:tcW w:w="2940" w:type="dxa"/>
            <w:vAlign w:val="bottom"/>
          </w:tcPr>
          <w:p>
            <w:pPr>
              <w:ind w:left="20"/>
              <w:spacing w:after="0"/>
              <w:rPr>
                <w:sz w:val="20"/>
                <w:szCs w:val="20"/>
                <w:color w:val="auto"/>
              </w:rPr>
            </w:pPr>
            <w:r>
              <w:rPr>
                <w:rFonts w:ascii="Arial" w:cs="Arial" w:eastAsia="Arial" w:hAnsi="Arial"/>
                <w:sz w:val="22"/>
                <w:szCs w:val="22"/>
                <w:color w:val="auto"/>
              </w:rPr>
              <w:t>ARTICLE II THE CREDITS</w:t>
            </w: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2.01</w:t>
            </w:r>
          </w:p>
        </w:tc>
        <w:tc>
          <w:tcPr>
            <w:tcW w:w="5880" w:type="dxa"/>
            <w:vAlign w:val="bottom"/>
            <w:gridSpan w:val="3"/>
          </w:tcPr>
          <w:p>
            <w:pPr>
              <w:spacing w:after="0"/>
              <w:rPr>
                <w:sz w:val="20"/>
                <w:szCs w:val="20"/>
                <w:color w:val="auto"/>
              </w:rPr>
            </w:pPr>
            <w:r>
              <w:rPr>
                <w:rFonts w:ascii="Arial" w:cs="Arial" w:eastAsia="Arial" w:hAnsi="Arial"/>
                <w:sz w:val="22"/>
                <w:szCs w:val="22"/>
                <w:color w:val="auto"/>
              </w:rPr>
              <w:t>Commitments</w:t>
            </w:r>
          </w:p>
        </w:tc>
        <w:tc>
          <w:tcPr>
            <w:tcW w:w="24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2.02</w:t>
            </w:r>
          </w:p>
        </w:tc>
        <w:tc>
          <w:tcPr>
            <w:tcW w:w="5880" w:type="dxa"/>
            <w:vAlign w:val="bottom"/>
            <w:gridSpan w:val="3"/>
          </w:tcPr>
          <w:p>
            <w:pPr>
              <w:spacing w:after="0"/>
              <w:rPr>
                <w:sz w:val="20"/>
                <w:szCs w:val="20"/>
                <w:color w:val="auto"/>
              </w:rPr>
            </w:pPr>
            <w:r>
              <w:rPr>
                <w:rFonts w:ascii="Arial" w:cs="Arial" w:eastAsia="Arial" w:hAnsi="Arial"/>
                <w:sz w:val="22"/>
                <w:szCs w:val="22"/>
                <w:color w:val="auto"/>
              </w:rPr>
              <w:t>Loans and Borrowings</w:t>
            </w:r>
          </w:p>
        </w:tc>
        <w:tc>
          <w:tcPr>
            <w:tcW w:w="24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2.03</w:t>
            </w:r>
          </w:p>
        </w:tc>
        <w:tc>
          <w:tcPr>
            <w:tcW w:w="5880" w:type="dxa"/>
            <w:vAlign w:val="bottom"/>
            <w:gridSpan w:val="3"/>
          </w:tcPr>
          <w:p>
            <w:pPr>
              <w:spacing w:after="0"/>
              <w:rPr>
                <w:sz w:val="20"/>
                <w:szCs w:val="20"/>
                <w:color w:val="auto"/>
              </w:rPr>
            </w:pPr>
            <w:r>
              <w:rPr>
                <w:rFonts w:ascii="Arial" w:cs="Arial" w:eastAsia="Arial" w:hAnsi="Arial"/>
                <w:sz w:val="22"/>
                <w:szCs w:val="22"/>
                <w:color w:val="auto"/>
              </w:rPr>
              <w:t>Requests for Borrowings</w:t>
            </w:r>
          </w:p>
        </w:tc>
        <w:tc>
          <w:tcPr>
            <w:tcW w:w="242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2.04</w:t>
            </w:r>
          </w:p>
        </w:tc>
        <w:tc>
          <w:tcPr>
            <w:tcW w:w="5880" w:type="dxa"/>
            <w:vAlign w:val="bottom"/>
            <w:gridSpan w:val="3"/>
          </w:tcPr>
          <w:p>
            <w:pPr>
              <w:spacing w:after="0"/>
              <w:rPr>
                <w:sz w:val="20"/>
                <w:szCs w:val="20"/>
                <w:color w:val="auto"/>
              </w:rPr>
            </w:pPr>
            <w:r>
              <w:rPr>
                <w:rFonts w:ascii="Arial" w:cs="Arial" w:eastAsia="Arial" w:hAnsi="Arial"/>
                <w:sz w:val="22"/>
                <w:szCs w:val="22"/>
                <w:color w:val="auto"/>
              </w:rPr>
              <w:t>[Reserved]</w:t>
            </w:r>
          </w:p>
        </w:tc>
        <w:tc>
          <w:tcPr>
            <w:tcW w:w="242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2.05</w:t>
            </w:r>
          </w:p>
        </w:tc>
        <w:tc>
          <w:tcPr>
            <w:tcW w:w="5880" w:type="dxa"/>
            <w:vAlign w:val="bottom"/>
            <w:gridSpan w:val="3"/>
          </w:tcPr>
          <w:p>
            <w:pPr>
              <w:spacing w:after="0"/>
              <w:rPr>
                <w:sz w:val="20"/>
                <w:szCs w:val="20"/>
                <w:color w:val="auto"/>
              </w:rPr>
            </w:pPr>
            <w:r>
              <w:rPr>
                <w:rFonts w:ascii="Arial" w:cs="Arial" w:eastAsia="Arial" w:hAnsi="Arial"/>
                <w:sz w:val="22"/>
                <w:szCs w:val="22"/>
                <w:color w:val="auto"/>
              </w:rPr>
              <w:t>Letters of Credit</w:t>
            </w:r>
          </w:p>
        </w:tc>
        <w:tc>
          <w:tcPr>
            <w:tcW w:w="242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2.06</w:t>
            </w:r>
          </w:p>
        </w:tc>
        <w:tc>
          <w:tcPr>
            <w:tcW w:w="5880" w:type="dxa"/>
            <w:vAlign w:val="bottom"/>
            <w:gridSpan w:val="3"/>
          </w:tcPr>
          <w:p>
            <w:pPr>
              <w:spacing w:after="0"/>
              <w:rPr>
                <w:sz w:val="20"/>
                <w:szCs w:val="20"/>
                <w:color w:val="auto"/>
              </w:rPr>
            </w:pPr>
            <w:r>
              <w:rPr>
                <w:rFonts w:ascii="Arial" w:cs="Arial" w:eastAsia="Arial" w:hAnsi="Arial"/>
                <w:sz w:val="22"/>
                <w:szCs w:val="22"/>
                <w:color w:val="auto"/>
              </w:rPr>
              <w:t>Funding of Borrowings</w:t>
            </w:r>
          </w:p>
        </w:tc>
        <w:tc>
          <w:tcPr>
            <w:tcW w:w="242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2.07</w:t>
            </w:r>
          </w:p>
        </w:tc>
        <w:tc>
          <w:tcPr>
            <w:tcW w:w="5880" w:type="dxa"/>
            <w:vAlign w:val="bottom"/>
            <w:gridSpan w:val="3"/>
          </w:tcPr>
          <w:p>
            <w:pPr>
              <w:spacing w:after="0"/>
              <w:rPr>
                <w:sz w:val="20"/>
                <w:szCs w:val="20"/>
                <w:color w:val="auto"/>
              </w:rPr>
            </w:pPr>
            <w:r>
              <w:rPr>
                <w:rFonts w:ascii="Arial" w:cs="Arial" w:eastAsia="Arial" w:hAnsi="Arial"/>
                <w:sz w:val="22"/>
                <w:szCs w:val="22"/>
                <w:color w:val="auto"/>
              </w:rPr>
              <w:t>Interest Elections</w:t>
            </w:r>
          </w:p>
        </w:tc>
        <w:tc>
          <w:tcPr>
            <w:tcW w:w="24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2.08</w:t>
            </w:r>
          </w:p>
        </w:tc>
        <w:tc>
          <w:tcPr>
            <w:tcW w:w="5880" w:type="dxa"/>
            <w:vAlign w:val="bottom"/>
            <w:gridSpan w:val="3"/>
          </w:tcPr>
          <w:p>
            <w:pPr>
              <w:spacing w:after="0"/>
              <w:rPr>
                <w:sz w:val="20"/>
                <w:szCs w:val="20"/>
                <w:color w:val="auto"/>
              </w:rPr>
            </w:pPr>
            <w:r>
              <w:rPr>
                <w:rFonts w:ascii="Arial" w:cs="Arial" w:eastAsia="Arial" w:hAnsi="Arial"/>
                <w:sz w:val="22"/>
                <w:szCs w:val="22"/>
                <w:color w:val="auto"/>
              </w:rPr>
              <w:t>Termination and Reduction of Commitments</w:t>
            </w:r>
          </w:p>
        </w:tc>
        <w:tc>
          <w:tcPr>
            <w:tcW w:w="24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2.09</w:t>
            </w:r>
          </w:p>
        </w:tc>
        <w:tc>
          <w:tcPr>
            <w:tcW w:w="5880" w:type="dxa"/>
            <w:vAlign w:val="bottom"/>
            <w:gridSpan w:val="3"/>
          </w:tcPr>
          <w:p>
            <w:pPr>
              <w:spacing w:after="0"/>
              <w:rPr>
                <w:sz w:val="20"/>
                <w:szCs w:val="20"/>
                <w:color w:val="auto"/>
              </w:rPr>
            </w:pPr>
            <w:r>
              <w:rPr>
                <w:rFonts w:ascii="Arial" w:cs="Arial" w:eastAsia="Arial" w:hAnsi="Arial"/>
                <w:sz w:val="22"/>
                <w:szCs w:val="22"/>
                <w:color w:val="auto"/>
              </w:rPr>
              <w:t>Repayment of Loans; Evidence of Debt</w:t>
            </w:r>
          </w:p>
        </w:tc>
        <w:tc>
          <w:tcPr>
            <w:tcW w:w="242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485"/>
        </w:trPr>
        <w:tc>
          <w:tcPr>
            <w:tcW w:w="2940" w:type="dxa"/>
            <w:vAlign w:val="bottom"/>
          </w:tcPr>
          <w:p>
            <w:pPr>
              <w:ind w:left="660"/>
              <w:spacing w:after="0"/>
              <w:rPr>
                <w:sz w:val="20"/>
                <w:szCs w:val="20"/>
                <w:color w:val="auto"/>
              </w:rPr>
            </w:pPr>
            <w:r>
              <w:rPr>
                <w:rFonts w:ascii="Arial" w:cs="Arial" w:eastAsia="Arial" w:hAnsi="Arial"/>
                <w:sz w:val="22"/>
                <w:szCs w:val="22"/>
                <w:color w:val="010000"/>
              </w:rPr>
              <w:t>SECTION 2.10</w:t>
            </w:r>
          </w:p>
        </w:tc>
        <w:tc>
          <w:tcPr>
            <w:tcW w:w="5880" w:type="dxa"/>
            <w:vAlign w:val="bottom"/>
            <w:gridSpan w:val="3"/>
          </w:tcPr>
          <w:p>
            <w:pPr>
              <w:spacing w:after="0"/>
              <w:rPr>
                <w:sz w:val="20"/>
                <w:szCs w:val="20"/>
                <w:color w:val="auto"/>
              </w:rPr>
            </w:pPr>
            <w:r>
              <w:rPr>
                <w:rFonts w:ascii="Arial" w:cs="Arial" w:eastAsia="Arial" w:hAnsi="Arial"/>
                <w:sz w:val="22"/>
                <w:szCs w:val="22"/>
                <w:color w:val="auto"/>
              </w:rPr>
              <w:t>Amortization of Term Loans</w:t>
            </w:r>
          </w:p>
        </w:tc>
        <w:tc>
          <w:tcPr>
            <w:tcW w:w="242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334"/>
        </w:trPr>
        <w:tc>
          <w:tcPr>
            <w:tcW w:w="29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74"/>
        </w:trPr>
        <w:tc>
          <w:tcPr>
            <w:tcW w:w="660" w:type="dxa"/>
            <w:vAlign w:val="bottom"/>
          </w:tcPr>
          <w:p>
            <w:pPr>
              <w:spacing w:after="0"/>
              <w:rPr>
                <w:sz w:val="23"/>
                <w:szCs w:val="23"/>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2.11</w:t>
            </w:r>
          </w:p>
        </w:tc>
        <w:tc>
          <w:tcPr>
            <w:tcW w:w="6600" w:type="dxa"/>
            <w:vAlign w:val="bottom"/>
            <w:gridSpan w:val="4"/>
          </w:tcPr>
          <w:p>
            <w:pPr>
              <w:spacing w:after="0"/>
              <w:rPr>
                <w:sz w:val="20"/>
                <w:szCs w:val="20"/>
                <w:color w:val="auto"/>
              </w:rPr>
            </w:pPr>
            <w:r>
              <w:rPr>
                <w:rFonts w:ascii="Arial" w:cs="Arial" w:eastAsia="Arial" w:hAnsi="Arial"/>
                <w:sz w:val="22"/>
                <w:szCs w:val="22"/>
                <w:color w:val="auto"/>
              </w:rPr>
              <w:t>Prepayment of Loans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102</w:t>
            </w:r>
          </w:p>
        </w:tc>
        <w:tc>
          <w:tcPr>
            <w:tcW w:w="20" w:type="dxa"/>
            <w:vAlign w:val="bottom"/>
          </w:tcPr>
          <w:p>
            <w:pPr>
              <w:spacing w:after="0"/>
              <w:rPr>
                <w:sz w:val="23"/>
                <w:szCs w:val="23"/>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2.12</w:t>
            </w:r>
          </w:p>
        </w:tc>
        <w:tc>
          <w:tcPr>
            <w:tcW w:w="6600" w:type="dxa"/>
            <w:vAlign w:val="bottom"/>
            <w:gridSpan w:val="4"/>
          </w:tcPr>
          <w:p>
            <w:pPr>
              <w:spacing w:after="0"/>
              <w:rPr>
                <w:sz w:val="20"/>
                <w:szCs w:val="20"/>
                <w:color w:val="auto"/>
              </w:rPr>
            </w:pPr>
            <w:r>
              <w:rPr>
                <w:rFonts w:ascii="Arial" w:cs="Arial" w:eastAsia="Arial" w:hAnsi="Arial"/>
                <w:sz w:val="22"/>
                <w:szCs w:val="22"/>
                <w:color w:val="auto"/>
              </w:rPr>
              <w:t>Fees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115</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2.13</w:t>
            </w:r>
          </w:p>
        </w:tc>
        <w:tc>
          <w:tcPr>
            <w:tcW w:w="6600" w:type="dxa"/>
            <w:vAlign w:val="bottom"/>
            <w:gridSpan w:val="4"/>
          </w:tcPr>
          <w:p>
            <w:pPr>
              <w:spacing w:after="0"/>
              <w:rPr>
                <w:sz w:val="20"/>
                <w:szCs w:val="20"/>
                <w:color w:val="auto"/>
              </w:rPr>
            </w:pPr>
            <w:r>
              <w:rPr>
                <w:rFonts w:ascii="Arial" w:cs="Arial" w:eastAsia="Arial" w:hAnsi="Arial"/>
                <w:sz w:val="22"/>
                <w:szCs w:val="22"/>
                <w:color w:val="auto"/>
              </w:rPr>
              <w:t>Interest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116</w:t>
            </w:r>
          </w:p>
        </w:tc>
        <w:tc>
          <w:tcPr>
            <w:tcW w:w="20" w:type="dxa"/>
            <w:vAlign w:val="bottom"/>
          </w:tcPr>
          <w:p>
            <w:pPr>
              <w:spacing w:after="0"/>
              <w:rPr>
                <w:sz w:val="24"/>
                <w:szCs w:val="24"/>
                <w:color w:val="auto"/>
              </w:rPr>
            </w:pPr>
          </w:p>
        </w:tc>
      </w:tr>
      <w:tr>
        <w:trPr>
          <w:trHeight w:val="43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2.14</w:t>
            </w:r>
          </w:p>
        </w:tc>
        <w:tc>
          <w:tcPr>
            <w:tcW w:w="2360" w:type="dxa"/>
            <w:vAlign w:val="bottom"/>
          </w:tcPr>
          <w:p>
            <w:pPr>
              <w:spacing w:after="0"/>
              <w:rPr>
                <w:sz w:val="20"/>
                <w:szCs w:val="20"/>
                <w:color w:val="auto"/>
              </w:rPr>
            </w:pPr>
            <w:r>
              <w:rPr>
                <w:rFonts w:ascii="Arial" w:cs="Arial" w:eastAsia="Arial" w:hAnsi="Arial"/>
                <w:sz w:val="22"/>
                <w:szCs w:val="22"/>
                <w:b w:val="1"/>
                <w:bCs w:val="1"/>
                <w:color w:val="FF0000"/>
                <w:strike w:val="1"/>
                <w:w w:val="89"/>
              </w:rPr>
              <w:t>Alternate Rate of Interest</w:t>
            </w:r>
          </w:p>
        </w:tc>
        <w:tc>
          <w:tcPr>
            <w:tcW w:w="4240" w:type="dxa"/>
            <w:vAlign w:val="bottom"/>
            <w:gridSpan w:val="3"/>
          </w:tcPr>
          <w:p>
            <w:pPr>
              <w:spacing w:after="0"/>
              <w:rPr>
                <w:sz w:val="20"/>
                <w:szCs w:val="20"/>
                <w:color w:val="auto"/>
              </w:rPr>
            </w:pPr>
            <w:r>
              <w:rPr>
                <w:rFonts w:ascii="Arial" w:cs="Arial" w:eastAsia="Arial" w:hAnsi="Arial"/>
                <w:sz w:val="22"/>
                <w:szCs w:val="22"/>
                <w:b w:val="1"/>
                <w:bCs w:val="1"/>
                <w:color w:val="0000FF"/>
              </w:rPr>
              <w:t>Inability to Determine Rates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117</w:t>
            </w:r>
          </w:p>
        </w:tc>
        <w:tc>
          <w:tcPr>
            <w:tcW w:w="20" w:type="dxa"/>
            <w:vAlign w:val="bottom"/>
          </w:tcPr>
          <w:p>
            <w:pPr>
              <w:spacing w:after="0"/>
              <w:rPr>
                <w:sz w:val="24"/>
                <w:szCs w:val="24"/>
                <w:color w:val="auto"/>
              </w:rPr>
            </w:pPr>
          </w:p>
        </w:tc>
      </w:tr>
      <w:tr>
        <w:trPr>
          <w:trHeight w:val="516"/>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2.15</w:t>
            </w:r>
          </w:p>
        </w:tc>
        <w:tc>
          <w:tcPr>
            <w:tcW w:w="2360" w:type="dxa"/>
            <w:vAlign w:val="bottom"/>
          </w:tcPr>
          <w:p>
            <w:pPr>
              <w:spacing w:after="0"/>
              <w:rPr>
                <w:sz w:val="20"/>
                <w:szCs w:val="20"/>
                <w:color w:val="auto"/>
              </w:rPr>
            </w:pPr>
            <w:r>
              <w:rPr>
                <w:rFonts w:ascii="Arial" w:cs="Arial" w:eastAsia="Arial" w:hAnsi="Arial"/>
                <w:sz w:val="22"/>
                <w:szCs w:val="22"/>
                <w:color w:val="auto"/>
              </w:rPr>
              <w:t>Increased Costs</w:t>
            </w:r>
          </w:p>
        </w:tc>
        <w:tc>
          <w:tcPr>
            <w:tcW w:w="2620" w:type="dxa"/>
            <w:vAlign w:val="bottom"/>
            <w:tcBorders>
              <w:top w:val="single" w:sz="8" w:color="0000FF"/>
            </w:tcBorders>
            <w:gridSpan w:val="2"/>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118</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2.16</w:t>
            </w:r>
          </w:p>
        </w:tc>
        <w:tc>
          <w:tcPr>
            <w:tcW w:w="6600" w:type="dxa"/>
            <w:vAlign w:val="bottom"/>
            <w:gridSpan w:val="4"/>
          </w:tcPr>
          <w:p>
            <w:pPr>
              <w:spacing w:after="0"/>
              <w:rPr>
                <w:sz w:val="20"/>
                <w:szCs w:val="20"/>
                <w:color w:val="auto"/>
              </w:rPr>
            </w:pPr>
            <w:r>
              <w:rPr>
                <w:rFonts w:ascii="Arial" w:cs="Arial" w:eastAsia="Arial" w:hAnsi="Arial"/>
                <w:sz w:val="22"/>
                <w:szCs w:val="22"/>
                <w:color w:val="auto"/>
              </w:rPr>
              <w:t>Break Funding Payments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119</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2.17</w:t>
            </w:r>
          </w:p>
        </w:tc>
        <w:tc>
          <w:tcPr>
            <w:tcW w:w="6600" w:type="dxa"/>
            <w:vAlign w:val="bottom"/>
            <w:gridSpan w:val="4"/>
          </w:tcPr>
          <w:p>
            <w:pPr>
              <w:spacing w:after="0"/>
              <w:rPr>
                <w:sz w:val="20"/>
                <w:szCs w:val="20"/>
                <w:color w:val="auto"/>
              </w:rPr>
            </w:pPr>
            <w:r>
              <w:rPr>
                <w:rFonts w:ascii="Arial" w:cs="Arial" w:eastAsia="Arial" w:hAnsi="Arial"/>
                <w:sz w:val="22"/>
                <w:szCs w:val="22"/>
                <w:color w:val="auto"/>
              </w:rPr>
              <w:t>Taxes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120</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2.18</w:t>
            </w:r>
          </w:p>
        </w:tc>
        <w:tc>
          <w:tcPr>
            <w:tcW w:w="6600" w:type="dxa"/>
            <w:vAlign w:val="bottom"/>
            <w:gridSpan w:val="4"/>
          </w:tcPr>
          <w:p>
            <w:pPr>
              <w:spacing w:after="0"/>
              <w:rPr>
                <w:sz w:val="20"/>
                <w:szCs w:val="20"/>
                <w:color w:val="auto"/>
              </w:rPr>
            </w:pPr>
            <w:r>
              <w:rPr>
                <w:rFonts w:ascii="Arial" w:cs="Arial" w:eastAsia="Arial" w:hAnsi="Arial"/>
                <w:sz w:val="22"/>
                <w:szCs w:val="22"/>
                <w:color w:val="auto"/>
              </w:rPr>
              <w:t>Payments Generally; Pro Rata Treatment; Sharing of Setoffs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124</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2.19</w:t>
            </w:r>
          </w:p>
        </w:tc>
        <w:tc>
          <w:tcPr>
            <w:tcW w:w="6600" w:type="dxa"/>
            <w:vAlign w:val="bottom"/>
            <w:gridSpan w:val="4"/>
          </w:tcPr>
          <w:p>
            <w:pPr>
              <w:spacing w:after="0"/>
              <w:rPr>
                <w:sz w:val="20"/>
                <w:szCs w:val="20"/>
                <w:color w:val="auto"/>
              </w:rPr>
            </w:pPr>
            <w:r>
              <w:rPr>
                <w:rFonts w:ascii="Arial" w:cs="Arial" w:eastAsia="Arial" w:hAnsi="Arial"/>
                <w:sz w:val="22"/>
                <w:szCs w:val="22"/>
                <w:color w:val="auto"/>
              </w:rPr>
              <w:t>Mitigation Obligations; Replacement of Lenders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126</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2.20</w:t>
            </w:r>
          </w:p>
        </w:tc>
        <w:tc>
          <w:tcPr>
            <w:tcW w:w="6600" w:type="dxa"/>
            <w:vAlign w:val="bottom"/>
            <w:gridSpan w:val="4"/>
          </w:tcPr>
          <w:p>
            <w:pPr>
              <w:spacing w:after="0"/>
              <w:rPr>
                <w:sz w:val="20"/>
                <w:szCs w:val="20"/>
                <w:color w:val="auto"/>
              </w:rPr>
            </w:pPr>
            <w:r>
              <w:rPr>
                <w:rFonts w:ascii="Arial" w:cs="Arial" w:eastAsia="Arial" w:hAnsi="Arial"/>
                <w:sz w:val="22"/>
                <w:szCs w:val="22"/>
                <w:color w:val="auto"/>
              </w:rPr>
              <w:t>Incremental Credit Extensions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127</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2.21</w:t>
            </w:r>
          </w:p>
        </w:tc>
        <w:tc>
          <w:tcPr>
            <w:tcW w:w="6600" w:type="dxa"/>
            <w:vAlign w:val="bottom"/>
            <w:gridSpan w:val="4"/>
          </w:tcPr>
          <w:p>
            <w:pPr>
              <w:spacing w:after="0"/>
              <w:rPr>
                <w:sz w:val="20"/>
                <w:szCs w:val="20"/>
                <w:color w:val="auto"/>
              </w:rPr>
            </w:pPr>
            <w:r>
              <w:rPr>
                <w:rFonts w:ascii="Arial" w:cs="Arial" w:eastAsia="Arial" w:hAnsi="Arial"/>
                <w:sz w:val="22"/>
                <w:szCs w:val="22"/>
                <w:color w:val="auto"/>
              </w:rPr>
              <w:t>Refinancing Amendments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132</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2.22</w:t>
            </w:r>
          </w:p>
        </w:tc>
        <w:tc>
          <w:tcPr>
            <w:tcW w:w="6600" w:type="dxa"/>
            <w:vAlign w:val="bottom"/>
            <w:gridSpan w:val="4"/>
          </w:tcPr>
          <w:p>
            <w:pPr>
              <w:spacing w:after="0"/>
              <w:rPr>
                <w:sz w:val="20"/>
                <w:szCs w:val="20"/>
                <w:color w:val="auto"/>
              </w:rPr>
            </w:pPr>
            <w:r>
              <w:rPr>
                <w:rFonts w:ascii="Arial" w:cs="Arial" w:eastAsia="Arial" w:hAnsi="Arial"/>
                <w:sz w:val="22"/>
                <w:szCs w:val="22"/>
                <w:color w:val="auto"/>
              </w:rPr>
              <w:t>Defaulting Lenders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133</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2.23</w:t>
            </w:r>
          </w:p>
        </w:tc>
        <w:tc>
          <w:tcPr>
            <w:tcW w:w="6600" w:type="dxa"/>
            <w:vAlign w:val="bottom"/>
            <w:gridSpan w:val="4"/>
          </w:tcPr>
          <w:p>
            <w:pPr>
              <w:spacing w:after="0"/>
              <w:rPr>
                <w:sz w:val="20"/>
                <w:szCs w:val="20"/>
                <w:color w:val="auto"/>
              </w:rPr>
            </w:pPr>
            <w:r>
              <w:rPr>
                <w:rFonts w:ascii="Arial" w:cs="Arial" w:eastAsia="Arial" w:hAnsi="Arial"/>
                <w:sz w:val="22"/>
                <w:szCs w:val="22"/>
                <w:color w:val="auto"/>
              </w:rPr>
              <w:t>Illegality</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135</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2.24</w:t>
            </w:r>
          </w:p>
        </w:tc>
        <w:tc>
          <w:tcPr>
            <w:tcW w:w="6600" w:type="dxa"/>
            <w:vAlign w:val="bottom"/>
            <w:gridSpan w:val="4"/>
          </w:tcPr>
          <w:p>
            <w:pPr>
              <w:spacing w:after="0"/>
              <w:rPr>
                <w:sz w:val="20"/>
                <w:szCs w:val="20"/>
                <w:color w:val="auto"/>
              </w:rPr>
            </w:pPr>
            <w:r>
              <w:rPr>
                <w:rFonts w:ascii="Arial" w:cs="Arial" w:eastAsia="Arial" w:hAnsi="Arial"/>
                <w:sz w:val="22"/>
                <w:szCs w:val="22"/>
                <w:color w:val="auto"/>
              </w:rPr>
              <w:t>Loan Modification Offers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136</w:t>
            </w:r>
          </w:p>
        </w:tc>
        <w:tc>
          <w:tcPr>
            <w:tcW w:w="20" w:type="dxa"/>
            <w:vAlign w:val="bottom"/>
          </w:tcPr>
          <w:p>
            <w:pPr>
              <w:spacing w:after="0"/>
              <w:rPr>
                <w:sz w:val="24"/>
                <w:szCs w:val="24"/>
                <w:color w:val="auto"/>
              </w:rPr>
            </w:pPr>
          </w:p>
        </w:tc>
      </w:tr>
      <w:tr>
        <w:trPr>
          <w:trHeight w:val="435"/>
        </w:trPr>
        <w:tc>
          <w:tcPr>
            <w:tcW w:w="660" w:type="dxa"/>
            <w:vAlign w:val="bottom"/>
          </w:tcPr>
          <w:p>
            <w:pPr>
              <w:spacing w:after="0"/>
              <w:rPr>
                <w:sz w:val="24"/>
                <w:szCs w:val="24"/>
                <w:color w:val="auto"/>
              </w:rPr>
            </w:pPr>
          </w:p>
        </w:tc>
        <w:tc>
          <w:tcPr>
            <w:tcW w:w="1420" w:type="dxa"/>
            <w:vAlign w:val="bottom"/>
            <w:tcBorders>
              <w:bottom w:val="single" w:sz="8" w:color="0000FF"/>
            </w:tcBorders>
          </w:tcPr>
          <w:p>
            <w:pPr>
              <w:spacing w:after="0"/>
              <w:rPr>
                <w:sz w:val="20"/>
                <w:szCs w:val="20"/>
                <w:color w:val="auto"/>
              </w:rPr>
            </w:pPr>
            <w:r>
              <w:rPr>
                <w:rFonts w:ascii="Arial" w:cs="Arial" w:eastAsia="Arial" w:hAnsi="Arial"/>
                <w:sz w:val="22"/>
                <w:szCs w:val="22"/>
                <w:b w:val="1"/>
                <w:bCs w:val="1"/>
                <w:color w:val="0000FF"/>
                <w:w w:val="95"/>
              </w:rPr>
              <w:t>SECTION 2.25</w:t>
            </w:r>
          </w:p>
        </w:tc>
        <w:tc>
          <w:tcPr>
            <w:tcW w:w="860" w:type="dxa"/>
            <w:vAlign w:val="bottom"/>
          </w:tcPr>
          <w:p>
            <w:pPr>
              <w:spacing w:after="0"/>
              <w:rPr>
                <w:sz w:val="24"/>
                <w:szCs w:val="24"/>
                <w:color w:val="auto"/>
              </w:rPr>
            </w:pPr>
          </w:p>
        </w:tc>
        <w:tc>
          <w:tcPr>
            <w:tcW w:w="304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b w:val="1"/>
                <w:bCs w:val="1"/>
                <w:color w:val="0000FF"/>
                <w:w w:val="87"/>
              </w:rPr>
              <w:t>Benchmark Replacement Setting</w:t>
            </w:r>
          </w:p>
        </w:tc>
        <w:tc>
          <w:tcPr>
            <w:tcW w:w="356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137</w:t>
            </w:r>
          </w:p>
        </w:tc>
        <w:tc>
          <w:tcPr>
            <w:tcW w:w="20" w:type="dxa"/>
            <w:vAlign w:val="bottom"/>
          </w:tcPr>
          <w:p>
            <w:pPr>
              <w:spacing w:after="0"/>
              <w:rPr>
                <w:sz w:val="24"/>
                <w:szCs w:val="24"/>
                <w:color w:val="auto"/>
              </w:rPr>
            </w:pPr>
          </w:p>
        </w:tc>
      </w:tr>
      <w:tr>
        <w:trPr>
          <w:trHeight w:val="516"/>
        </w:trPr>
        <w:tc>
          <w:tcPr>
            <w:tcW w:w="9540" w:type="dxa"/>
            <w:vAlign w:val="bottom"/>
            <w:gridSpan w:val="7"/>
          </w:tcPr>
          <w:p>
            <w:pPr>
              <w:ind w:left="20"/>
              <w:spacing w:after="0"/>
              <w:rPr>
                <w:sz w:val="20"/>
                <w:szCs w:val="20"/>
                <w:color w:val="auto"/>
              </w:rPr>
            </w:pPr>
            <w:r>
              <w:rPr>
                <w:rFonts w:ascii="Arial" w:cs="Arial" w:eastAsia="Arial" w:hAnsi="Arial"/>
                <w:sz w:val="22"/>
                <w:szCs w:val="22"/>
                <w:color w:val="auto"/>
              </w:rPr>
              <w:t>ARTICLE III REPRESENTATIONS AND WARRANTIES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139</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3.01</w:t>
            </w:r>
          </w:p>
        </w:tc>
        <w:tc>
          <w:tcPr>
            <w:tcW w:w="6600" w:type="dxa"/>
            <w:vAlign w:val="bottom"/>
            <w:gridSpan w:val="4"/>
          </w:tcPr>
          <w:p>
            <w:pPr>
              <w:spacing w:after="0"/>
              <w:rPr>
                <w:sz w:val="20"/>
                <w:szCs w:val="20"/>
                <w:color w:val="auto"/>
              </w:rPr>
            </w:pPr>
            <w:r>
              <w:rPr>
                <w:rFonts w:ascii="Arial" w:cs="Arial" w:eastAsia="Arial" w:hAnsi="Arial"/>
                <w:sz w:val="22"/>
                <w:szCs w:val="22"/>
                <w:color w:val="auto"/>
              </w:rPr>
              <w:t>Organization; Powers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139</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3.02</w:t>
            </w:r>
          </w:p>
        </w:tc>
        <w:tc>
          <w:tcPr>
            <w:tcW w:w="6600" w:type="dxa"/>
            <w:vAlign w:val="bottom"/>
            <w:gridSpan w:val="4"/>
          </w:tcPr>
          <w:p>
            <w:pPr>
              <w:spacing w:after="0"/>
              <w:rPr>
                <w:sz w:val="20"/>
                <w:szCs w:val="20"/>
                <w:color w:val="auto"/>
              </w:rPr>
            </w:pPr>
            <w:r>
              <w:rPr>
                <w:rFonts w:ascii="Arial" w:cs="Arial" w:eastAsia="Arial" w:hAnsi="Arial"/>
                <w:sz w:val="22"/>
                <w:szCs w:val="22"/>
                <w:color w:val="auto"/>
              </w:rPr>
              <w:t>Authorization; Enforceability</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139</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3.03</w:t>
            </w:r>
          </w:p>
        </w:tc>
        <w:tc>
          <w:tcPr>
            <w:tcW w:w="6600" w:type="dxa"/>
            <w:vAlign w:val="bottom"/>
            <w:gridSpan w:val="4"/>
          </w:tcPr>
          <w:p>
            <w:pPr>
              <w:spacing w:after="0"/>
              <w:rPr>
                <w:sz w:val="20"/>
                <w:szCs w:val="20"/>
                <w:color w:val="auto"/>
              </w:rPr>
            </w:pPr>
            <w:r>
              <w:rPr>
                <w:rFonts w:ascii="Arial" w:cs="Arial" w:eastAsia="Arial" w:hAnsi="Arial"/>
                <w:sz w:val="22"/>
                <w:szCs w:val="22"/>
                <w:color w:val="auto"/>
              </w:rPr>
              <w:t>Governmental Approvals; No Conflicts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139</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3.04</w:t>
            </w:r>
          </w:p>
        </w:tc>
        <w:tc>
          <w:tcPr>
            <w:tcW w:w="6600" w:type="dxa"/>
            <w:vAlign w:val="bottom"/>
            <w:gridSpan w:val="4"/>
          </w:tcPr>
          <w:p>
            <w:pPr>
              <w:spacing w:after="0"/>
              <w:rPr>
                <w:sz w:val="20"/>
                <w:szCs w:val="20"/>
                <w:color w:val="auto"/>
              </w:rPr>
            </w:pPr>
            <w:r>
              <w:rPr>
                <w:rFonts w:ascii="Arial" w:cs="Arial" w:eastAsia="Arial" w:hAnsi="Arial"/>
                <w:sz w:val="22"/>
                <w:szCs w:val="22"/>
                <w:color w:val="auto"/>
              </w:rPr>
              <w:t>Financial Condition; No Material Adverse Effect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139</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3.05</w:t>
            </w:r>
          </w:p>
        </w:tc>
        <w:tc>
          <w:tcPr>
            <w:tcW w:w="6600" w:type="dxa"/>
            <w:vAlign w:val="bottom"/>
            <w:gridSpan w:val="4"/>
          </w:tcPr>
          <w:p>
            <w:pPr>
              <w:spacing w:after="0"/>
              <w:rPr>
                <w:sz w:val="20"/>
                <w:szCs w:val="20"/>
                <w:color w:val="auto"/>
              </w:rPr>
            </w:pPr>
            <w:r>
              <w:rPr>
                <w:rFonts w:ascii="Arial" w:cs="Arial" w:eastAsia="Arial" w:hAnsi="Arial"/>
                <w:sz w:val="22"/>
                <w:szCs w:val="22"/>
                <w:color w:val="auto"/>
              </w:rPr>
              <w:t>Properties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140</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3.06</w:t>
            </w:r>
          </w:p>
        </w:tc>
        <w:tc>
          <w:tcPr>
            <w:tcW w:w="6600" w:type="dxa"/>
            <w:vAlign w:val="bottom"/>
            <w:gridSpan w:val="4"/>
          </w:tcPr>
          <w:p>
            <w:pPr>
              <w:spacing w:after="0"/>
              <w:rPr>
                <w:sz w:val="20"/>
                <w:szCs w:val="20"/>
                <w:color w:val="auto"/>
              </w:rPr>
            </w:pPr>
            <w:r>
              <w:rPr>
                <w:rFonts w:ascii="Arial" w:cs="Arial" w:eastAsia="Arial" w:hAnsi="Arial"/>
                <w:sz w:val="22"/>
                <w:szCs w:val="22"/>
                <w:color w:val="auto"/>
              </w:rPr>
              <w:t>Litigation and Environmental Matters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140</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3.07</w:t>
            </w:r>
          </w:p>
        </w:tc>
        <w:tc>
          <w:tcPr>
            <w:tcW w:w="6600" w:type="dxa"/>
            <w:vAlign w:val="bottom"/>
            <w:gridSpan w:val="4"/>
          </w:tcPr>
          <w:p>
            <w:pPr>
              <w:spacing w:after="0"/>
              <w:rPr>
                <w:sz w:val="20"/>
                <w:szCs w:val="20"/>
                <w:color w:val="auto"/>
              </w:rPr>
            </w:pPr>
            <w:r>
              <w:rPr>
                <w:rFonts w:ascii="Arial" w:cs="Arial" w:eastAsia="Arial" w:hAnsi="Arial"/>
                <w:sz w:val="22"/>
                <w:szCs w:val="22"/>
                <w:color w:val="auto"/>
              </w:rPr>
              <w:t>Compliance with Laws; No Default.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140</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3.08</w:t>
            </w:r>
          </w:p>
        </w:tc>
        <w:tc>
          <w:tcPr>
            <w:tcW w:w="6600" w:type="dxa"/>
            <w:vAlign w:val="bottom"/>
            <w:gridSpan w:val="4"/>
          </w:tcPr>
          <w:p>
            <w:pPr>
              <w:spacing w:after="0"/>
              <w:rPr>
                <w:sz w:val="20"/>
                <w:szCs w:val="20"/>
                <w:color w:val="auto"/>
              </w:rPr>
            </w:pPr>
            <w:r>
              <w:rPr>
                <w:rFonts w:ascii="Arial" w:cs="Arial" w:eastAsia="Arial" w:hAnsi="Arial"/>
                <w:sz w:val="22"/>
                <w:szCs w:val="22"/>
                <w:color w:val="auto"/>
              </w:rPr>
              <w:t>Investment Company Status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140</w:t>
            </w:r>
          </w:p>
        </w:tc>
        <w:tc>
          <w:tcPr>
            <w:tcW w:w="20" w:type="dxa"/>
            <w:vAlign w:val="bottom"/>
          </w:tcPr>
          <w:p>
            <w:pPr>
              <w:spacing w:after="0"/>
              <w:rPr>
                <w:sz w:val="24"/>
                <w:szCs w:val="24"/>
                <w:color w:val="auto"/>
              </w:rPr>
            </w:pPr>
          </w:p>
        </w:tc>
      </w:tr>
      <w:tr>
        <w:trPr>
          <w:trHeight w:val="485"/>
        </w:trPr>
        <w:tc>
          <w:tcPr>
            <w:tcW w:w="6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010000"/>
              </w:rPr>
              <w:t>SECTION 3.09</w:t>
            </w:r>
          </w:p>
        </w:tc>
        <w:tc>
          <w:tcPr>
            <w:tcW w:w="6600" w:type="dxa"/>
            <w:vAlign w:val="bottom"/>
            <w:gridSpan w:val="4"/>
          </w:tcPr>
          <w:p>
            <w:pPr>
              <w:spacing w:after="0"/>
              <w:rPr>
                <w:sz w:val="20"/>
                <w:szCs w:val="20"/>
                <w:color w:val="auto"/>
              </w:rPr>
            </w:pPr>
            <w:r>
              <w:rPr>
                <w:rFonts w:ascii="Arial" w:cs="Arial" w:eastAsia="Arial" w:hAnsi="Arial"/>
                <w:sz w:val="22"/>
                <w:szCs w:val="22"/>
                <w:color w:val="auto"/>
              </w:rPr>
              <w:t>Taxes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141</w:t>
            </w:r>
          </w:p>
        </w:tc>
        <w:tc>
          <w:tcPr>
            <w:tcW w:w="20" w:type="dxa"/>
            <w:vAlign w:val="bottom"/>
          </w:tcPr>
          <w:p>
            <w:pPr>
              <w:spacing w:after="0"/>
              <w:rPr>
                <w:sz w:val="24"/>
                <w:szCs w:val="24"/>
                <w:color w:val="auto"/>
              </w:rPr>
            </w:pPr>
          </w:p>
        </w:tc>
      </w:tr>
      <w:tr>
        <w:trPr>
          <w:trHeight w:val="452"/>
        </w:trPr>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40" w:type="dxa"/>
            <w:vAlign w:val="bottom"/>
            <w:gridSpan w:val="3"/>
          </w:tcPr>
          <w:p>
            <w:pPr>
              <w:ind w:left="200"/>
              <w:spacing w:after="0"/>
              <w:rPr>
                <w:sz w:val="20"/>
                <w:szCs w:val="20"/>
                <w:color w:val="auto"/>
              </w:rPr>
            </w:pPr>
            <w:r>
              <w:rPr>
                <w:rFonts w:ascii="Arial" w:cs="Arial" w:eastAsia="Arial" w:hAnsi="Arial"/>
                <w:sz w:val="20"/>
                <w:szCs w:val="20"/>
                <w:color w:val="auto"/>
              </w:rPr>
              <w:t>-ii-</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3"/>
        </w:trPr>
        <w:tc>
          <w:tcPr>
            <w:tcW w:w="660" w:type="dxa"/>
            <w:vAlign w:val="bottom"/>
            <w:tcBorders>
              <w:bottom w:val="single" w:sz="8" w:color="9A9A9A"/>
            </w:tcBorders>
          </w:tcPr>
          <w:p>
            <w:pPr>
              <w:spacing w:after="0"/>
              <w:rPr>
                <w:sz w:val="23"/>
                <w:szCs w:val="23"/>
                <w:color w:val="auto"/>
              </w:rPr>
            </w:pPr>
          </w:p>
        </w:tc>
        <w:tc>
          <w:tcPr>
            <w:tcW w:w="142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236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1940" w:type="dxa"/>
            <w:vAlign w:val="bottom"/>
            <w:tcBorders>
              <w:bottom w:val="single" w:sz="8" w:color="9A9A9A"/>
            </w:tcBorders>
          </w:tcPr>
          <w:p>
            <w:pPr>
              <w:spacing w:after="0"/>
              <w:rPr>
                <w:sz w:val="23"/>
                <w:szCs w:val="23"/>
                <w:color w:val="auto"/>
              </w:rPr>
            </w:pPr>
          </w:p>
        </w:tc>
        <w:tc>
          <w:tcPr>
            <w:tcW w:w="1620" w:type="dxa"/>
            <w:vAlign w:val="bottom"/>
            <w:tcBorders>
              <w:bottom w:val="single" w:sz="8" w:color="9A9A9A"/>
            </w:tcBorders>
          </w:tcPr>
          <w:p>
            <w:pPr>
              <w:spacing w:after="0"/>
              <w:rPr>
                <w:sz w:val="23"/>
                <w:szCs w:val="23"/>
                <w:color w:val="auto"/>
              </w:rPr>
            </w:pPr>
          </w:p>
        </w:tc>
        <w:tc>
          <w:tcPr>
            <w:tcW w:w="136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74"/>
        </w:trPr>
        <w:tc>
          <w:tcPr>
            <w:tcW w:w="2760" w:type="dxa"/>
            <w:vAlign w:val="bottom"/>
          </w:tcPr>
          <w:p>
            <w:pPr>
              <w:ind w:left="660"/>
              <w:spacing w:after="0"/>
              <w:rPr>
                <w:sz w:val="20"/>
                <w:szCs w:val="20"/>
                <w:color w:val="auto"/>
              </w:rPr>
            </w:pPr>
            <w:r>
              <w:rPr>
                <w:rFonts w:ascii="Arial" w:cs="Arial" w:eastAsia="Arial" w:hAnsi="Arial"/>
                <w:sz w:val="22"/>
                <w:szCs w:val="22"/>
                <w:color w:val="010000"/>
              </w:rPr>
              <w:t>SECTION 3.10</w:t>
            </w:r>
          </w:p>
        </w:tc>
        <w:tc>
          <w:tcPr>
            <w:tcW w:w="6280" w:type="dxa"/>
            <w:vAlign w:val="bottom"/>
          </w:tcPr>
          <w:p>
            <w:pPr>
              <w:ind w:left="180"/>
              <w:spacing w:after="0"/>
              <w:rPr>
                <w:sz w:val="20"/>
                <w:szCs w:val="20"/>
                <w:color w:val="auto"/>
              </w:rPr>
            </w:pPr>
            <w:r>
              <w:rPr>
                <w:rFonts w:ascii="Arial" w:cs="Arial" w:eastAsia="Arial" w:hAnsi="Arial"/>
                <w:sz w:val="22"/>
                <w:szCs w:val="22"/>
                <w:color w:val="auto"/>
              </w:rPr>
              <w:t>ERISA</w:t>
            </w:r>
          </w:p>
        </w:tc>
        <w:tc>
          <w:tcPr>
            <w:tcW w:w="2200" w:type="dxa"/>
            <w:vAlign w:val="bottom"/>
          </w:tcPr>
          <w:p>
            <w:pPr>
              <w:jc w:val="right"/>
              <w:spacing w:after="0"/>
              <w:rPr>
                <w:sz w:val="20"/>
                <w:szCs w:val="20"/>
                <w:color w:val="auto"/>
              </w:rPr>
            </w:pPr>
            <w:r>
              <w:rPr>
                <w:rFonts w:ascii="Arial" w:cs="Arial" w:eastAsia="Arial" w:hAnsi="Arial"/>
                <w:sz w:val="22"/>
                <w:szCs w:val="22"/>
                <w:color w:val="auto"/>
              </w:rPr>
              <w:t>141</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3.11</w:t>
            </w:r>
          </w:p>
        </w:tc>
        <w:tc>
          <w:tcPr>
            <w:tcW w:w="6280" w:type="dxa"/>
            <w:vAlign w:val="bottom"/>
          </w:tcPr>
          <w:p>
            <w:pPr>
              <w:ind w:left="180"/>
              <w:spacing w:after="0"/>
              <w:rPr>
                <w:sz w:val="20"/>
                <w:szCs w:val="20"/>
                <w:color w:val="auto"/>
              </w:rPr>
            </w:pPr>
            <w:r>
              <w:rPr>
                <w:rFonts w:ascii="Arial" w:cs="Arial" w:eastAsia="Arial" w:hAnsi="Arial"/>
                <w:sz w:val="22"/>
                <w:szCs w:val="22"/>
                <w:color w:val="auto"/>
              </w:rPr>
              <w:t>Disclosure</w:t>
            </w:r>
          </w:p>
        </w:tc>
        <w:tc>
          <w:tcPr>
            <w:tcW w:w="220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3.12</w:t>
            </w:r>
          </w:p>
        </w:tc>
        <w:tc>
          <w:tcPr>
            <w:tcW w:w="6280" w:type="dxa"/>
            <w:vAlign w:val="bottom"/>
          </w:tcPr>
          <w:p>
            <w:pPr>
              <w:ind w:left="180"/>
              <w:spacing w:after="0"/>
              <w:rPr>
                <w:sz w:val="20"/>
                <w:szCs w:val="20"/>
                <w:color w:val="auto"/>
              </w:rPr>
            </w:pPr>
            <w:r>
              <w:rPr>
                <w:rFonts w:ascii="Arial" w:cs="Arial" w:eastAsia="Arial" w:hAnsi="Arial"/>
                <w:sz w:val="22"/>
                <w:szCs w:val="22"/>
                <w:color w:val="auto"/>
              </w:rPr>
              <w:t>Subsidiaries</w:t>
            </w:r>
          </w:p>
        </w:tc>
        <w:tc>
          <w:tcPr>
            <w:tcW w:w="220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3.13</w:t>
            </w:r>
          </w:p>
        </w:tc>
        <w:tc>
          <w:tcPr>
            <w:tcW w:w="6280" w:type="dxa"/>
            <w:vAlign w:val="bottom"/>
          </w:tcPr>
          <w:p>
            <w:pPr>
              <w:ind w:left="180"/>
              <w:spacing w:after="0"/>
              <w:rPr>
                <w:sz w:val="20"/>
                <w:szCs w:val="20"/>
                <w:color w:val="auto"/>
              </w:rPr>
            </w:pPr>
            <w:r>
              <w:rPr>
                <w:rFonts w:ascii="Arial" w:cs="Arial" w:eastAsia="Arial" w:hAnsi="Arial"/>
                <w:sz w:val="22"/>
                <w:szCs w:val="22"/>
                <w:color w:val="auto"/>
              </w:rPr>
              <w:t>Intellectual Property; Licenses, Etc.</w:t>
            </w:r>
          </w:p>
        </w:tc>
        <w:tc>
          <w:tcPr>
            <w:tcW w:w="220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3.14</w:t>
            </w:r>
          </w:p>
        </w:tc>
        <w:tc>
          <w:tcPr>
            <w:tcW w:w="6280" w:type="dxa"/>
            <w:vAlign w:val="bottom"/>
          </w:tcPr>
          <w:p>
            <w:pPr>
              <w:ind w:left="180"/>
              <w:spacing w:after="0"/>
              <w:rPr>
                <w:sz w:val="20"/>
                <w:szCs w:val="20"/>
                <w:color w:val="auto"/>
              </w:rPr>
            </w:pPr>
            <w:r>
              <w:rPr>
                <w:rFonts w:ascii="Arial" w:cs="Arial" w:eastAsia="Arial" w:hAnsi="Arial"/>
                <w:sz w:val="22"/>
                <w:szCs w:val="22"/>
                <w:color w:val="auto"/>
              </w:rPr>
              <w:t>Solvency</w:t>
            </w:r>
          </w:p>
        </w:tc>
        <w:tc>
          <w:tcPr>
            <w:tcW w:w="220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3.15</w:t>
            </w:r>
          </w:p>
        </w:tc>
        <w:tc>
          <w:tcPr>
            <w:tcW w:w="6280" w:type="dxa"/>
            <w:vAlign w:val="bottom"/>
          </w:tcPr>
          <w:p>
            <w:pPr>
              <w:ind w:left="180"/>
              <w:spacing w:after="0"/>
              <w:rPr>
                <w:sz w:val="20"/>
                <w:szCs w:val="20"/>
                <w:color w:val="auto"/>
              </w:rPr>
            </w:pPr>
            <w:r>
              <w:rPr>
                <w:rFonts w:ascii="Arial" w:cs="Arial" w:eastAsia="Arial" w:hAnsi="Arial"/>
                <w:sz w:val="22"/>
                <w:szCs w:val="22"/>
                <w:color w:val="auto"/>
              </w:rPr>
              <w:t>Federal Reserve Regulations</w:t>
            </w:r>
          </w:p>
        </w:tc>
        <w:tc>
          <w:tcPr>
            <w:tcW w:w="220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3.16</w:t>
            </w:r>
          </w:p>
        </w:tc>
        <w:tc>
          <w:tcPr>
            <w:tcW w:w="6280" w:type="dxa"/>
            <w:vAlign w:val="bottom"/>
          </w:tcPr>
          <w:p>
            <w:pPr>
              <w:ind w:left="180"/>
              <w:spacing w:after="0"/>
              <w:rPr>
                <w:sz w:val="20"/>
                <w:szCs w:val="20"/>
                <w:color w:val="auto"/>
              </w:rPr>
            </w:pPr>
            <w:r>
              <w:rPr>
                <w:rFonts w:ascii="Arial" w:cs="Arial" w:eastAsia="Arial" w:hAnsi="Arial"/>
                <w:sz w:val="22"/>
                <w:szCs w:val="22"/>
                <w:color w:val="auto"/>
              </w:rPr>
              <w:t>USA PATRIOT Act; OFAC and FCPA</w:t>
            </w:r>
          </w:p>
        </w:tc>
        <w:tc>
          <w:tcPr>
            <w:tcW w:w="220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3.17</w:t>
            </w:r>
          </w:p>
        </w:tc>
        <w:tc>
          <w:tcPr>
            <w:tcW w:w="6280" w:type="dxa"/>
            <w:vAlign w:val="bottom"/>
          </w:tcPr>
          <w:p>
            <w:pPr>
              <w:ind w:left="180"/>
              <w:spacing w:after="0"/>
              <w:rPr>
                <w:sz w:val="20"/>
                <w:szCs w:val="20"/>
                <w:color w:val="auto"/>
              </w:rPr>
            </w:pPr>
            <w:r>
              <w:rPr>
                <w:rFonts w:ascii="Arial" w:cs="Arial" w:eastAsia="Arial" w:hAnsi="Arial"/>
                <w:sz w:val="22"/>
                <w:szCs w:val="22"/>
                <w:color w:val="auto"/>
              </w:rPr>
              <w:t>Use of Proceeds</w:t>
            </w:r>
          </w:p>
        </w:tc>
        <w:tc>
          <w:tcPr>
            <w:tcW w:w="220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3.18</w:t>
            </w:r>
          </w:p>
        </w:tc>
        <w:tc>
          <w:tcPr>
            <w:tcW w:w="6280" w:type="dxa"/>
            <w:vAlign w:val="bottom"/>
          </w:tcPr>
          <w:p>
            <w:pPr>
              <w:ind w:left="180"/>
              <w:spacing w:after="0"/>
              <w:rPr>
                <w:sz w:val="20"/>
                <w:szCs w:val="20"/>
                <w:color w:val="auto"/>
              </w:rPr>
            </w:pPr>
            <w:r>
              <w:rPr>
                <w:rFonts w:ascii="Arial" w:cs="Arial" w:eastAsia="Arial" w:hAnsi="Arial"/>
                <w:sz w:val="22"/>
                <w:szCs w:val="22"/>
                <w:color w:val="auto"/>
              </w:rPr>
              <w:t>Regulatory Matters.</w:t>
            </w:r>
          </w:p>
        </w:tc>
        <w:tc>
          <w:tcPr>
            <w:tcW w:w="220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3.19</w:t>
            </w:r>
          </w:p>
        </w:tc>
        <w:tc>
          <w:tcPr>
            <w:tcW w:w="6280" w:type="dxa"/>
            <w:vAlign w:val="bottom"/>
          </w:tcPr>
          <w:p>
            <w:pPr>
              <w:ind w:left="180"/>
              <w:spacing w:after="0"/>
              <w:rPr>
                <w:sz w:val="20"/>
                <w:szCs w:val="20"/>
                <w:color w:val="auto"/>
              </w:rPr>
            </w:pPr>
            <w:r>
              <w:rPr>
                <w:rFonts w:ascii="Arial" w:cs="Arial" w:eastAsia="Arial" w:hAnsi="Arial"/>
                <w:sz w:val="22"/>
                <w:szCs w:val="22"/>
                <w:color w:val="auto"/>
              </w:rPr>
              <w:t>Collateral Matters</w:t>
            </w:r>
          </w:p>
        </w:tc>
        <w:tc>
          <w:tcPr>
            <w:tcW w:w="220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485"/>
        </w:trPr>
        <w:tc>
          <w:tcPr>
            <w:tcW w:w="2760" w:type="dxa"/>
            <w:vAlign w:val="bottom"/>
          </w:tcPr>
          <w:p>
            <w:pPr>
              <w:ind w:left="20"/>
              <w:spacing w:after="0"/>
              <w:rPr>
                <w:sz w:val="20"/>
                <w:szCs w:val="20"/>
                <w:color w:val="auto"/>
              </w:rPr>
            </w:pPr>
            <w:r>
              <w:rPr>
                <w:rFonts w:ascii="Arial" w:cs="Arial" w:eastAsia="Arial" w:hAnsi="Arial"/>
                <w:sz w:val="22"/>
                <w:szCs w:val="22"/>
                <w:color w:val="auto"/>
              </w:rPr>
              <w:t>ARTICLE IV CONDITIONS</w:t>
            </w:r>
          </w:p>
        </w:tc>
        <w:tc>
          <w:tcPr>
            <w:tcW w:w="62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4.01</w:t>
            </w:r>
          </w:p>
        </w:tc>
        <w:tc>
          <w:tcPr>
            <w:tcW w:w="6280" w:type="dxa"/>
            <w:vAlign w:val="bottom"/>
          </w:tcPr>
          <w:p>
            <w:pPr>
              <w:ind w:left="180"/>
              <w:spacing w:after="0"/>
              <w:rPr>
                <w:sz w:val="20"/>
                <w:szCs w:val="20"/>
                <w:color w:val="auto"/>
              </w:rPr>
            </w:pPr>
            <w:r>
              <w:rPr>
                <w:rFonts w:ascii="Arial" w:cs="Arial" w:eastAsia="Arial" w:hAnsi="Arial"/>
                <w:sz w:val="22"/>
                <w:szCs w:val="22"/>
                <w:color w:val="auto"/>
              </w:rPr>
              <w:t>Effective Date</w:t>
            </w:r>
          </w:p>
        </w:tc>
        <w:tc>
          <w:tcPr>
            <w:tcW w:w="220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4.02</w:t>
            </w:r>
          </w:p>
        </w:tc>
        <w:tc>
          <w:tcPr>
            <w:tcW w:w="6280" w:type="dxa"/>
            <w:vAlign w:val="bottom"/>
          </w:tcPr>
          <w:p>
            <w:pPr>
              <w:ind w:left="180"/>
              <w:spacing w:after="0"/>
              <w:rPr>
                <w:sz w:val="20"/>
                <w:szCs w:val="20"/>
                <w:color w:val="auto"/>
              </w:rPr>
            </w:pPr>
            <w:r>
              <w:rPr>
                <w:rFonts w:ascii="Arial" w:cs="Arial" w:eastAsia="Arial" w:hAnsi="Arial"/>
                <w:sz w:val="22"/>
                <w:szCs w:val="22"/>
                <w:color w:val="auto"/>
              </w:rPr>
              <w:t>Each Credit Event</w:t>
            </w:r>
          </w:p>
        </w:tc>
        <w:tc>
          <w:tcPr>
            <w:tcW w:w="2200" w:type="dxa"/>
            <w:vAlign w:val="bottom"/>
          </w:tcPr>
          <w:p>
            <w:pPr>
              <w:jc w:val="right"/>
              <w:spacing w:after="0"/>
              <w:rPr>
                <w:sz w:val="20"/>
                <w:szCs w:val="20"/>
                <w:color w:val="auto"/>
              </w:rPr>
            </w:pPr>
            <w:r>
              <w:rPr>
                <w:rFonts w:ascii="Arial" w:cs="Arial" w:eastAsia="Arial" w:hAnsi="Arial"/>
                <w:sz w:val="22"/>
                <w:szCs w:val="22"/>
                <w:color w:val="auto"/>
              </w:rPr>
              <w:t>146</w:t>
            </w:r>
          </w:p>
        </w:tc>
      </w:tr>
      <w:tr>
        <w:trPr>
          <w:trHeight w:val="485"/>
        </w:trPr>
        <w:tc>
          <w:tcPr>
            <w:tcW w:w="9040" w:type="dxa"/>
            <w:vAlign w:val="bottom"/>
            <w:gridSpan w:val="2"/>
          </w:tcPr>
          <w:p>
            <w:pPr>
              <w:ind w:left="20"/>
              <w:spacing w:after="0"/>
              <w:rPr>
                <w:sz w:val="20"/>
                <w:szCs w:val="20"/>
                <w:color w:val="auto"/>
              </w:rPr>
            </w:pPr>
            <w:r>
              <w:rPr>
                <w:rFonts w:ascii="Arial" w:cs="Arial" w:eastAsia="Arial" w:hAnsi="Arial"/>
                <w:sz w:val="22"/>
                <w:szCs w:val="22"/>
                <w:color w:val="auto"/>
              </w:rPr>
              <w:t>ARTICLE V AFFIRMATIVE COVENANTS</w:t>
            </w:r>
          </w:p>
        </w:tc>
        <w:tc>
          <w:tcPr>
            <w:tcW w:w="2200" w:type="dxa"/>
            <w:vAlign w:val="bottom"/>
          </w:tcPr>
          <w:p>
            <w:pPr>
              <w:jc w:val="right"/>
              <w:spacing w:after="0"/>
              <w:rPr>
                <w:sz w:val="20"/>
                <w:szCs w:val="20"/>
                <w:color w:val="auto"/>
              </w:rPr>
            </w:pPr>
            <w:r>
              <w:rPr>
                <w:rFonts w:ascii="Arial" w:cs="Arial" w:eastAsia="Arial" w:hAnsi="Arial"/>
                <w:sz w:val="22"/>
                <w:szCs w:val="22"/>
                <w:color w:val="auto"/>
              </w:rPr>
              <w:t>147</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5.01</w:t>
            </w:r>
          </w:p>
        </w:tc>
        <w:tc>
          <w:tcPr>
            <w:tcW w:w="6280" w:type="dxa"/>
            <w:vAlign w:val="bottom"/>
          </w:tcPr>
          <w:p>
            <w:pPr>
              <w:ind w:left="180"/>
              <w:spacing w:after="0"/>
              <w:rPr>
                <w:sz w:val="20"/>
                <w:szCs w:val="20"/>
                <w:color w:val="auto"/>
              </w:rPr>
            </w:pPr>
            <w:r>
              <w:rPr>
                <w:rFonts w:ascii="Arial" w:cs="Arial" w:eastAsia="Arial" w:hAnsi="Arial"/>
                <w:sz w:val="22"/>
                <w:szCs w:val="22"/>
                <w:color w:val="auto"/>
              </w:rPr>
              <w:t>Financial Statements and Other Information</w:t>
            </w:r>
          </w:p>
        </w:tc>
        <w:tc>
          <w:tcPr>
            <w:tcW w:w="2200" w:type="dxa"/>
            <w:vAlign w:val="bottom"/>
          </w:tcPr>
          <w:p>
            <w:pPr>
              <w:jc w:val="right"/>
              <w:spacing w:after="0"/>
              <w:rPr>
                <w:sz w:val="20"/>
                <w:szCs w:val="20"/>
                <w:color w:val="auto"/>
              </w:rPr>
            </w:pPr>
            <w:r>
              <w:rPr>
                <w:rFonts w:ascii="Arial" w:cs="Arial" w:eastAsia="Arial" w:hAnsi="Arial"/>
                <w:sz w:val="22"/>
                <w:szCs w:val="22"/>
                <w:color w:val="auto"/>
              </w:rPr>
              <w:t>147</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5.02</w:t>
            </w:r>
          </w:p>
        </w:tc>
        <w:tc>
          <w:tcPr>
            <w:tcW w:w="6280" w:type="dxa"/>
            <w:vAlign w:val="bottom"/>
          </w:tcPr>
          <w:p>
            <w:pPr>
              <w:ind w:left="180"/>
              <w:spacing w:after="0"/>
              <w:rPr>
                <w:sz w:val="20"/>
                <w:szCs w:val="20"/>
                <w:color w:val="auto"/>
              </w:rPr>
            </w:pPr>
            <w:r>
              <w:rPr>
                <w:rFonts w:ascii="Arial" w:cs="Arial" w:eastAsia="Arial" w:hAnsi="Arial"/>
                <w:sz w:val="22"/>
                <w:szCs w:val="22"/>
                <w:color w:val="auto"/>
              </w:rPr>
              <w:t>Notices of Material Events</w:t>
            </w:r>
          </w:p>
        </w:tc>
        <w:tc>
          <w:tcPr>
            <w:tcW w:w="2200" w:type="dxa"/>
            <w:vAlign w:val="bottom"/>
          </w:tcPr>
          <w:p>
            <w:pPr>
              <w:jc w:val="right"/>
              <w:spacing w:after="0"/>
              <w:rPr>
                <w:sz w:val="20"/>
                <w:szCs w:val="20"/>
                <w:color w:val="auto"/>
              </w:rPr>
            </w:pPr>
            <w:r>
              <w:rPr>
                <w:rFonts w:ascii="Arial" w:cs="Arial" w:eastAsia="Arial" w:hAnsi="Arial"/>
                <w:sz w:val="22"/>
                <w:szCs w:val="22"/>
                <w:color w:val="auto"/>
              </w:rPr>
              <w:t>150</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5.03</w:t>
            </w:r>
          </w:p>
        </w:tc>
        <w:tc>
          <w:tcPr>
            <w:tcW w:w="6280" w:type="dxa"/>
            <w:vAlign w:val="bottom"/>
          </w:tcPr>
          <w:p>
            <w:pPr>
              <w:ind w:left="180"/>
              <w:spacing w:after="0"/>
              <w:rPr>
                <w:sz w:val="20"/>
                <w:szCs w:val="20"/>
                <w:color w:val="auto"/>
              </w:rPr>
            </w:pPr>
            <w:r>
              <w:rPr>
                <w:rFonts w:ascii="Arial" w:cs="Arial" w:eastAsia="Arial" w:hAnsi="Arial"/>
                <w:sz w:val="22"/>
                <w:szCs w:val="22"/>
                <w:color w:val="auto"/>
              </w:rPr>
              <w:t>Information Regarding Collateral</w:t>
            </w:r>
          </w:p>
        </w:tc>
        <w:tc>
          <w:tcPr>
            <w:tcW w:w="220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5.04</w:t>
            </w:r>
          </w:p>
        </w:tc>
        <w:tc>
          <w:tcPr>
            <w:tcW w:w="6280" w:type="dxa"/>
            <w:vAlign w:val="bottom"/>
          </w:tcPr>
          <w:p>
            <w:pPr>
              <w:ind w:left="180"/>
              <w:spacing w:after="0"/>
              <w:rPr>
                <w:sz w:val="20"/>
                <w:szCs w:val="20"/>
                <w:color w:val="auto"/>
              </w:rPr>
            </w:pPr>
            <w:r>
              <w:rPr>
                <w:rFonts w:ascii="Arial" w:cs="Arial" w:eastAsia="Arial" w:hAnsi="Arial"/>
                <w:sz w:val="22"/>
                <w:szCs w:val="22"/>
                <w:color w:val="auto"/>
              </w:rPr>
              <w:t>Existence; Conduct of Business</w:t>
            </w:r>
          </w:p>
        </w:tc>
        <w:tc>
          <w:tcPr>
            <w:tcW w:w="220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5.05</w:t>
            </w:r>
          </w:p>
        </w:tc>
        <w:tc>
          <w:tcPr>
            <w:tcW w:w="6280" w:type="dxa"/>
            <w:vAlign w:val="bottom"/>
          </w:tcPr>
          <w:p>
            <w:pPr>
              <w:ind w:left="180"/>
              <w:spacing w:after="0"/>
              <w:rPr>
                <w:sz w:val="20"/>
                <w:szCs w:val="20"/>
                <w:color w:val="auto"/>
              </w:rPr>
            </w:pPr>
            <w:r>
              <w:rPr>
                <w:rFonts w:ascii="Arial" w:cs="Arial" w:eastAsia="Arial" w:hAnsi="Arial"/>
                <w:sz w:val="22"/>
                <w:szCs w:val="22"/>
                <w:color w:val="auto"/>
              </w:rPr>
              <w:t>Payment of Taxes, etc.</w:t>
            </w:r>
          </w:p>
        </w:tc>
        <w:tc>
          <w:tcPr>
            <w:tcW w:w="220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5.06</w:t>
            </w:r>
          </w:p>
        </w:tc>
        <w:tc>
          <w:tcPr>
            <w:tcW w:w="6280" w:type="dxa"/>
            <w:vAlign w:val="bottom"/>
          </w:tcPr>
          <w:p>
            <w:pPr>
              <w:ind w:left="180"/>
              <w:spacing w:after="0"/>
              <w:rPr>
                <w:sz w:val="20"/>
                <w:szCs w:val="20"/>
                <w:color w:val="auto"/>
              </w:rPr>
            </w:pPr>
            <w:r>
              <w:rPr>
                <w:rFonts w:ascii="Arial" w:cs="Arial" w:eastAsia="Arial" w:hAnsi="Arial"/>
                <w:sz w:val="22"/>
                <w:szCs w:val="22"/>
                <w:color w:val="auto"/>
              </w:rPr>
              <w:t>Maintenance of Properties</w:t>
            </w:r>
          </w:p>
        </w:tc>
        <w:tc>
          <w:tcPr>
            <w:tcW w:w="220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5.07</w:t>
            </w:r>
          </w:p>
        </w:tc>
        <w:tc>
          <w:tcPr>
            <w:tcW w:w="6280" w:type="dxa"/>
            <w:vAlign w:val="bottom"/>
          </w:tcPr>
          <w:p>
            <w:pPr>
              <w:ind w:left="180"/>
              <w:spacing w:after="0"/>
              <w:rPr>
                <w:sz w:val="20"/>
                <w:szCs w:val="20"/>
                <w:color w:val="auto"/>
              </w:rPr>
            </w:pPr>
            <w:r>
              <w:rPr>
                <w:rFonts w:ascii="Arial" w:cs="Arial" w:eastAsia="Arial" w:hAnsi="Arial"/>
                <w:sz w:val="22"/>
                <w:szCs w:val="22"/>
                <w:color w:val="auto"/>
              </w:rPr>
              <w:t>Insurance</w:t>
            </w:r>
          </w:p>
        </w:tc>
        <w:tc>
          <w:tcPr>
            <w:tcW w:w="220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5.08</w:t>
            </w:r>
          </w:p>
        </w:tc>
        <w:tc>
          <w:tcPr>
            <w:tcW w:w="6280" w:type="dxa"/>
            <w:vAlign w:val="bottom"/>
          </w:tcPr>
          <w:p>
            <w:pPr>
              <w:ind w:left="180"/>
              <w:spacing w:after="0"/>
              <w:rPr>
                <w:sz w:val="20"/>
                <w:szCs w:val="20"/>
                <w:color w:val="auto"/>
              </w:rPr>
            </w:pPr>
            <w:r>
              <w:rPr>
                <w:rFonts w:ascii="Arial" w:cs="Arial" w:eastAsia="Arial" w:hAnsi="Arial"/>
                <w:sz w:val="22"/>
                <w:szCs w:val="22"/>
                <w:color w:val="auto"/>
              </w:rPr>
              <w:t>Books and Records; Inspection and Audit Rights</w:t>
            </w:r>
          </w:p>
        </w:tc>
        <w:tc>
          <w:tcPr>
            <w:tcW w:w="2200" w:type="dxa"/>
            <w:vAlign w:val="bottom"/>
          </w:tcPr>
          <w:p>
            <w:pPr>
              <w:jc w:val="right"/>
              <w:spacing w:after="0"/>
              <w:rPr>
                <w:sz w:val="20"/>
                <w:szCs w:val="20"/>
                <w:color w:val="auto"/>
              </w:rPr>
            </w:pPr>
            <w:r>
              <w:rPr>
                <w:rFonts w:ascii="Arial" w:cs="Arial" w:eastAsia="Arial" w:hAnsi="Arial"/>
                <w:sz w:val="22"/>
                <w:szCs w:val="22"/>
                <w:color w:val="auto"/>
              </w:rPr>
              <w:t>153</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5.09</w:t>
            </w:r>
          </w:p>
        </w:tc>
        <w:tc>
          <w:tcPr>
            <w:tcW w:w="6280" w:type="dxa"/>
            <w:vAlign w:val="bottom"/>
          </w:tcPr>
          <w:p>
            <w:pPr>
              <w:ind w:left="180"/>
              <w:spacing w:after="0"/>
              <w:rPr>
                <w:sz w:val="20"/>
                <w:szCs w:val="20"/>
                <w:color w:val="auto"/>
              </w:rPr>
            </w:pPr>
            <w:r>
              <w:rPr>
                <w:rFonts w:ascii="Arial" w:cs="Arial" w:eastAsia="Arial" w:hAnsi="Arial"/>
                <w:sz w:val="22"/>
                <w:szCs w:val="22"/>
                <w:color w:val="auto"/>
              </w:rPr>
              <w:t>Compliance with Laws</w:t>
            </w:r>
          </w:p>
        </w:tc>
        <w:tc>
          <w:tcPr>
            <w:tcW w:w="2200" w:type="dxa"/>
            <w:vAlign w:val="bottom"/>
          </w:tcPr>
          <w:p>
            <w:pPr>
              <w:jc w:val="right"/>
              <w:spacing w:after="0"/>
              <w:rPr>
                <w:sz w:val="20"/>
                <w:szCs w:val="20"/>
                <w:color w:val="auto"/>
              </w:rPr>
            </w:pPr>
            <w:r>
              <w:rPr>
                <w:rFonts w:ascii="Arial" w:cs="Arial" w:eastAsia="Arial" w:hAnsi="Arial"/>
                <w:sz w:val="22"/>
                <w:szCs w:val="22"/>
                <w:color w:val="auto"/>
              </w:rPr>
              <w:t>153</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5.10</w:t>
            </w:r>
          </w:p>
        </w:tc>
        <w:tc>
          <w:tcPr>
            <w:tcW w:w="6280" w:type="dxa"/>
            <w:vAlign w:val="bottom"/>
          </w:tcPr>
          <w:p>
            <w:pPr>
              <w:ind w:left="180"/>
              <w:spacing w:after="0"/>
              <w:rPr>
                <w:sz w:val="20"/>
                <w:szCs w:val="20"/>
                <w:color w:val="auto"/>
              </w:rPr>
            </w:pPr>
            <w:r>
              <w:rPr>
                <w:rFonts w:ascii="Arial" w:cs="Arial" w:eastAsia="Arial" w:hAnsi="Arial"/>
                <w:sz w:val="22"/>
                <w:szCs w:val="22"/>
                <w:color w:val="auto"/>
              </w:rPr>
              <w:t>Use of Proceeds and Letters of Credit</w:t>
            </w:r>
          </w:p>
        </w:tc>
        <w:tc>
          <w:tcPr>
            <w:tcW w:w="2200" w:type="dxa"/>
            <w:vAlign w:val="bottom"/>
          </w:tcPr>
          <w:p>
            <w:pPr>
              <w:jc w:val="right"/>
              <w:spacing w:after="0"/>
              <w:rPr>
                <w:sz w:val="20"/>
                <w:szCs w:val="20"/>
                <w:color w:val="auto"/>
              </w:rPr>
            </w:pPr>
            <w:r>
              <w:rPr>
                <w:rFonts w:ascii="Arial" w:cs="Arial" w:eastAsia="Arial" w:hAnsi="Arial"/>
                <w:sz w:val="22"/>
                <w:szCs w:val="22"/>
                <w:color w:val="auto"/>
              </w:rPr>
              <w:t>153</w:t>
            </w:r>
          </w:p>
        </w:tc>
      </w:tr>
      <w:tr>
        <w:trPr>
          <w:trHeight w:val="485"/>
        </w:trPr>
        <w:tc>
          <w:tcPr>
            <w:tcW w:w="2760" w:type="dxa"/>
            <w:vAlign w:val="bottom"/>
          </w:tcPr>
          <w:p>
            <w:pPr>
              <w:ind w:left="660"/>
              <w:spacing w:after="0"/>
              <w:rPr>
                <w:sz w:val="20"/>
                <w:szCs w:val="20"/>
                <w:color w:val="auto"/>
              </w:rPr>
            </w:pPr>
            <w:r>
              <w:rPr>
                <w:rFonts w:ascii="Arial" w:cs="Arial" w:eastAsia="Arial" w:hAnsi="Arial"/>
                <w:sz w:val="22"/>
                <w:szCs w:val="22"/>
                <w:color w:val="010000"/>
              </w:rPr>
              <w:t>SECTION 5.11</w:t>
            </w:r>
          </w:p>
        </w:tc>
        <w:tc>
          <w:tcPr>
            <w:tcW w:w="6280" w:type="dxa"/>
            <w:vAlign w:val="bottom"/>
          </w:tcPr>
          <w:p>
            <w:pPr>
              <w:ind w:left="180"/>
              <w:spacing w:after="0"/>
              <w:rPr>
                <w:sz w:val="20"/>
                <w:szCs w:val="20"/>
                <w:color w:val="auto"/>
              </w:rPr>
            </w:pPr>
            <w:r>
              <w:rPr>
                <w:rFonts w:ascii="Arial" w:cs="Arial" w:eastAsia="Arial" w:hAnsi="Arial"/>
                <w:sz w:val="22"/>
                <w:szCs w:val="22"/>
                <w:color w:val="auto"/>
              </w:rPr>
              <w:t>Additional Subsidiaries</w:t>
            </w:r>
          </w:p>
        </w:tc>
        <w:tc>
          <w:tcPr>
            <w:tcW w:w="2200" w:type="dxa"/>
            <w:vAlign w:val="bottom"/>
          </w:tcPr>
          <w:p>
            <w:pPr>
              <w:jc w:val="right"/>
              <w:spacing w:after="0"/>
              <w:rPr>
                <w:sz w:val="20"/>
                <w:szCs w:val="20"/>
                <w:color w:val="auto"/>
              </w:rPr>
            </w:pPr>
            <w:r>
              <w:rPr>
                <w:rFonts w:ascii="Arial" w:cs="Arial" w:eastAsia="Arial" w:hAnsi="Arial"/>
                <w:sz w:val="22"/>
                <w:szCs w:val="22"/>
                <w:color w:val="auto"/>
              </w:rPr>
              <w:t>154</w:t>
            </w:r>
          </w:p>
        </w:tc>
      </w:tr>
      <w:tr>
        <w:trPr>
          <w:trHeight w:val="452"/>
        </w:trPr>
        <w:tc>
          <w:tcPr>
            <w:tcW w:w="2760" w:type="dxa"/>
            <w:vAlign w:val="bottom"/>
          </w:tcPr>
          <w:p>
            <w:pPr>
              <w:spacing w:after="0"/>
              <w:rPr>
                <w:sz w:val="24"/>
                <w:szCs w:val="24"/>
                <w:color w:val="auto"/>
              </w:rPr>
            </w:pPr>
          </w:p>
        </w:tc>
        <w:tc>
          <w:tcPr>
            <w:tcW w:w="6280" w:type="dxa"/>
            <w:vAlign w:val="bottom"/>
          </w:tcPr>
          <w:p>
            <w:pPr>
              <w:ind w:left="2720"/>
              <w:spacing w:after="0"/>
              <w:rPr>
                <w:sz w:val="20"/>
                <w:szCs w:val="20"/>
                <w:color w:val="auto"/>
              </w:rPr>
            </w:pPr>
            <w:r>
              <w:rPr>
                <w:rFonts w:ascii="Arial" w:cs="Arial" w:eastAsia="Arial" w:hAnsi="Arial"/>
                <w:sz w:val="20"/>
                <w:szCs w:val="20"/>
                <w:color w:val="auto"/>
              </w:rPr>
              <w:t>-iii-</w:t>
            </w:r>
          </w:p>
        </w:tc>
        <w:tc>
          <w:tcPr>
            <w:tcW w:w="2200" w:type="dxa"/>
            <w:vAlign w:val="bottom"/>
          </w:tcPr>
          <w:p>
            <w:pPr>
              <w:spacing w:after="0"/>
              <w:rPr>
                <w:sz w:val="24"/>
                <w:szCs w:val="24"/>
                <w:color w:val="auto"/>
              </w:rPr>
            </w:pPr>
          </w:p>
        </w:tc>
      </w:tr>
      <w:tr>
        <w:trPr>
          <w:trHeight w:val="273"/>
        </w:trPr>
        <w:tc>
          <w:tcPr>
            <w:tcW w:w="2760" w:type="dxa"/>
            <w:vAlign w:val="bottom"/>
            <w:tcBorders>
              <w:bottom w:val="single" w:sz="8" w:color="9A9A9A"/>
            </w:tcBorders>
          </w:tcPr>
          <w:p>
            <w:pPr>
              <w:spacing w:after="0"/>
              <w:rPr>
                <w:sz w:val="23"/>
                <w:szCs w:val="23"/>
                <w:color w:val="auto"/>
              </w:rPr>
            </w:pPr>
          </w:p>
        </w:tc>
        <w:tc>
          <w:tcPr>
            <w:tcW w:w="6280" w:type="dxa"/>
            <w:vAlign w:val="bottom"/>
            <w:tcBorders>
              <w:bottom w:val="single" w:sz="8" w:color="9A9A9A"/>
            </w:tcBorders>
          </w:tcPr>
          <w:p>
            <w:pPr>
              <w:spacing w:after="0"/>
              <w:rPr>
                <w:sz w:val="23"/>
                <w:szCs w:val="23"/>
                <w:color w:val="auto"/>
              </w:rPr>
            </w:pPr>
          </w:p>
        </w:tc>
        <w:tc>
          <w:tcPr>
            <w:tcW w:w="22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74"/>
        </w:trPr>
        <w:tc>
          <w:tcPr>
            <w:tcW w:w="2480" w:type="dxa"/>
            <w:vAlign w:val="bottom"/>
          </w:tcPr>
          <w:p>
            <w:pPr>
              <w:ind w:left="660"/>
              <w:spacing w:after="0"/>
              <w:rPr>
                <w:sz w:val="20"/>
                <w:szCs w:val="20"/>
                <w:color w:val="auto"/>
              </w:rPr>
            </w:pPr>
            <w:r>
              <w:rPr>
                <w:rFonts w:ascii="Arial" w:cs="Arial" w:eastAsia="Arial" w:hAnsi="Arial"/>
                <w:sz w:val="22"/>
                <w:szCs w:val="22"/>
                <w:color w:val="010000"/>
              </w:rPr>
              <w:t>SECTION 5.12</w:t>
            </w:r>
          </w:p>
        </w:tc>
        <w:tc>
          <w:tcPr>
            <w:tcW w:w="7060" w:type="dxa"/>
            <w:vAlign w:val="bottom"/>
          </w:tcPr>
          <w:p>
            <w:pPr>
              <w:ind w:left="460"/>
              <w:spacing w:after="0"/>
              <w:rPr>
                <w:sz w:val="20"/>
                <w:szCs w:val="20"/>
                <w:color w:val="auto"/>
              </w:rPr>
            </w:pPr>
            <w:r>
              <w:rPr>
                <w:rFonts w:ascii="Arial" w:cs="Arial" w:eastAsia="Arial" w:hAnsi="Arial"/>
                <w:sz w:val="22"/>
                <w:szCs w:val="22"/>
                <w:color w:val="auto"/>
              </w:rPr>
              <w:t>Further Assurances</w:t>
            </w:r>
          </w:p>
        </w:tc>
        <w:tc>
          <w:tcPr>
            <w:tcW w:w="1700" w:type="dxa"/>
            <w:vAlign w:val="bottom"/>
          </w:tcPr>
          <w:p>
            <w:pPr>
              <w:jc w:val="right"/>
              <w:spacing w:after="0"/>
              <w:rPr>
                <w:sz w:val="20"/>
                <w:szCs w:val="20"/>
                <w:color w:val="auto"/>
              </w:rPr>
            </w:pPr>
            <w:r>
              <w:rPr>
                <w:rFonts w:ascii="Arial" w:cs="Arial" w:eastAsia="Arial" w:hAnsi="Arial"/>
                <w:sz w:val="22"/>
                <w:szCs w:val="22"/>
                <w:color w:val="auto"/>
              </w:rPr>
              <w:t>154</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5.13</w:t>
            </w:r>
          </w:p>
        </w:tc>
        <w:tc>
          <w:tcPr>
            <w:tcW w:w="7060" w:type="dxa"/>
            <w:vAlign w:val="bottom"/>
          </w:tcPr>
          <w:p>
            <w:pPr>
              <w:ind w:left="460"/>
              <w:spacing w:after="0"/>
              <w:rPr>
                <w:sz w:val="20"/>
                <w:szCs w:val="20"/>
                <w:color w:val="auto"/>
              </w:rPr>
            </w:pPr>
            <w:r>
              <w:rPr>
                <w:rFonts w:ascii="Arial" w:cs="Arial" w:eastAsia="Arial" w:hAnsi="Arial"/>
                <w:sz w:val="22"/>
                <w:szCs w:val="22"/>
                <w:color w:val="auto"/>
              </w:rPr>
              <w:t>Designation of Subsidiaries</w:t>
            </w:r>
          </w:p>
        </w:tc>
        <w:tc>
          <w:tcPr>
            <w:tcW w:w="1700" w:type="dxa"/>
            <w:vAlign w:val="bottom"/>
          </w:tcPr>
          <w:p>
            <w:pPr>
              <w:jc w:val="right"/>
              <w:spacing w:after="0"/>
              <w:rPr>
                <w:sz w:val="20"/>
                <w:szCs w:val="20"/>
                <w:color w:val="auto"/>
              </w:rPr>
            </w:pPr>
            <w:r>
              <w:rPr>
                <w:rFonts w:ascii="Arial" w:cs="Arial" w:eastAsia="Arial" w:hAnsi="Arial"/>
                <w:sz w:val="22"/>
                <w:szCs w:val="22"/>
                <w:color w:val="auto"/>
              </w:rPr>
              <w:t>155</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5.14</w:t>
            </w:r>
          </w:p>
        </w:tc>
        <w:tc>
          <w:tcPr>
            <w:tcW w:w="7060" w:type="dxa"/>
            <w:vAlign w:val="bottom"/>
          </w:tcPr>
          <w:p>
            <w:pPr>
              <w:ind w:left="460"/>
              <w:spacing w:after="0"/>
              <w:rPr>
                <w:sz w:val="20"/>
                <w:szCs w:val="20"/>
                <w:color w:val="auto"/>
              </w:rPr>
            </w:pPr>
            <w:r>
              <w:rPr>
                <w:rFonts w:ascii="Arial" w:cs="Arial" w:eastAsia="Arial" w:hAnsi="Arial"/>
                <w:sz w:val="22"/>
                <w:szCs w:val="22"/>
                <w:color w:val="auto"/>
              </w:rPr>
              <w:t>Certain Post-Closing Obligations</w:t>
            </w:r>
          </w:p>
        </w:tc>
        <w:tc>
          <w:tcPr>
            <w:tcW w:w="1700" w:type="dxa"/>
            <w:vAlign w:val="bottom"/>
          </w:tcPr>
          <w:p>
            <w:pPr>
              <w:jc w:val="right"/>
              <w:spacing w:after="0"/>
              <w:rPr>
                <w:sz w:val="20"/>
                <w:szCs w:val="20"/>
                <w:color w:val="auto"/>
              </w:rPr>
            </w:pPr>
            <w:r>
              <w:rPr>
                <w:rFonts w:ascii="Arial" w:cs="Arial" w:eastAsia="Arial" w:hAnsi="Arial"/>
                <w:sz w:val="22"/>
                <w:szCs w:val="22"/>
                <w:color w:val="auto"/>
              </w:rPr>
              <w:t>156</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5.15</w:t>
            </w:r>
          </w:p>
        </w:tc>
        <w:tc>
          <w:tcPr>
            <w:tcW w:w="7060" w:type="dxa"/>
            <w:vAlign w:val="bottom"/>
          </w:tcPr>
          <w:p>
            <w:pPr>
              <w:ind w:left="460"/>
              <w:spacing w:after="0"/>
              <w:rPr>
                <w:sz w:val="20"/>
                <w:szCs w:val="20"/>
                <w:color w:val="auto"/>
              </w:rPr>
            </w:pPr>
            <w:r>
              <w:rPr>
                <w:rFonts w:ascii="Arial" w:cs="Arial" w:eastAsia="Arial" w:hAnsi="Arial"/>
                <w:sz w:val="22"/>
                <w:szCs w:val="22"/>
                <w:color w:val="auto"/>
              </w:rPr>
              <w:t>Transactions with Affiliates</w:t>
            </w:r>
          </w:p>
        </w:tc>
        <w:tc>
          <w:tcPr>
            <w:tcW w:w="1700" w:type="dxa"/>
            <w:vAlign w:val="bottom"/>
          </w:tcPr>
          <w:p>
            <w:pPr>
              <w:jc w:val="right"/>
              <w:spacing w:after="0"/>
              <w:rPr>
                <w:sz w:val="20"/>
                <w:szCs w:val="20"/>
                <w:color w:val="auto"/>
              </w:rPr>
            </w:pPr>
            <w:r>
              <w:rPr>
                <w:rFonts w:ascii="Arial" w:cs="Arial" w:eastAsia="Arial" w:hAnsi="Arial"/>
                <w:sz w:val="22"/>
                <w:szCs w:val="22"/>
                <w:color w:val="auto"/>
              </w:rPr>
              <w:t>156</w:t>
            </w:r>
          </w:p>
        </w:tc>
      </w:tr>
      <w:tr>
        <w:trPr>
          <w:trHeight w:val="485"/>
        </w:trPr>
        <w:tc>
          <w:tcPr>
            <w:tcW w:w="9540" w:type="dxa"/>
            <w:vAlign w:val="bottom"/>
            <w:gridSpan w:val="2"/>
          </w:tcPr>
          <w:p>
            <w:pPr>
              <w:ind w:left="20"/>
              <w:spacing w:after="0"/>
              <w:rPr>
                <w:sz w:val="20"/>
                <w:szCs w:val="20"/>
                <w:color w:val="auto"/>
              </w:rPr>
            </w:pPr>
            <w:r>
              <w:rPr>
                <w:rFonts w:ascii="Arial" w:cs="Arial" w:eastAsia="Arial" w:hAnsi="Arial"/>
                <w:sz w:val="22"/>
                <w:szCs w:val="22"/>
                <w:color w:val="auto"/>
              </w:rPr>
              <w:t>ARTICLE VI NEGATIVE COVENANTS</w:t>
            </w:r>
          </w:p>
        </w:tc>
        <w:tc>
          <w:tcPr>
            <w:tcW w:w="1700" w:type="dxa"/>
            <w:vAlign w:val="bottom"/>
          </w:tcPr>
          <w:p>
            <w:pPr>
              <w:jc w:val="right"/>
              <w:spacing w:after="0"/>
              <w:rPr>
                <w:sz w:val="20"/>
                <w:szCs w:val="20"/>
                <w:color w:val="auto"/>
              </w:rPr>
            </w:pPr>
            <w:r>
              <w:rPr>
                <w:rFonts w:ascii="Arial" w:cs="Arial" w:eastAsia="Arial" w:hAnsi="Arial"/>
                <w:sz w:val="22"/>
                <w:szCs w:val="22"/>
                <w:color w:val="auto"/>
              </w:rPr>
              <w:t>157</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6.01</w:t>
            </w:r>
          </w:p>
        </w:tc>
        <w:tc>
          <w:tcPr>
            <w:tcW w:w="7060" w:type="dxa"/>
            <w:vAlign w:val="bottom"/>
          </w:tcPr>
          <w:p>
            <w:pPr>
              <w:ind w:left="460"/>
              <w:spacing w:after="0"/>
              <w:rPr>
                <w:sz w:val="20"/>
                <w:szCs w:val="20"/>
                <w:color w:val="auto"/>
              </w:rPr>
            </w:pPr>
            <w:r>
              <w:rPr>
                <w:rFonts w:ascii="Arial" w:cs="Arial" w:eastAsia="Arial" w:hAnsi="Arial"/>
                <w:sz w:val="22"/>
                <w:szCs w:val="22"/>
                <w:color w:val="auto"/>
              </w:rPr>
              <w:t>Indebtedness; Certain Equity Securities</w:t>
            </w:r>
          </w:p>
        </w:tc>
        <w:tc>
          <w:tcPr>
            <w:tcW w:w="1700" w:type="dxa"/>
            <w:vAlign w:val="bottom"/>
          </w:tcPr>
          <w:p>
            <w:pPr>
              <w:jc w:val="right"/>
              <w:spacing w:after="0"/>
              <w:rPr>
                <w:sz w:val="20"/>
                <w:szCs w:val="20"/>
                <w:color w:val="auto"/>
              </w:rPr>
            </w:pPr>
            <w:r>
              <w:rPr>
                <w:rFonts w:ascii="Arial" w:cs="Arial" w:eastAsia="Arial" w:hAnsi="Arial"/>
                <w:sz w:val="22"/>
                <w:szCs w:val="22"/>
                <w:color w:val="auto"/>
              </w:rPr>
              <w:t>157</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6.02</w:t>
            </w:r>
          </w:p>
        </w:tc>
        <w:tc>
          <w:tcPr>
            <w:tcW w:w="7060" w:type="dxa"/>
            <w:vAlign w:val="bottom"/>
          </w:tcPr>
          <w:p>
            <w:pPr>
              <w:ind w:left="460"/>
              <w:spacing w:after="0"/>
              <w:rPr>
                <w:sz w:val="20"/>
                <w:szCs w:val="20"/>
                <w:color w:val="auto"/>
              </w:rPr>
            </w:pPr>
            <w:r>
              <w:rPr>
                <w:rFonts w:ascii="Arial" w:cs="Arial" w:eastAsia="Arial" w:hAnsi="Arial"/>
                <w:sz w:val="22"/>
                <w:szCs w:val="22"/>
                <w:color w:val="auto"/>
              </w:rPr>
              <w:t>Liens</w:t>
            </w:r>
          </w:p>
        </w:tc>
        <w:tc>
          <w:tcPr>
            <w:tcW w:w="1700" w:type="dxa"/>
            <w:vAlign w:val="bottom"/>
          </w:tcPr>
          <w:p>
            <w:pPr>
              <w:jc w:val="right"/>
              <w:spacing w:after="0"/>
              <w:rPr>
                <w:sz w:val="20"/>
                <w:szCs w:val="20"/>
                <w:color w:val="auto"/>
              </w:rPr>
            </w:pPr>
            <w:r>
              <w:rPr>
                <w:rFonts w:ascii="Arial" w:cs="Arial" w:eastAsia="Arial" w:hAnsi="Arial"/>
                <w:sz w:val="22"/>
                <w:szCs w:val="22"/>
                <w:color w:val="auto"/>
              </w:rPr>
              <w:t>165</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6.03</w:t>
            </w:r>
          </w:p>
        </w:tc>
        <w:tc>
          <w:tcPr>
            <w:tcW w:w="7060" w:type="dxa"/>
            <w:vAlign w:val="bottom"/>
          </w:tcPr>
          <w:p>
            <w:pPr>
              <w:ind w:left="460"/>
              <w:spacing w:after="0"/>
              <w:rPr>
                <w:sz w:val="20"/>
                <w:szCs w:val="20"/>
                <w:color w:val="auto"/>
              </w:rPr>
            </w:pPr>
            <w:r>
              <w:rPr>
                <w:rFonts w:ascii="Arial" w:cs="Arial" w:eastAsia="Arial" w:hAnsi="Arial"/>
                <w:sz w:val="22"/>
                <w:szCs w:val="22"/>
                <w:color w:val="auto"/>
              </w:rPr>
              <w:t>Fundamental Changes; Holdings Covenant</w:t>
            </w:r>
          </w:p>
        </w:tc>
        <w:tc>
          <w:tcPr>
            <w:tcW w:w="1700" w:type="dxa"/>
            <w:vAlign w:val="bottom"/>
          </w:tcPr>
          <w:p>
            <w:pPr>
              <w:jc w:val="right"/>
              <w:spacing w:after="0"/>
              <w:rPr>
                <w:sz w:val="20"/>
                <w:szCs w:val="20"/>
                <w:color w:val="auto"/>
              </w:rPr>
            </w:pPr>
            <w:r>
              <w:rPr>
                <w:rFonts w:ascii="Arial" w:cs="Arial" w:eastAsia="Arial" w:hAnsi="Arial"/>
                <w:sz w:val="22"/>
                <w:szCs w:val="22"/>
                <w:color w:val="auto"/>
              </w:rPr>
              <w:t>169</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6.04</w:t>
            </w:r>
          </w:p>
        </w:tc>
        <w:tc>
          <w:tcPr>
            <w:tcW w:w="7060" w:type="dxa"/>
            <w:vAlign w:val="bottom"/>
          </w:tcPr>
          <w:p>
            <w:pPr>
              <w:ind w:left="460"/>
              <w:spacing w:after="0"/>
              <w:rPr>
                <w:sz w:val="20"/>
                <w:szCs w:val="20"/>
                <w:color w:val="auto"/>
              </w:rPr>
            </w:pPr>
            <w:r>
              <w:rPr>
                <w:rFonts w:ascii="Arial" w:cs="Arial" w:eastAsia="Arial" w:hAnsi="Arial"/>
                <w:sz w:val="22"/>
                <w:szCs w:val="22"/>
                <w:color w:val="auto"/>
              </w:rPr>
              <w:t>Investments, Loans, Advances, Guarantees and Acquisitions</w:t>
            </w:r>
          </w:p>
        </w:tc>
        <w:tc>
          <w:tcPr>
            <w:tcW w:w="1700" w:type="dxa"/>
            <w:vAlign w:val="bottom"/>
          </w:tcPr>
          <w:p>
            <w:pPr>
              <w:jc w:val="right"/>
              <w:spacing w:after="0"/>
              <w:rPr>
                <w:sz w:val="20"/>
                <w:szCs w:val="20"/>
                <w:color w:val="auto"/>
              </w:rPr>
            </w:pPr>
            <w:r>
              <w:rPr>
                <w:rFonts w:ascii="Arial" w:cs="Arial" w:eastAsia="Arial" w:hAnsi="Arial"/>
                <w:sz w:val="22"/>
                <w:szCs w:val="22"/>
                <w:color w:val="auto"/>
              </w:rPr>
              <w:t>171</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6.05</w:t>
            </w:r>
          </w:p>
        </w:tc>
        <w:tc>
          <w:tcPr>
            <w:tcW w:w="7060" w:type="dxa"/>
            <w:vAlign w:val="bottom"/>
          </w:tcPr>
          <w:p>
            <w:pPr>
              <w:ind w:left="460"/>
              <w:spacing w:after="0"/>
              <w:rPr>
                <w:sz w:val="20"/>
                <w:szCs w:val="20"/>
                <w:color w:val="auto"/>
              </w:rPr>
            </w:pPr>
            <w:r>
              <w:rPr>
                <w:rFonts w:ascii="Arial" w:cs="Arial" w:eastAsia="Arial" w:hAnsi="Arial"/>
                <w:sz w:val="22"/>
                <w:szCs w:val="22"/>
                <w:color w:val="auto"/>
              </w:rPr>
              <w:t>Asset Sales</w:t>
            </w:r>
          </w:p>
        </w:tc>
        <w:tc>
          <w:tcPr>
            <w:tcW w:w="1700" w:type="dxa"/>
            <w:vAlign w:val="bottom"/>
          </w:tcPr>
          <w:p>
            <w:pPr>
              <w:jc w:val="right"/>
              <w:spacing w:after="0"/>
              <w:rPr>
                <w:sz w:val="20"/>
                <w:szCs w:val="20"/>
                <w:color w:val="auto"/>
              </w:rPr>
            </w:pPr>
            <w:r>
              <w:rPr>
                <w:rFonts w:ascii="Arial" w:cs="Arial" w:eastAsia="Arial" w:hAnsi="Arial"/>
                <w:sz w:val="22"/>
                <w:szCs w:val="22"/>
                <w:color w:val="auto"/>
              </w:rPr>
              <w:t>175</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6.06</w:t>
            </w:r>
          </w:p>
        </w:tc>
        <w:tc>
          <w:tcPr>
            <w:tcW w:w="7060" w:type="dxa"/>
            <w:vAlign w:val="bottom"/>
          </w:tcPr>
          <w:p>
            <w:pPr>
              <w:ind w:left="460"/>
              <w:spacing w:after="0"/>
              <w:rPr>
                <w:sz w:val="20"/>
                <w:szCs w:val="20"/>
                <w:color w:val="auto"/>
              </w:rPr>
            </w:pPr>
            <w:r>
              <w:rPr>
                <w:rFonts w:ascii="Arial" w:cs="Arial" w:eastAsia="Arial" w:hAnsi="Arial"/>
                <w:sz w:val="22"/>
                <w:szCs w:val="22"/>
                <w:color w:val="auto"/>
              </w:rPr>
              <w:t>[Reserved].</w:t>
            </w:r>
          </w:p>
        </w:tc>
        <w:tc>
          <w:tcPr>
            <w:tcW w:w="1700" w:type="dxa"/>
            <w:vAlign w:val="bottom"/>
          </w:tcPr>
          <w:p>
            <w:pPr>
              <w:jc w:val="right"/>
              <w:spacing w:after="0"/>
              <w:rPr>
                <w:sz w:val="20"/>
                <w:szCs w:val="20"/>
                <w:color w:val="auto"/>
              </w:rPr>
            </w:pPr>
            <w:r>
              <w:rPr>
                <w:rFonts w:ascii="Arial" w:cs="Arial" w:eastAsia="Arial" w:hAnsi="Arial"/>
                <w:sz w:val="22"/>
                <w:szCs w:val="22"/>
                <w:color w:val="auto"/>
              </w:rPr>
              <w:t>178</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6.07</w:t>
            </w:r>
          </w:p>
        </w:tc>
        <w:tc>
          <w:tcPr>
            <w:tcW w:w="7060" w:type="dxa"/>
            <w:vAlign w:val="bottom"/>
          </w:tcPr>
          <w:p>
            <w:pPr>
              <w:ind w:left="460"/>
              <w:spacing w:after="0"/>
              <w:rPr>
                <w:sz w:val="20"/>
                <w:szCs w:val="20"/>
                <w:color w:val="auto"/>
              </w:rPr>
            </w:pPr>
            <w:r>
              <w:rPr>
                <w:rFonts w:ascii="Arial" w:cs="Arial" w:eastAsia="Arial" w:hAnsi="Arial"/>
                <w:sz w:val="22"/>
                <w:szCs w:val="22"/>
                <w:color w:val="auto"/>
              </w:rPr>
              <w:t>Restricted Payments; Certain Payments of Indebtedness</w:t>
            </w:r>
          </w:p>
        </w:tc>
        <w:tc>
          <w:tcPr>
            <w:tcW w:w="1700" w:type="dxa"/>
            <w:vAlign w:val="bottom"/>
          </w:tcPr>
          <w:p>
            <w:pPr>
              <w:jc w:val="right"/>
              <w:spacing w:after="0"/>
              <w:rPr>
                <w:sz w:val="20"/>
                <w:szCs w:val="20"/>
                <w:color w:val="auto"/>
              </w:rPr>
            </w:pPr>
            <w:r>
              <w:rPr>
                <w:rFonts w:ascii="Arial" w:cs="Arial" w:eastAsia="Arial" w:hAnsi="Arial"/>
                <w:sz w:val="22"/>
                <w:szCs w:val="22"/>
                <w:color w:val="auto"/>
              </w:rPr>
              <w:t>178</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6.08</w:t>
            </w:r>
          </w:p>
        </w:tc>
        <w:tc>
          <w:tcPr>
            <w:tcW w:w="7060" w:type="dxa"/>
            <w:vAlign w:val="bottom"/>
          </w:tcPr>
          <w:p>
            <w:pPr>
              <w:ind w:left="460"/>
              <w:spacing w:after="0"/>
              <w:rPr>
                <w:sz w:val="20"/>
                <w:szCs w:val="20"/>
                <w:color w:val="auto"/>
              </w:rPr>
            </w:pPr>
            <w:r>
              <w:rPr>
                <w:rFonts w:ascii="Arial" w:cs="Arial" w:eastAsia="Arial" w:hAnsi="Arial"/>
                <w:sz w:val="22"/>
                <w:szCs w:val="22"/>
                <w:color w:val="auto"/>
              </w:rPr>
              <w:t>FCC License Holder Covenant</w:t>
            </w:r>
          </w:p>
        </w:tc>
        <w:tc>
          <w:tcPr>
            <w:tcW w:w="1700" w:type="dxa"/>
            <w:vAlign w:val="bottom"/>
          </w:tcPr>
          <w:p>
            <w:pPr>
              <w:jc w:val="right"/>
              <w:spacing w:after="0"/>
              <w:rPr>
                <w:sz w:val="20"/>
                <w:szCs w:val="20"/>
                <w:color w:val="auto"/>
              </w:rPr>
            </w:pPr>
            <w:r>
              <w:rPr>
                <w:rFonts w:ascii="Arial" w:cs="Arial" w:eastAsia="Arial" w:hAnsi="Arial"/>
                <w:sz w:val="22"/>
                <w:szCs w:val="22"/>
                <w:color w:val="auto"/>
              </w:rPr>
              <w:t>184</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6.09</w:t>
            </w:r>
          </w:p>
        </w:tc>
        <w:tc>
          <w:tcPr>
            <w:tcW w:w="7060" w:type="dxa"/>
            <w:vAlign w:val="bottom"/>
          </w:tcPr>
          <w:p>
            <w:pPr>
              <w:ind w:left="460"/>
              <w:spacing w:after="0"/>
              <w:rPr>
                <w:sz w:val="20"/>
                <w:szCs w:val="20"/>
                <w:color w:val="auto"/>
              </w:rPr>
            </w:pPr>
            <w:r>
              <w:rPr>
                <w:rFonts w:ascii="Arial" w:cs="Arial" w:eastAsia="Arial" w:hAnsi="Arial"/>
                <w:sz w:val="22"/>
                <w:szCs w:val="22"/>
                <w:color w:val="auto"/>
              </w:rPr>
              <w:t>Restrictive Agreements</w:t>
            </w:r>
          </w:p>
        </w:tc>
        <w:tc>
          <w:tcPr>
            <w:tcW w:w="1700" w:type="dxa"/>
            <w:vAlign w:val="bottom"/>
          </w:tcPr>
          <w:p>
            <w:pPr>
              <w:jc w:val="right"/>
              <w:spacing w:after="0"/>
              <w:rPr>
                <w:sz w:val="20"/>
                <w:szCs w:val="20"/>
                <w:color w:val="auto"/>
              </w:rPr>
            </w:pPr>
            <w:r>
              <w:rPr>
                <w:rFonts w:ascii="Arial" w:cs="Arial" w:eastAsia="Arial" w:hAnsi="Arial"/>
                <w:sz w:val="22"/>
                <w:szCs w:val="22"/>
                <w:color w:val="auto"/>
              </w:rPr>
              <w:t>184</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6.10</w:t>
            </w:r>
          </w:p>
        </w:tc>
        <w:tc>
          <w:tcPr>
            <w:tcW w:w="7060" w:type="dxa"/>
            <w:vAlign w:val="bottom"/>
          </w:tcPr>
          <w:p>
            <w:pPr>
              <w:ind w:left="460"/>
              <w:spacing w:after="0"/>
              <w:rPr>
                <w:sz w:val="20"/>
                <w:szCs w:val="20"/>
                <w:color w:val="auto"/>
              </w:rPr>
            </w:pPr>
            <w:r>
              <w:rPr>
                <w:rFonts w:ascii="Arial" w:cs="Arial" w:eastAsia="Arial" w:hAnsi="Arial"/>
                <w:sz w:val="22"/>
                <w:szCs w:val="22"/>
                <w:color w:val="auto"/>
              </w:rPr>
              <w:t>Amendment of Organizational Documents</w:t>
            </w:r>
          </w:p>
        </w:tc>
        <w:tc>
          <w:tcPr>
            <w:tcW w:w="1700" w:type="dxa"/>
            <w:vAlign w:val="bottom"/>
          </w:tcPr>
          <w:p>
            <w:pPr>
              <w:jc w:val="right"/>
              <w:spacing w:after="0"/>
              <w:rPr>
                <w:sz w:val="20"/>
                <w:szCs w:val="20"/>
                <w:color w:val="auto"/>
              </w:rPr>
            </w:pPr>
            <w:r>
              <w:rPr>
                <w:rFonts w:ascii="Arial" w:cs="Arial" w:eastAsia="Arial" w:hAnsi="Arial"/>
                <w:sz w:val="22"/>
                <w:szCs w:val="22"/>
                <w:color w:val="auto"/>
              </w:rPr>
              <w:t>186</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6.11</w:t>
            </w:r>
          </w:p>
        </w:tc>
        <w:tc>
          <w:tcPr>
            <w:tcW w:w="7060" w:type="dxa"/>
            <w:vAlign w:val="bottom"/>
          </w:tcPr>
          <w:p>
            <w:pPr>
              <w:ind w:left="460"/>
              <w:spacing w:after="0"/>
              <w:rPr>
                <w:sz w:val="20"/>
                <w:szCs w:val="20"/>
                <w:color w:val="auto"/>
              </w:rPr>
            </w:pPr>
            <w:r>
              <w:rPr>
                <w:rFonts w:ascii="Arial" w:cs="Arial" w:eastAsia="Arial" w:hAnsi="Arial"/>
                <w:sz w:val="22"/>
                <w:szCs w:val="22"/>
                <w:color w:val="auto"/>
              </w:rPr>
              <w:t>Financial Performance Covenant</w:t>
            </w:r>
          </w:p>
        </w:tc>
        <w:tc>
          <w:tcPr>
            <w:tcW w:w="1700" w:type="dxa"/>
            <w:vAlign w:val="bottom"/>
          </w:tcPr>
          <w:p>
            <w:pPr>
              <w:jc w:val="right"/>
              <w:spacing w:after="0"/>
              <w:rPr>
                <w:sz w:val="20"/>
                <w:szCs w:val="20"/>
                <w:color w:val="auto"/>
              </w:rPr>
            </w:pPr>
            <w:r>
              <w:rPr>
                <w:rFonts w:ascii="Arial" w:cs="Arial" w:eastAsia="Arial" w:hAnsi="Arial"/>
                <w:sz w:val="22"/>
                <w:szCs w:val="22"/>
                <w:color w:val="auto"/>
              </w:rPr>
              <w:t>186</w:t>
            </w:r>
          </w:p>
        </w:tc>
      </w:tr>
      <w:tr>
        <w:trPr>
          <w:trHeight w:val="485"/>
        </w:trPr>
        <w:tc>
          <w:tcPr>
            <w:tcW w:w="9540" w:type="dxa"/>
            <w:vAlign w:val="bottom"/>
            <w:gridSpan w:val="2"/>
          </w:tcPr>
          <w:p>
            <w:pPr>
              <w:ind w:left="20"/>
              <w:spacing w:after="0"/>
              <w:rPr>
                <w:sz w:val="20"/>
                <w:szCs w:val="20"/>
                <w:color w:val="auto"/>
              </w:rPr>
            </w:pPr>
            <w:r>
              <w:rPr>
                <w:rFonts w:ascii="Arial" w:cs="Arial" w:eastAsia="Arial" w:hAnsi="Arial"/>
                <w:sz w:val="22"/>
                <w:szCs w:val="22"/>
                <w:color w:val="auto"/>
              </w:rPr>
              <w:t>ARTICLE VII EVENTS OF DEFAULT</w:t>
            </w:r>
          </w:p>
        </w:tc>
        <w:tc>
          <w:tcPr>
            <w:tcW w:w="1700" w:type="dxa"/>
            <w:vAlign w:val="bottom"/>
          </w:tcPr>
          <w:p>
            <w:pPr>
              <w:jc w:val="right"/>
              <w:spacing w:after="0"/>
              <w:rPr>
                <w:sz w:val="20"/>
                <w:szCs w:val="20"/>
                <w:color w:val="auto"/>
              </w:rPr>
            </w:pPr>
            <w:r>
              <w:rPr>
                <w:rFonts w:ascii="Arial" w:cs="Arial" w:eastAsia="Arial" w:hAnsi="Arial"/>
                <w:sz w:val="22"/>
                <w:szCs w:val="22"/>
                <w:color w:val="auto"/>
              </w:rPr>
              <w:t>187</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7.01</w:t>
            </w:r>
          </w:p>
        </w:tc>
        <w:tc>
          <w:tcPr>
            <w:tcW w:w="7060" w:type="dxa"/>
            <w:vAlign w:val="bottom"/>
          </w:tcPr>
          <w:p>
            <w:pPr>
              <w:ind w:left="460"/>
              <w:spacing w:after="0"/>
              <w:rPr>
                <w:sz w:val="20"/>
                <w:szCs w:val="20"/>
                <w:color w:val="auto"/>
              </w:rPr>
            </w:pPr>
            <w:r>
              <w:rPr>
                <w:rFonts w:ascii="Arial" w:cs="Arial" w:eastAsia="Arial" w:hAnsi="Arial"/>
                <w:sz w:val="22"/>
                <w:szCs w:val="22"/>
                <w:color w:val="auto"/>
              </w:rPr>
              <w:t>Events of Default</w:t>
            </w:r>
          </w:p>
        </w:tc>
        <w:tc>
          <w:tcPr>
            <w:tcW w:w="1700" w:type="dxa"/>
            <w:vAlign w:val="bottom"/>
          </w:tcPr>
          <w:p>
            <w:pPr>
              <w:jc w:val="right"/>
              <w:spacing w:after="0"/>
              <w:rPr>
                <w:sz w:val="20"/>
                <w:szCs w:val="20"/>
                <w:color w:val="auto"/>
              </w:rPr>
            </w:pPr>
            <w:r>
              <w:rPr>
                <w:rFonts w:ascii="Arial" w:cs="Arial" w:eastAsia="Arial" w:hAnsi="Arial"/>
                <w:sz w:val="22"/>
                <w:szCs w:val="22"/>
                <w:color w:val="auto"/>
              </w:rPr>
              <w:t>187</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7.02</w:t>
            </w:r>
          </w:p>
        </w:tc>
        <w:tc>
          <w:tcPr>
            <w:tcW w:w="7060" w:type="dxa"/>
            <w:vAlign w:val="bottom"/>
          </w:tcPr>
          <w:p>
            <w:pPr>
              <w:ind w:left="460"/>
              <w:spacing w:after="0"/>
              <w:rPr>
                <w:sz w:val="20"/>
                <w:szCs w:val="20"/>
                <w:color w:val="auto"/>
              </w:rPr>
            </w:pPr>
            <w:r>
              <w:rPr>
                <w:rFonts w:ascii="Arial" w:cs="Arial" w:eastAsia="Arial" w:hAnsi="Arial"/>
                <w:sz w:val="22"/>
                <w:szCs w:val="22"/>
                <w:color w:val="auto"/>
              </w:rPr>
              <w:t>Right to Cure</w:t>
            </w:r>
          </w:p>
        </w:tc>
        <w:tc>
          <w:tcPr>
            <w:tcW w:w="1700" w:type="dxa"/>
            <w:vAlign w:val="bottom"/>
          </w:tcPr>
          <w:p>
            <w:pPr>
              <w:jc w:val="right"/>
              <w:spacing w:after="0"/>
              <w:rPr>
                <w:sz w:val="20"/>
                <w:szCs w:val="20"/>
                <w:color w:val="auto"/>
              </w:rPr>
            </w:pPr>
            <w:r>
              <w:rPr>
                <w:rFonts w:ascii="Arial" w:cs="Arial" w:eastAsia="Arial" w:hAnsi="Arial"/>
                <w:sz w:val="22"/>
                <w:szCs w:val="22"/>
                <w:color w:val="auto"/>
              </w:rPr>
              <w:t>190</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7.03</w:t>
            </w:r>
          </w:p>
        </w:tc>
        <w:tc>
          <w:tcPr>
            <w:tcW w:w="7060" w:type="dxa"/>
            <w:vAlign w:val="bottom"/>
          </w:tcPr>
          <w:p>
            <w:pPr>
              <w:ind w:left="460"/>
              <w:spacing w:after="0"/>
              <w:rPr>
                <w:sz w:val="20"/>
                <w:szCs w:val="20"/>
                <w:color w:val="auto"/>
              </w:rPr>
            </w:pPr>
            <w:r>
              <w:rPr>
                <w:rFonts w:ascii="Arial" w:cs="Arial" w:eastAsia="Arial" w:hAnsi="Arial"/>
                <w:sz w:val="22"/>
                <w:szCs w:val="22"/>
                <w:color w:val="auto"/>
              </w:rPr>
              <w:t>Application of Proceeds</w:t>
            </w:r>
          </w:p>
        </w:tc>
        <w:tc>
          <w:tcPr>
            <w:tcW w:w="1700" w:type="dxa"/>
            <w:vAlign w:val="bottom"/>
          </w:tcPr>
          <w:p>
            <w:pPr>
              <w:jc w:val="right"/>
              <w:spacing w:after="0"/>
              <w:rPr>
                <w:sz w:val="20"/>
                <w:szCs w:val="20"/>
                <w:color w:val="auto"/>
              </w:rPr>
            </w:pPr>
            <w:r>
              <w:rPr>
                <w:rFonts w:ascii="Arial" w:cs="Arial" w:eastAsia="Arial" w:hAnsi="Arial"/>
                <w:sz w:val="22"/>
                <w:szCs w:val="22"/>
                <w:color w:val="auto"/>
              </w:rPr>
              <w:t>192</w:t>
            </w:r>
          </w:p>
        </w:tc>
      </w:tr>
      <w:tr>
        <w:trPr>
          <w:trHeight w:val="485"/>
        </w:trPr>
        <w:tc>
          <w:tcPr>
            <w:tcW w:w="9540" w:type="dxa"/>
            <w:vAlign w:val="bottom"/>
            <w:gridSpan w:val="2"/>
          </w:tcPr>
          <w:p>
            <w:pPr>
              <w:ind w:left="20"/>
              <w:spacing w:after="0"/>
              <w:rPr>
                <w:sz w:val="20"/>
                <w:szCs w:val="20"/>
                <w:color w:val="auto"/>
              </w:rPr>
            </w:pPr>
            <w:r>
              <w:rPr>
                <w:rFonts w:ascii="Arial" w:cs="Arial" w:eastAsia="Arial" w:hAnsi="Arial"/>
                <w:sz w:val="22"/>
                <w:szCs w:val="22"/>
                <w:color w:val="auto"/>
              </w:rPr>
              <w:t>ARTICLE VIII ADMINISTRATIVE AGENT</w:t>
            </w:r>
          </w:p>
        </w:tc>
        <w:tc>
          <w:tcPr>
            <w:tcW w:w="1700" w:type="dxa"/>
            <w:vAlign w:val="bottom"/>
          </w:tcPr>
          <w:p>
            <w:pPr>
              <w:jc w:val="right"/>
              <w:spacing w:after="0"/>
              <w:rPr>
                <w:sz w:val="20"/>
                <w:szCs w:val="20"/>
                <w:color w:val="auto"/>
              </w:rPr>
            </w:pPr>
            <w:r>
              <w:rPr>
                <w:rFonts w:ascii="Arial" w:cs="Arial" w:eastAsia="Arial" w:hAnsi="Arial"/>
                <w:sz w:val="22"/>
                <w:szCs w:val="22"/>
                <w:color w:val="auto"/>
              </w:rPr>
              <w:t>193</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8.01</w:t>
            </w:r>
          </w:p>
        </w:tc>
        <w:tc>
          <w:tcPr>
            <w:tcW w:w="7060" w:type="dxa"/>
            <w:vAlign w:val="bottom"/>
          </w:tcPr>
          <w:p>
            <w:pPr>
              <w:ind w:left="460"/>
              <w:spacing w:after="0"/>
              <w:rPr>
                <w:sz w:val="20"/>
                <w:szCs w:val="20"/>
                <w:color w:val="auto"/>
              </w:rPr>
            </w:pPr>
            <w:r>
              <w:rPr>
                <w:rFonts w:ascii="Arial" w:cs="Arial" w:eastAsia="Arial" w:hAnsi="Arial"/>
                <w:sz w:val="22"/>
                <w:szCs w:val="22"/>
                <w:color w:val="auto"/>
              </w:rPr>
              <w:t>Appointment and Authority</w:t>
            </w:r>
          </w:p>
        </w:tc>
        <w:tc>
          <w:tcPr>
            <w:tcW w:w="1700" w:type="dxa"/>
            <w:vAlign w:val="bottom"/>
          </w:tcPr>
          <w:p>
            <w:pPr>
              <w:jc w:val="right"/>
              <w:spacing w:after="0"/>
              <w:rPr>
                <w:sz w:val="20"/>
                <w:szCs w:val="20"/>
                <w:color w:val="auto"/>
              </w:rPr>
            </w:pPr>
            <w:r>
              <w:rPr>
                <w:rFonts w:ascii="Arial" w:cs="Arial" w:eastAsia="Arial" w:hAnsi="Arial"/>
                <w:sz w:val="22"/>
                <w:szCs w:val="22"/>
                <w:color w:val="auto"/>
              </w:rPr>
              <w:t>193</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8.02</w:t>
            </w:r>
          </w:p>
        </w:tc>
        <w:tc>
          <w:tcPr>
            <w:tcW w:w="7060" w:type="dxa"/>
            <w:vAlign w:val="bottom"/>
          </w:tcPr>
          <w:p>
            <w:pPr>
              <w:ind w:left="460"/>
              <w:spacing w:after="0"/>
              <w:rPr>
                <w:sz w:val="20"/>
                <w:szCs w:val="20"/>
                <w:color w:val="auto"/>
              </w:rPr>
            </w:pPr>
            <w:r>
              <w:rPr>
                <w:rFonts w:ascii="Arial" w:cs="Arial" w:eastAsia="Arial" w:hAnsi="Arial"/>
                <w:sz w:val="22"/>
                <w:szCs w:val="22"/>
                <w:color w:val="auto"/>
              </w:rPr>
              <w:t>Rights as a Lender</w:t>
            </w:r>
          </w:p>
        </w:tc>
        <w:tc>
          <w:tcPr>
            <w:tcW w:w="1700" w:type="dxa"/>
            <w:vAlign w:val="bottom"/>
          </w:tcPr>
          <w:p>
            <w:pPr>
              <w:jc w:val="right"/>
              <w:spacing w:after="0"/>
              <w:rPr>
                <w:sz w:val="20"/>
                <w:szCs w:val="20"/>
                <w:color w:val="auto"/>
              </w:rPr>
            </w:pPr>
            <w:r>
              <w:rPr>
                <w:rFonts w:ascii="Arial" w:cs="Arial" w:eastAsia="Arial" w:hAnsi="Arial"/>
                <w:sz w:val="22"/>
                <w:szCs w:val="22"/>
                <w:color w:val="auto"/>
              </w:rPr>
              <w:t>193</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8.03</w:t>
            </w:r>
          </w:p>
        </w:tc>
        <w:tc>
          <w:tcPr>
            <w:tcW w:w="7060" w:type="dxa"/>
            <w:vAlign w:val="bottom"/>
          </w:tcPr>
          <w:p>
            <w:pPr>
              <w:ind w:left="460"/>
              <w:spacing w:after="0"/>
              <w:rPr>
                <w:sz w:val="20"/>
                <w:szCs w:val="20"/>
                <w:color w:val="auto"/>
              </w:rPr>
            </w:pPr>
            <w:r>
              <w:rPr>
                <w:rFonts w:ascii="Arial" w:cs="Arial" w:eastAsia="Arial" w:hAnsi="Arial"/>
                <w:sz w:val="22"/>
                <w:szCs w:val="22"/>
                <w:color w:val="auto"/>
              </w:rPr>
              <w:t>Exculpatory Provisions</w:t>
            </w:r>
          </w:p>
        </w:tc>
        <w:tc>
          <w:tcPr>
            <w:tcW w:w="1700" w:type="dxa"/>
            <w:vAlign w:val="bottom"/>
          </w:tcPr>
          <w:p>
            <w:pPr>
              <w:jc w:val="right"/>
              <w:spacing w:after="0"/>
              <w:rPr>
                <w:sz w:val="20"/>
                <w:szCs w:val="20"/>
                <w:color w:val="auto"/>
              </w:rPr>
            </w:pPr>
            <w:r>
              <w:rPr>
                <w:rFonts w:ascii="Arial" w:cs="Arial" w:eastAsia="Arial" w:hAnsi="Arial"/>
                <w:sz w:val="22"/>
                <w:szCs w:val="22"/>
                <w:color w:val="auto"/>
              </w:rPr>
              <w:t>194</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8.04</w:t>
            </w:r>
          </w:p>
        </w:tc>
        <w:tc>
          <w:tcPr>
            <w:tcW w:w="7060" w:type="dxa"/>
            <w:vAlign w:val="bottom"/>
          </w:tcPr>
          <w:p>
            <w:pPr>
              <w:ind w:left="460"/>
              <w:spacing w:after="0"/>
              <w:rPr>
                <w:sz w:val="20"/>
                <w:szCs w:val="20"/>
                <w:color w:val="auto"/>
              </w:rPr>
            </w:pPr>
            <w:r>
              <w:rPr>
                <w:rFonts w:ascii="Arial" w:cs="Arial" w:eastAsia="Arial" w:hAnsi="Arial"/>
                <w:sz w:val="22"/>
                <w:szCs w:val="22"/>
                <w:color w:val="auto"/>
              </w:rPr>
              <w:t>Reliance by Administrative Agent</w:t>
            </w:r>
          </w:p>
        </w:tc>
        <w:tc>
          <w:tcPr>
            <w:tcW w:w="1700" w:type="dxa"/>
            <w:vAlign w:val="bottom"/>
          </w:tcPr>
          <w:p>
            <w:pPr>
              <w:jc w:val="right"/>
              <w:spacing w:after="0"/>
              <w:rPr>
                <w:sz w:val="20"/>
                <w:szCs w:val="20"/>
                <w:color w:val="auto"/>
              </w:rPr>
            </w:pPr>
            <w:r>
              <w:rPr>
                <w:rFonts w:ascii="Arial" w:cs="Arial" w:eastAsia="Arial" w:hAnsi="Arial"/>
                <w:sz w:val="22"/>
                <w:szCs w:val="22"/>
                <w:color w:val="auto"/>
              </w:rPr>
              <w:t>194</w:t>
            </w:r>
          </w:p>
        </w:tc>
      </w:tr>
      <w:tr>
        <w:trPr>
          <w:trHeight w:val="452"/>
        </w:trPr>
        <w:tc>
          <w:tcPr>
            <w:tcW w:w="2480" w:type="dxa"/>
            <w:vAlign w:val="bottom"/>
          </w:tcPr>
          <w:p>
            <w:pPr>
              <w:spacing w:after="0"/>
              <w:rPr>
                <w:sz w:val="24"/>
                <w:szCs w:val="24"/>
                <w:color w:val="auto"/>
              </w:rPr>
            </w:pPr>
          </w:p>
        </w:tc>
        <w:tc>
          <w:tcPr>
            <w:tcW w:w="7060" w:type="dxa"/>
            <w:vAlign w:val="bottom"/>
          </w:tcPr>
          <w:p>
            <w:pPr>
              <w:ind w:left="3000"/>
              <w:spacing w:after="0"/>
              <w:rPr>
                <w:sz w:val="20"/>
                <w:szCs w:val="20"/>
                <w:color w:val="auto"/>
              </w:rPr>
            </w:pPr>
            <w:r>
              <w:rPr>
                <w:rFonts w:ascii="Arial" w:cs="Arial" w:eastAsia="Arial" w:hAnsi="Arial"/>
                <w:sz w:val="20"/>
                <w:szCs w:val="20"/>
                <w:color w:val="auto"/>
              </w:rPr>
              <w:t>-iv-</w:t>
            </w:r>
          </w:p>
        </w:tc>
        <w:tc>
          <w:tcPr>
            <w:tcW w:w="1700" w:type="dxa"/>
            <w:vAlign w:val="bottom"/>
          </w:tcPr>
          <w:p>
            <w:pPr>
              <w:spacing w:after="0"/>
              <w:rPr>
                <w:sz w:val="24"/>
                <w:szCs w:val="24"/>
                <w:color w:val="auto"/>
              </w:rPr>
            </w:pPr>
          </w:p>
        </w:tc>
      </w:tr>
      <w:tr>
        <w:trPr>
          <w:trHeight w:val="273"/>
        </w:trPr>
        <w:tc>
          <w:tcPr>
            <w:tcW w:w="2480" w:type="dxa"/>
            <w:vAlign w:val="bottom"/>
            <w:tcBorders>
              <w:bottom w:val="single" w:sz="8" w:color="9A9A9A"/>
            </w:tcBorders>
          </w:tcPr>
          <w:p>
            <w:pPr>
              <w:spacing w:after="0"/>
              <w:rPr>
                <w:sz w:val="23"/>
                <w:szCs w:val="23"/>
                <w:color w:val="auto"/>
              </w:rPr>
            </w:pPr>
          </w:p>
        </w:tc>
        <w:tc>
          <w:tcPr>
            <w:tcW w:w="7060" w:type="dxa"/>
            <w:vAlign w:val="bottom"/>
            <w:tcBorders>
              <w:bottom w:val="single" w:sz="8" w:color="9A9A9A"/>
            </w:tcBorders>
          </w:tcPr>
          <w:p>
            <w:pPr>
              <w:spacing w:after="0"/>
              <w:rPr>
                <w:sz w:val="23"/>
                <w:szCs w:val="23"/>
                <w:color w:val="auto"/>
              </w:rPr>
            </w:pPr>
          </w:p>
        </w:tc>
        <w:tc>
          <w:tcPr>
            <w:tcW w:w="17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74"/>
        </w:trPr>
        <w:tc>
          <w:tcPr>
            <w:tcW w:w="2480" w:type="dxa"/>
            <w:vAlign w:val="bottom"/>
          </w:tcPr>
          <w:p>
            <w:pPr>
              <w:ind w:left="660"/>
              <w:spacing w:after="0"/>
              <w:rPr>
                <w:sz w:val="20"/>
                <w:szCs w:val="20"/>
                <w:color w:val="auto"/>
              </w:rPr>
            </w:pPr>
            <w:r>
              <w:rPr>
                <w:rFonts w:ascii="Arial" w:cs="Arial" w:eastAsia="Arial" w:hAnsi="Arial"/>
                <w:sz w:val="22"/>
                <w:szCs w:val="22"/>
                <w:color w:val="010000"/>
              </w:rPr>
              <w:t>SECTION 8.05</w:t>
            </w:r>
          </w:p>
        </w:tc>
        <w:tc>
          <w:tcPr>
            <w:tcW w:w="7040" w:type="dxa"/>
            <w:vAlign w:val="bottom"/>
          </w:tcPr>
          <w:p>
            <w:pPr>
              <w:ind w:left="460"/>
              <w:spacing w:after="0"/>
              <w:rPr>
                <w:sz w:val="20"/>
                <w:szCs w:val="20"/>
                <w:color w:val="auto"/>
              </w:rPr>
            </w:pPr>
            <w:r>
              <w:rPr>
                <w:rFonts w:ascii="Arial" w:cs="Arial" w:eastAsia="Arial" w:hAnsi="Arial"/>
                <w:sz w:val="22"/>
                <w:szCs w:val="22"/>
                <w:color w:val="auto"/>
              </w:rPr>
              <w:t>Delegation of Duties</w:t>
            </w:r>
          </w:p>
        </w:tc>
        <w:tc>
          <w:tcPr>
            <w:tcW w:w="1720" w:type="dxa"/>
            <w:vAlign w:val="bottom"/>
          </w:tcPr>
          <w:p>
            <w:pPr>
              <w:jc w:val="right"/>
              <w:spacing w:after="0"/>
              <w:rPr>
                <w:sz w:val="20"/>
                <w:szCs w:val="20"/>
                <w:color w:val="auto"/>
              </w:rPr>
            </w:pPr>
            <w:r>
              <w:rPr>
                <w:rFonts w:ascii="Arial" w:cs="Arial" w:eastAsia="Arial" w:hAnsi="Arial"/>
                <w:sz w:val="22"/>
                <w:szCs w:val="22"/>
                <w:color w:val="auto"/>
              </w:rPr>
              <w:t>195</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8.06</w:t>
            </w:r>
          </w:p>
        </w:tc>
        <w:tc>
          <w:tcPr>
            <w:tcW w:w="7040" w:type="dxa"/>
            <w:vAlign w:val="bottom"/>
          </w:tcPr>
          <w:p>
            <w:pPr>
              <w:ind w:left="460"/>
              <w:spacing w:after="0"/>
              <w:rPr>
                <w:sz w:val="20"/>
                <w:szCs w:val="20"/>
                <w:color w:val="auto"/>
              </w:rPr>
            </w:pPr>
            <w:r>
              <w:rPr>
                <w:rFonts w:ascii="Arial" w:cs="Arial" w:eastAsia="Arial" w:hAnsi="Arial"/>
                <w:sz w:val="22"/>
                <w:szCs w:val="22"/>
                <w:color w:val="auto"/>
              </w:rPr>
              <w:t>Resignation of Administrative Agent</w:t>
            </w:r>
          </w:p>
        </w:tc>
        <w:tc>
          <w:tcPr>
            <w:tcW w:w="1720" w:type="dxa"/>
            <w:vAlign w:val="bottom"/>
          </w:tcPr>
          <w:p>
            <w:pPr>
              <w:jc w:val="right"/>
              <w:spacing w:after="0"/>
              <w:rPr>
                <w:sz w:val="20"/>
                <w:szCs w:val="20"/>
                <w:color w:val="auto"/>
              </w:rPr>
            </w:pPr>
            <w:r>
              <w:rPr>
                <w:rFonts w:ascii="Arial" w:cs="Arial" w:eastAsia="Arial" w:hAnsi="Arial"/>
                <w:sz w:val="22"/>
                <w:szCs w:val="22"/>
                <w:color w:val="auto"/>
              </w:rPr>
              <w:t>195</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8.07</w:t>
            </w:r>
          </w:p>
        </w:tc>
        <w:tc>
          <w:tcPr>
            <w:tcW w:w="7040" w:type="dxa"/>
            <w:vAlign w:val="bottom"/>
          </w:tcPr>
          <w:p>
            <w:pPr>
              <w:ind w:left="460"/>
              <w:spacing w:after="0"/>
              <w:rPr>
                <w:sz w:val="20"/>
                <w:szCs w:val="20"/>
                <w:color w:val="auto"/>
              </w:rPr>
            </w:pPr>
            <w:r>
              <w:rPr>
                <w:rFonts w:ascii="Arial" w:cs="Arial" w:eastAsia="Arial" w:hAnsi="Arial"/>
                <w:sz w:val="22"/>
                <w:szCs w:val="22"/>
                <w:color w:val="auto"/>
              </w:rPr>
              <w:t>Non-Reliance on Administrative Agent and Other Lenders</w:t>
            </w:r>
          </w:p>
        </w:tc>
        <w:tc>
          <w:tcPr>
            <w:tcW w:w="1720" w:type="dxa"/>
            <w:vAlign w:val="bottom"/>
          </w:tcPr>
          <w:p>
            <w:pPr>
              <w:jc w:val="right"/>
              <w:spacing w:after="0"/>
              <w:rPr>
                <w:sz w:val="20"/>
                <w:szCs w:val="20"/>
                <w:color w:val="auto"/>
              </w:rPr>
            </w:pPr>
            <w:r>
              <w:rPr>
                <w:rFonts w:ascii="Arial" w:cs="Arial" w:eastAsia="Arial" w:hAnsi="Arial"/>
                <w:sz w:val="22"/>
                <w:szCs w:val="22"/>
                <w:color w:val="auto"/>
              </w:rPr>
              <w:t>196</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8.08</w:t>
            </w:r>
          </w:p>
        </w:tc>
        <w:tc>
          <w:tcPr>
            <w:tcW w:w="7040" w:type="dxa"/>
            <w:vAlign w:val="bottom"/>
          </w:tcPr>
          <w:p>
            <w:pPr>
              <w:ind w:left="460"/>
              <w:spacing w:after="0"/>
              <w:rPr>
                <w:sz w:val="20"/>
                <w:szCs w:val="20"/>
                <w:color w:val="auto"/>
              </w:rPr>
            </w:pPr>
            <w:r>
              <w:rPr>
                <w:rFonts w:ascii="Arial" w:cs="Arial" w:eastAsia="Arial" w:hAnsi="Arial"/>
                <w:sz w:val="22"/>
                <w:szCs w:val="22"/>
                <w:color w:val="auto"/>
              </w:rPr>
              <w:t>No Other Duties, Etc.</w:t>
            </w:r>
          </w:p>
        </w:tc>
        <w:tc>
          <w:tcPr>
            <w:tcW w:w="1720" w:type="dxa"/>
            <w:vAlign w:val="bottom"/>
          </w:tcPr>
          <w:p>
            <w:pPr>
              <w:jc w:val="right"/>
              <w:spacing w:after="0"/>
              <w:rPr>
                <w:sz w:val="20"/>
                <w:szCs w:val="20"/>
                <w:color w:val="auto"/>
              </w:rPr>
            </w:pPr>
            <w:r>
              <w:rPr>
                <w:rFonts w:ascii="Arial" w:cs="Arial" w:eastAsia="Arial" w:hAnsi="Arial"/>
                <w:sz w:val="22"/>
                <w:szCs w:val="22"/>
                <w:color w:val="auto"/>
              </w:rPr>
              <w:t>197</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8.09</w:t>
            </w:r>
          </w:p>
        </w:tc>
        <w:tc>
          <w:tcPr>
            <w:tcW w:w="7040" w:type="dxa"/>
            <w:vAlign w:val="bottom"/>
          </w:tcPr>
          <w:p>
            <w:pPr>
              <w:ind w:left="460"/>
              <w:spacing w:after="0"/>
              <w:rPr>
                <w:sz w:val="20"/>
                <w:szCs w:val="20"/>
                <w:color w:val="auto"/>
              </w:rPr>
            </w:pPr>
            <w:r>
              <w:rPr>
                <w:rFonts w:ascii="Arial" w:cs="Arial" w:eastAsia="Arial" w:hAnsi="Arial"/>
                <w:sz w:val="22"/>
                <w:szCs w:val="22"/>
                <w:color w:val="auto"/>
              </w:rPr>
              <w:t>Administrative Agent May File Proofs of Claim</w:t>
            </w:r>
          </w:p>
        </w:tc>
        <w:tc>
          <w:tcPr>
            <w:tcW w:w="1720" w:type="dxa"/>
            <w:vAlign w:val="bottom"/>
          </w:tcPr>
          <w:p>
            <w:pPr>
              <w:jc w:val="right"/>
              <w:spacing w:after="0"/>
              <w:rPr>
                <w:sz w:val="20"/>
                <w:szCs w:val="20"/>
                <w:color w:val="auto"/>
              </w:rPr>
            </w:pPr>
            <w:r>
              <w:rPr>
                <w:rFonts w:ascii="Arial" w:cs="Arial" w:eastAsia="Arial" w:hAnsi="Arial"/>
                <w:sz w:val="22"/>
                <w:szCs w:val="22"/>
                <w:color w:val="auto"/>
              </w:rPr>
              <w:t>197</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8.10</w:t>
            </w:r>
          </w:p>
        </w:tc>
        <w:tc>
          <w:tcPr>
            <w:tcW w:w="7040" w:type="dxa"/>
            <w:vAlign w:val="bottom"/>
          </w:tcPr>
          <w:p>
            <w:pPr>
              <w:ind w:left="460"/>
              <w:spacing w:after="0"/>
              <w:rPr>
                <w:sz w:val="20"/>
                <w:szCs w:val="20"/>
                <w:color w:val="auto"/>
              </w:rPr>
            </w:pPr>
            <w:r>
              <w:rPr>
                <w:rFonts w:ascii="Arial" w:cs="Arial" w:eastAsia="Arial" w:hAnsi="Arial"/>
                <w:sz w:val="22"/>
                <w:szCs w:val="22"/>
                <w:color w:val="auto"/>
              </w:rPr>
              <w:t>No Waiver; Cumulative Remedies; Enforcement</w:t>
            </w:r>
          </w:p>
        </w:tc>
        <w:tc>
          <w:tcPr>
            <w:tcW w:w="1720" w:type="dxa"/>
            <w:vAlign w:val="bottom"/>
          </w:tcPr>
          <w:p>
            <w:pPr>
              <w:jc w:val="right"/>
              <w:spacing w:after="0"/>
              <w:rPr>
                <w:sz w:val="20"/>
                <w:szCs w:val="20"/>
                <w:color w:val="auto"/>
              </w:rPr>
            </w:pPr>
            <w:r>
              <w:rPr>
                <w:rFonts w:ascii="Arial" w:cs="Arial" w:eastAsia="Arial" w:hAnsi="Arial"/>
                <w:sz w:val="22"/>
                <w:szCs w:val="22"/>
                <w:color w:val="auto"/>
              </w:rPr>
              <w:t>198</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8.11</w:t>
            </w:r>
          </w:p>
        </w:tc>
        <w:tc>
          <w:tcPr>
            <w:tcW w:w="7040" w:type="dxa"/>
            <w:vAlign w:val="bottom"/>
          </w:tcPr>
          <w:p>
            <w:pPr>
              <w:ind w:left="460"/>
              <w:spacing w:after="0"/>
              <w:rPr>
                <w:sz w:val="20"/>
                <w:szCs w:val="20"/>
                <w:color w:val="auto"/>
              </w:rPr>
            </w:pPr>
            <w:r>
              <w:rPr>
                <w:rFonts w:ascii="Arial" w:cs="Arial" w:eastAsia="Arial" w:hAnsi="Arial"/>
                <w:sz w:val="22"/>
                <w:szCs w:val="22"/>
                <w:color w:val="auto"/>
              </w:rPr>
              <w:t>Return of Certain Payments.</w:t>
            </w:r>
          </w:p>
        </w:tc>
        <w:tc>
          <w:tcPr>
            <w:tcW w:w="1720" w:type="dxa"/>
            <w:vAlign w:val="bottom"/>
          </w:tcPr>
          <w:p>
            <w:pPr>
              <w:jc w:val="right"/>
              <w:spacing w:after="0"/>
              <w:rPr>
                <w:sz w:val="20"/>
                <w:szCs w:val="20"/>
                <w:color w:val="auto"/>
              </w:rPr>
            </w:pPr>
            <w:r>
              <w:rPr>
                <w:rFonts w:ascii="Arial" w:cs="Arial" w:eastAsia="Arial" w:hAnsi="Arial"/>
                <w:sz w:val="22"/>
                <w:szCs w:val="22"/>
                <w:color w:val="auto"/>
              </w:rPr>
              <w:t>199</w:t>
            </w:r>
          </w:p>
        </w:tc>
      </w:tr>
      <w:tr>
        <w:trPr>
          <w:trHeight w:val="485"/>
        </w:trPr>
        <w:tc>
          <w:tcPr>
            <w:tcW w:w="9520" w:type="dxa"/>
            <w:vAlign w:val="bottom"/>
            <w:gridSpan w:val="2"/>
          </w:tcPr>
          <w:p>
            <w:pPr>
              <w:ind w:left="20"/>
              <w:spacing w:after="0"/>
              <w:rPr>
                <w:sz w:val="20"/>
                <w:szCs w:val="20"/>
                <w:color w:val="auto"/>
              </w:rPr>
            </w:pPr>
            <w:r>
              <w:rPr>
                <w:rFonts w:ascii="Arial" w:cs="Arial" w:eastAsia="Arial" w:hAnsi="Arial"/>
                <w:sz w:val="22"/>
                <w:szCs w:val="22"/>
                <w:color w:val="auto"/>
              </w:rPr>
              <w:t>ARTICLE IX MISCELLANEOUS</w:t>
            </w:r>
          </w:p>
        </w:tc>
        <w:tc>
          <w:tcPr>
            <w:tcW w:w="1720" w:type="dxa"/>
            <w:vAlign w:val="bottom"/>
          </w:tcPr>
          <w:p>
            <w:pPr>
              <w:jc w:val="right"/>
              <w:spacing w:after="0"/>
              <w:rPr>
                <w:sz w:val="20"/>
                <w:szCs w:val="20"/>
                <w:color w:val="auto"/>
              </w:rPr>
            </w:pPr>
            <w:r>
              <w:rPr>
                <w:rFonts w:ascii="Arial" w:cs="Arial" w:eastAsia="Arial" w:hAnsi="Arial"/>
                <w:sz w:val="22"/>
                <w:szCs w:val="22"/>
                <w:color w:val="auto"/>
              </w:rPr>
              <w:t>200</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9.01</w:t>
            </w:r>
          </w:p>
        </w:tc>
        <w:tc>
          <w:tcPr>
            <w:tcW w:w="7040" w:type="dxa"/>
            <w:vAlign w:val="bottom"/>
          </w:tcPr>
          <w:p>
            <w:pPr>
              <w:ind w:left="460"/>
              <w:spacing w:after="0"/>
              <w:rPr>
                <w:sz w:val="20"/>
                <w:szCs w:val="20"/>
                <w:color w:val="auto"/>
              </w:rPr>
            </w:pPr>
            <w:r>
              <w:rPr>
                <w:rFonts w:ascii="Arial" w:cs="Arial" w:eastAsia="Arial" w:hAnsi="Arial"/>
                <w:sz w:val="22"/>
                <w:szCs w:val="22"/>
                <w:color w:val="auto"/>
              </w:rPr>
              <w:t>Notices</w:t>
            </w:r>
          </w:p>
        </w:tc>
        <w:tc>
          <w:tcPr>
            <w:tcW w:w="1720" w:type="dxa"/>
            <w:vAlign w:val="bottom"/>
          </w:tcPr>
          <w:p>
            <w:pPr>
              <w:jc w:val="right"/>
              <w:spacing w:after="0"/>
              <w:rPr>
                <w:sz w:val="20"/>
                <w:szCs w:val="20"/>
                <w:color w:val="auto"/>
              </w:rPr>
            </w:pPr>
            <w:r>
              <w:rPr>
                <w:rFonts w:ascii="Arial" w:cs="Arial" w:eastAsia="Arial" w:hAnsi="Arial"/>
                <w:sz w:val="22"/>
                <w:szCs w:val="22"/>
                <w:color w:val="auto"/>
              </w:rPr>
              <w:t>200</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9.02</w:t>
            </w:r>
          </w:p>
        </w:tc>
        <w:tc>
          <w:tcPr>
            <w:tcW w:w="7040" w:type="dxa"/>
            <w:vAlign w:val="bottom"/>
          </w:tcPr>
          <w:p>
            <w:pPr>
              <w:ind w:left="460"/>
              <w:spacing w:after="0"/>
              <w:rPr>
                <w:sz w:val="20"/>
                <w:szCs w:val="20"/>
                <w:color w:val="auto"/>
              </w:rPr>
            </w:pPr>
            <w:r>
              <w:rPr>
                <w:rFonts w:ascii="Arial" w:cs="Arial" w:eastAsia="Arial" w:hAnsi="Arial"/>
                <w:sz w:val="22"/>
                <w:szCs w:val="22"/>
                <w:color w:val="auto"/>
              </w:rPr>
              <w:t>Waivers; Amendments</w:t>
            </w:r>
          </w:p>
        </w:tc>
        <w:tc>
          <w:tcPr>
            <w:tcW w:w="1720" w:type="dxa"/>
            <w:vAlign w:val="bottom"/>
          </w:tcPr>
          <w:p>
            <w:pPr>
              <w:jc w:val="right"/>
              <w:spacing w:after="0"/>
              <w:rPr>
                <w:sz w:val="20"/>
                <w:szCs w:val="20"/>
                <w:color w:val="auto"/>
              </w:rPr>
            </w:pPr>
            <w:r>
              <w:rPr>
                <w:rFonts w:ascii="Arial" w:cs="Arial" w:eastAsia="Arial" w:hAnsi="Arial"/>
                <w:sz w:val="22"/>
                <w:szCs w:val="22"/>
                <w:color w:val="auto"/>
              </w:rPr>
              <w:t>202</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9.03</w:t>
            </w:r>
          </w:p>
        </w:tc>
        <w:tc>
          <w:tcPr>
            <w:tcW w:w="7040" w:type="dxa"/>
            <w:vAlign w:val="bottom"/>
          </w:tcPr>
          <w:p>
            <w:pPr>
              <w:ind w:left="460"/>
              <w:spacing w:after="0"/>
              <w:rPr>
                <w:sz w:val="20"/>
                <w:szCs w:val="20"/>
                <w:color w:val="auto"/>
              </w:rPr>
            </w:pPr>
            <w:r>
              <w:rPr>
                <w:rFonts w:ascii="Arial" w:cs="Arial" w:eastAsia="Arial" w:hAnsi="Arial"/>
                <w:sz w:val="22"/>
                <w:szCs w:val="22"/>
                <w:color w:val="auto"/>
              </w:rPr>
              <w:t>Expenses; Indemnity; Damage Waiver</w:t>
            </w:r>
          </w:p>
        </w:tc>
        <w:tc>
          <w:tcPr>
            <w:tcW w:w="1720" w:type="dxa"/>
            <w:vAlign w:val="bottom"/>
          </w:tcPr>
          <w:p>
            <w:pPr>
              <w:jc w:val="right"/>
              <w:spacing w:after="0"/>
              <w:rPr>
                <w:sz w:val="20"/>
                <w:szCs w:val="20"/>
                <w:color w:val="auto"/>
              </w:rPr>
            </w:pPr>
            <w:r>
              <w:rPr>
                <w:rFonts w:ascii="Arial" w:cs="Arial" w:eastAsia="Arial" w:hAnsi="Arial"/>
                <w:sz w:val="22"/>
                <w:szCs w:val="22"/>
                <w:color w:val="auto"/>
              </w:rPr>
              <w:t>205</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9.04</w:t>
            </w:r>
          </w:p>
        </w:tc>
        <w:tc>
          <w:tcPr>
            <w:tcW w:w="7040" w:type="dxa"/>
            <w:vAlign w:val="bottom"/>
          </w:tcPr>
          <w:p>
            <w:pPr>
              <w:ind w:left="460"/>
              <w:spacing w:after="0"/>
              <w:rPr>
                <w:sz w:val="20"/>
                <w:szCs w:val="20"/>
                <w:color w:val="auto"/>
              </w:rPr>
            </w:pPr>
            <w:r>
              <w:rPr>
                <w:rFonts w:ascii="Arial" w:cs="Arial" w:eastAsia="Arial" w:hAnsi="Arial"/>
                <w:sz w:val="22"/>
                <w:szCs w:val="22"/>
                <w:color w:val="auto"/>
              </w:rPr>
              <w:t>Successors and Assigns</w:t>
            </w:r>
          </w:p>
        </w:tc>
        <w:tc>
          <w:tcPr>
            <w:tcW w:w="1720" w:type="dxa"/>
            <w:vAlign w:val="bottom"/>
          </w:tcPr>
          <w:p>
            <w:pPr>
              <w:jc w:val="right"/>
              <w:spacing w:after="0"/>
              <w:rPr>
                <w:sz w:val="20"/>
                <w:szCs w:val="20"/>
                <w:color w:val="auto"/>
              </w:rPr>
            </w:pPr>
            <w:r>
              <w:rPr>
                <w:rFonts w:ascii="Arial" w:cs="Arial" w:eastAsia="Arial" w:hAnsi="Arial"/>
                <w:sz w:val="22"/>
                <w:szCs w:val="22"/>
                <w:color w:val="auto"/>
              </w:rPr>
              <w:t>208</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9.05</w:t>
            </w:r>
          </w:p>
        </w:tc>
        <w:tc>
          <w:tcPr>
            <w:tcW w:w="7040" w:type="dxa"/>
            <w:vAlign w:val="bottom"/>
          </w:tcPr>
          <w:p>
            <w:pPr>
              <w:ind w:left="460"/>
              <w:spacing w:after="0"/>
              <w:rPr>
                <w:sz w:val="20"/>
                <w:szCs w:val="20"/>
                <w:color w:val="auto"/>
              </w:rPr>
            </w:pPr>
            <w:r>
              <w:rPr>
                <w:rFonts w:ascii="Arial" w:cs="Arial" w:eastAsia="Arial" w:hAnsi="Arial"/>
                <w:sz w:val="22"/>
                <w:szCs w:val="22"/>
                <w:color w:val="auto"/>
              </w:rPr>
              <w:t>Survival</w:t>
            </w:r>
          </w:p>
        </w:tc>
        <w:tc>
          <w:tcPr>
            <w:tcW w:w="1720" w:type="dxa"/>
            <w:vAlign w:val="bottom"/>
          </w:tcPr>
          <w:p>
            <w:pPr>
              <w:jc w:val="right"/>
              <w:spacing w:after="0"/>
              <w:rPr>
                <w:sz w:val="20"/>
                <w:szCs w:val="20"/>
                <w:color w:val="auto"/>
              </w:rPr>
            </w:pPr>
            <w:r>
              <w:rPr>
                <w:rFonts w:ascii="Arial" w:cs="Arial" w:eastAsia="Arial" w:hAnsi="Arial"/>
                <w:sz w:val="22"/>
                <w:szCs w:val="22"/>
                <w:color w:val="auto"/>
              </w:rPr>
              <w:t>215</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9.06</w:t>
            </w:r>
          </w:p>
        </w:tc>
        <w:tc>
          <w:tcPr>
            <w:tcW w:w="7040" w:type="dxa"/>
            <w:vAlign w:val="bottom"/>
          </w:tcPr>
          <w:p>
            <w:pPr>
              <w:ind w:left="460"/>
              <w:spacing w:after="0"/>
              <w:rPr>
                <w:sz w:val="20"/>
                <w:szCs w:val="20"/>
                <w:color w:val="auto"/>
              </w:rPr>
            </w:pPr>
            <w:r>
              <w:rPr>
                <w:rFonts w:ascii="Arial" w:cs="Arial" w:eastAsia="Arial" w:hAnsi="Arial"/>
                <w:sz w:val="22"/>
                <w:szCs w:val="22"/>
                <w:color w:val="auto"/>
              </w:rPr>
              <w:t>Counterparts; Integration; Effectiveness</w:t>
            </w:r>
          </w:p>
        </w:tc>
        <w:tc>
          <w:tcPr>
            <w:tcW w:w="1720" w:type="dxa"/>
            <w:vAlign w:val="bottom"/>
          </w:tcPr>
          <w:p>
            <w:pPr>
              <w:jc w:val="right"/>
              <w:spacing w:after="0"/>
              <w:rPr>
                <w:sz w:val="20"/>
                <w:szCs w:val="20"/>
                <w:color w:val="auto"/>
              </w:rPr>
            </w:pPr>
            <w:r>
              <w:rPr>
                <w:rFonts w:ascii="Arial" w:cs="Arial" w:eastAsia="Arial" w:hAnsi="Arial"/>
                <w:sz w:val="22"/>
                <w:szCs w:val="22"/>
                <w:color w:val="auto"/>
              </w:rPr>
              <w:t>215</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9.07</w:t>
            </w:r>
          </w:p>
        </w:tc>
        <w:tc>
          <w:tcPr>
            <w:tcW w:w="7040" w:type="dxa"/>
            <w:vAlign w:val="bottom"/>
          </w:tcPr>
          <w:p>
            <w:pPr>
              <w:ind w:left="460"/>
              <w:spacing w:after="0"/>
              <w:rPr>
                <w:sz w:val="20"/>
                <w:szCs w:val="20"/>
                <w:color w:val="auto"/>
              </w:rPr>
            </w:pPr>
            <w:r>
              <w:rPr>
                <w:rFonts w:ascii="Arial" w:cs="Arial" w:eastAsia="Arial" w:hAnsi="Arial"/>
                <w:sz w:val="22"/>
                <w:szCs w:val="22"/>
                <w:color w:val="auto"/>
              </w:rPr>
              <w:t>Severability</w:t>
            </w:r>
          </w:p>
        </w:tc>
        <w:tc>
          <w:tcPr>
            <w:tcW w:w="1720" w:type="dxa"/>
            <w:vAlign w:val="bottom"/>
          </w:tcPr>
          <w:p>
            <w:pPr>
              <w:jc w:val="right"/>
              <w:spacing w:after="0"/>
              <w:rPr>
                <w:sz w:val="20"/>
                <w:szCs w:val="20"/>
                <w:color w:val="auto"/>
              </w:rPr>
            </w:pPr>
            <w:r>
              <w:rPr>
                <w:rFonts w:ascii="Arial" w:cs="Arial" w:eastAsia="Arial" w:hAnsi="Arial"/>
                <w:sz w:val="22"/>
                <w:szCs w:val="22"/>
                <w:color w:val="auto"/>
              </w:rPr>
              <w:t>216</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9.08</w:t>
            </w:r>
          </w:p>
        </w:tc>
        <w:tc>
          <w:tcPr>
            <w:tcW w:w="7040" w:type="dxa"/>
            <w:vAlign w:val="bottom"/>
          </w:tcPr>
          <w:p>
            <w:pPr>
              <w:ind w:left="460"/>
              <w:spacing w:after="0"/>
              <w:rPr>
                <w:sz w:val="20"/>
                <w:szCs w:val="20"/>
                <w:color w:val="auto"/>
              </w:rPr>
            </w:pPr>
            <w:r>
              <w:rPr>
                <w:rFonts w:ascii="Arial" w:cs="Arial" w:eastAsia="Arial" w:hAnsi="Arial"/>
                <w:sz w:val="22"/>
                <w:szCs w:val="22"/>
                <w:color w:val="auto"/>
              </w:rPr>
              <w:t>Right of Setoff</w:t>
            </w:r>
          </w:p>
        </w:tc>
        <w:tc>
          <w:tcPr>
            <w:tcW w:w="1720" w:type="dxa"/>
            <w:vAlign w:val="bottom"/>
          </w:tcPr>
          <w:p>
            <w:pPr>
              <w:jc w:val="right"/>
              <w:spacing w:after="0"/>
              <w:rPr>
                <w:sz w:val="20"/>
                <w:szCs w:val="20"/>
                <w:color w:val="auto"/>
              </w:rPr>
            </w:pPr>
            <w:r>
              <w:rPr>
                <w:rFonts w:ascii="Arial" w:cs="Arial" w:eastAsia="Arial" w:hAnsi="Arial"/>
                <w:sz w:val="22"/>
                <w:szCs w:val="22"/>
                <w:color w:val="auto"/>
              </w:rPr>
              <w:t>217</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9.09</w:t>
            </w:r>
          </w:p>
        </w:tc>
        <w:tc>
          <w:tcPr>
            <w:tcW w:w="7040" w:type="dxa"/>
            <w:vAlign w:val="bottom"/>
          </w:tcPr>
          <w:p>
            <w:pPr>
              <w:ind w:left="460"/>
              <w:spacing w:after="0"/>
              <w:rPr>
                <w:sz w:val="20"/>
                <w:szCs w:val="20"/>
                <w:color w:val="auto"/>
              </w:rPr>
            </w:pPr>
            <w:r>
              <w:rPr>
                <w:rFonts w:ascii="Arial" w:cs="Arial" w:eastAsia="Arial" w:hAnsi="Arial"/>
                <w:sz w:val="22"/>
                <w:szCs w:val="22"/>
                <w:color w:val="auto"/>
              </w:rPr>
              <w:t>Governing Law; Jurisdiction; Consent to Service of Process</w:t>
            </w:r>
          </w:p>
        </w:tc>
        <w:tc>
          <w:tcPr>
            <w:tcW w:w="1720" w:type="dxa"/>
            <w:vAlign w:val="bottom"/>
          </w:tcPr>
          <w:p>
            <w:pPr>
              <w:jc w:val="right"/>
              <w:spacing w:after="0"/>
              <w:rPr>
                <w:sz w:val="20"/>
                <w:szCs w:val="20"/>
                <w:color w:val="auto"/>
              </w:rPr>
            </w:pPr>
            <w:r>
              <w:rPr>
                <w:rFonts w:ascii="Arial" w:cs="Arial" w:eastAsia="Arial" w:hAnsi="Arial"/>
                <w:sz w:val="22"/>
                <w:szCs w:val="22"/>
                <w:color w:val="auto"/>
              </w:rPr>
              <w:t>217</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9.10</w:t>
            </w:r>
          </w:p>
        </w:tc>
        <w:tc>
          <w:tcPr>
            <w:tcW w:w="7040" w:type="dxa"/>
            <w:vAlign w:val="bottom"/>
          </w:tcPr>
          <w:p>
            <w:pPr>
              <w:ind w:left="460"/>
              <w:spacing w:after="0"/>
              <w:rPr>
                <w:sz w:val="20"/>
                <w:szCs w:val="20"/>
                <w:color w:val="auto"/>
              </w:rPr>
            </w:pPr>
            <w:r>
              <w:rPr>
                <w:rFonts w:ascii="Arial" w:cs="Arial" w:eastAsia="Arial" w:hAnsi="Arial"/>
                <w:sz w:val="22"/>
                <w:szCs w:val="22"/>
                <w:color w:val="auto"/>
              </w:rPr>
              <w:t>WAIVER OF JURY TRIAL</w:t>
            </w:r>
          </w:p>
        </w:tc>
        <w:tc>
          <w:tcPr>
            <w:tcW w:w="1720" w:type="dxa"/>
            <w:vAlign w:val="bottom"/>
          </w:tcPr>
          <w:p>
            <w:pPr>
              <w:jc w:val="right"/>
              <w:spacing w:after="0"/>
              <w:rPr>
                <w:sz w:val="20"/>
                <w:szCs w:val="20"/>
                <w:color w:val="auto"/>
              </w:rPr>
            </w:pPr>
            <w:r>
              <w:rPr>
                <w:rFonts w:ascii="Arial" w:cs="Arial" w:eastAsia="Arial" w:hAnsi="Arial"/>
                <w:sz w:val="22"/>
                <w:szCs w:val="22"/>
                <w:color w:val="auto"/>
              </w:rPr>
              <w:t>218</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9.11</w:t>
            </w:r>
          </w:p>
        </w:tc>
        <w:tc>
          <w:tcPr>
            <w:tcW w:w="7040" w:type="dxa"/>
            <w:vAlign w:val="bottom"/>
          </w:tcPr>
          <w:p>
            <w:pPr>
              <w:ind w:left="460"/>
              <w:spacing w:after="0"/>
              <w:rPr>
                <w:sz w:val="20"/>
                <w:szCs w:val="20"/>
                <w:color w:val="auto"/>
              </w:rPr>
            </w:pPr>
            <w:r>
              <w:rPr>
                <w:rFonts w:ascii="Arial" w:cs="Arial" w:eastAsia="Arial" w:hAnsi="Arial"/>
                <w:sz w:val="22"/>
                <w:szCs w:val="22"/>
                <w:color w:val="auto"/>
              </w:rPr>
              <w:t>Headings</w:t>
            </w:r>
          </w:p>
        </w:tc>
        <w:tc>
          <w:tcPr>
            <w:tcW w:w="1720" w:type="dxa"/>
            <w:vAlign w:val="bottom"/>
          </w:tcPr>
          <w:p>
            <w:pPr>
              <w:jc w:val="right"/>
              <w:spacing w:after="0"/>
              <w:rPr>
                <w:sz w:val="20"/>
                <w:szCs w:val="20"/>
                <w:color w:val="auto"/>
              </w:rPr>
            </w:pPr>
            <w:r>
              <w:rPr>
                <w:rFonts w:ascii="Arial" w:cs="Arial" w:eastAsia="Arial" w:hAnsi="Arial"/>
                <w:sz w:val="22"/>
                <w:szCs w:val="22"/>
                <w:color w:val="auto"/>
              </w:rPr>
              <w:t>218</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9.12</w:t>
            </w:r>
          </w:p>
        </w:tc>
        <w:tc>
          <w:tcPr>
            <w:tcW w:w="7040" w:type="dxa"/>
            <w:vAlign w:val="bottom"/>
          </w:tcPr>
          <w:p>
            <w:pPr>
              <w:ind w:left="460"/>
              <w:spacing w:after="0"/>
              <w:rPr>
                <w:sz w:val="20"/>
                <w:szCs w:val="20"/>
                <w:color w:val="auto"/>
              </w:rPr>
            </w:pPr>
            <w:r>
              <w:rPr>
                <w:rFonts w:ascii="Arial" w:cs="Arial" w:eastAsia="Arial" w:hAnsi="Arial"/>
                <w:sz w:val="22"/>
                <w:szCs w:val="22"/>
                <w:color w:val="auto"/>
              </w:rPr>
              <w:t>Confidentiality</w:t>
            </w:r>
          </w:p>
        </w:tc>
        <w:tc>
          <w:tcPr>
            <w:tcW w:w="1720" w:type="dxa"/>
            <w:vAlign w:val="bottom"/>
          </w:tcPr>
          <w:p>
            <w:pPr>
              <w:jc w:val="right"/>
              <w:spacing w:after="0"/>
              <w:rPr>
                <w:sz w:val="20"/>
                <w:szCs w:val="20"/>
                <w:color w:val="auto"/>
              </w:rPr>
            </w:pPr>
            <w:r>
              <w:rPr>
                <w:rFonts w:ascii="Arial" w:cs="Arial" w:eastAsia="Arial" w:hAnsi="Arial"/>
                <w:sz w:val="22"/>
                <w:szCs w:val="22"/>
                <w:color w:val="auto"/>
              </w:rPr>
              <w:t>218</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9.13</w:t>
            </w:r>
          </w:p>
        </w:tc>
        <w:tc>
          <w:tcPr>
            <w:tcW w:w="7040" w:type="dxa"/>
            <w:vAlign w:val="bottom"/>
          </w:tcPr>
          <w:p>
            <w:pPr>
              <w:ind w:left="460"/>
              <w:spacing w:after="0"/>
              <w:rPr>
                <w:sz w:val="20"/>
                <w:szCs w:val="20"/>
                <w:color w:val="auto"/>
              </w:rPr>
            </w:pPr>
            <w:r>
              <w:rPr>
                <w:rFonts w:ascii="Arial" w:cs="Arial" w:eastAsia="Arial" w:hAnsi="Arial"/>
                <w:sz w:val="22"/>
                <w:szCs w:val="22"/>
                <w:color w:val="auto"/>
              </w:rPr>
              <w:t>USA PATRIOT Act</w:t>
            </w:r>
          </w:p>
        </w:tc>
        <w:tc>
          <w:tcPr>
            <w:tcW w:w="1720" w:type="dxa"/>
            <w:vAlign w:val="bottom"/>
          </w:tcPr>
          <w:p>
            <w:pPr>
              <w:jc w:val="right"/>
              <w:spacing w:after="0"/>
              <w:rPr>
                <w:sz w:val="20"/>
                <w:szCs w:val="20"/>
                <w:color w:val="auto"/>
              </w:rPr>
            </w:pPr>
            <w:r>
              <w:rPr>
                <w:rFonts w:ascii="Arial" w:cs="Arial" w:eastAsia="Arial" w:hAnsi="Arial"/>
                <w:sz w:val="22"/>
                <w:szCs w:val="22"/>
                <w:color w:val="auto"/>
              </w:rPr>
              <w:t>220</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9.14</w:t>
            </w:r>
          </w:p>
        </w:tc>
        <w:tc>
          <w:tcPr>
            <w:tcW w:w="7040" w:type="dxa"/>
            <w:vAlign w:val="bottom"/>
          </w:tcPr>
          <w:p>
            <w:pPr>
              <w:ind w:left="460"/>
              <w:spacing w:after="0"/>
              <w:rPr>
                <w:sz w:val="20"/>
                <w:szCs w:val="20"/>
                <w:color w:val="auto"/>
              </w:rPr>
            </w:pPr>
            <w:r>
              <w:rPr>
                <w:rFonts w:ascii="Arial" w:cs="Arial" w:eastAsia="Arial" w:hAnsi="Arial"/>
                <w:sz w:val="22"/>
                <w:szCs w:val="22"/>
                <w:color w:val="auto"/>
              </w:rPr>
              <w:t>Release of Liens and Guarantees</w:t>
            </w:r>
          </w:p>
        </w:tc>
        <w:tc>
          <w:tcPr>
            <w:tcW w:w="1720" w:type="dxa"/>
            <w:vAlign w:val="bottom"/>
          </w:tcPr>
          <w:p>
            <w:pPr>
              <w:jc w:val="right"/>
              <w:spacing w:after="0"/>
              <w:rPr>
                <w:sz w:val="20"/>
                <w:szCs w:val="20"/>
                <w:color w:val="auto"/>
              </w:rPr>
            </w:pPr>
            <w:r>
              <w:rPr>
                <w:rFonts w:ascii="Arial" w:cs="Arial" w:eastAsia="Arial" w:hAnsi="Arial"/>
                <w:sz w:val="22"/>
                <w:szCs w:val="22"/>
                <w:color w:val="auto"/>
              </w:rPr>
              <w:t>220</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9.15</w:t>
            </w:r>
          </w:p>
        </w:tc>
        <w:tc>
          <w:tcPr>
            <w:tcW w:w="7040" w:type="dxa"/>
            <w:vAlign w:val="bottom"/>
          </w:tcPr>
          <w:p>
            <w:pPr>
              <w:ind w:left="460"/>
              <w:spacing w:after="0"/>
              <w:rPr>
                <w:sz w:val="20"/>
                <w:szCs w:val="20"/>
                <w:color w:val="auto"/>
              </w:rPr>
            </w:pPr>
            <w:r>
              <w:rPr>
                <w:rFonts w:ascii="Arial" w:cs="Arial" w:eastAsia="Arial" w:hAnsi="Arial"/>
                <w:sz w:val="22"/>
                <w:szCs w:val="22"/>
                <w:color w:val="auto"/>
              </w:rPr>
              <w:t>No Advisory or Fiduciary Responsibility</w:t>
            </w:r>
          </w:p>
        </w:tc>
        <w:tc>
          <w:tcPr>
            <w:tcW w:w="1720" w:type="dxa"/>
            <w:vAlign w:val="bottom"/>
          </w:tcPr>
          <w:p>
            <w:pPr>
              <w:jc w:val="right"/>
              <w:spacing w:after="0"/>
              <w:rPr>
                <w:sz w:val="20"/>
                <w:szCs w:val="20"/>
                <w:color w:val="auto"/>
              </w:rPr>
            </w:pPr>
            <w:r>
              <w:rPr>
                <w:rFonts w:ascii="Arial" w:cs="Arial" w:eastAsia="Arial" w:hAnsi="Arial"/>
                <w:sz w:val="22"/>
                <w:szCs w:val="22"/>
                <w:color w:val="auto"/>
              </w:rPr>
              <w:t>221</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9.16</w:t>
            </w:r>
          </w:p>
        </w:tc>
        <w:tc>
          <w:tcPr>
            <w:tcW w:w="7040" w:type="dxa"/>
            <w:vAlign w:val="bottom"/>
          </w:tcPr>
          <w:p>
            <w:pPr>
              <w:ind w:left="460"/>
              <w:spacing w:after="0"/>
              <w:rPr>
                <w:sz w:val="20"/>
                <w:szCs w:val="20"/>
                <w:color w:val="auto"/>
              </w:rPr>
            </w:pPr>
            <w:r>
              <w:rPr>
                <w:rFonts w:ascii="Arial" w:cs="Arial" w:eastAsia="Arial" w:hAnsi="Arial"/>
                <w:sz w:val="22"/>
                <w:szCs w:val="22"/>
                <w:color w:val="auto"/>
              </w:rPr>
              <w:t>Interest Rate Limitation</w:t>
            </w:r>
          </w:p>
        </w:tc>
        <w:tc>
          <w:tcPr>
            <w:tcW w:w="1720" w:type="dxa"/>
            <w:vAlign w:val="bottom"/>
          </w:tcPr>
          <w:p>
            <w:pPr>
              <w:jc w:val="right"/>
              <w:spacing w:after="0"/>
              <w:rPr>
                <w:sz w:val="20"/>
                <w:szCs w:val="20"/>
                <w:color w:val="auto"/>
              </w:rPr>
            </w:pPr>
            <w:r>
              <w:rPr>
                <w:rFonts w:ascii="Arial" w:cs="Arial" w:eastAsia="Arial" w:hAnsi="Arial"/>
                <w:sz w:val="22"/>
                <w:szCs w:val="22"/>
                <w:color w:val="auto"/>
              </w:rPr>
              <w:t>222</w:t>
            </w:r>
          </w:p>
        </w:tc>
      </w:tr>
      <w:tr>
        <w:trPr>
          <w:trHeight w:val="485"/>
        </w:trPr>
        <w:tc>
          <w:tcPr>
            <w:tcW w:w="2480" w:type="dxa"/>
            <w:vAlign w:val="bottom"/>
          </w:tcPr>
          <w:p>
            <w:pPr>
              <w:ind w:left="660"/>
              <w:spacing w:after="0"/>
              <w:rPr>
                <w:sz w:val="20"/>
                <w:szCs w:val="20"/>
                <w:color w:val="auto"/>
              </w:rPr>
            </w:pPr>
            <w:r>
              <w:rPr>
                <w:rFonts w:ascii="Arial" w:cs="Arial" w:eastAsia="Arial" w:hAnsi="Arial"/>
                <w:sz w:val="22"/>
                <w:szCs w:val="22"/>
                <w:color w:val="010000"/>
              </w:rPr>
              <w:t>SECTION 9.17</w:t>
            </w:r>
          </w:p>
        </w:tc>
        <w:tc>
          <w:tcPr>
            <w:tcW w:w="7040" w:type="dxa"/>
            <w:vAlign w:val="bottom"/>
          </w:tcPr>
          <w:p>
            <w:pPr>
              <w:ind w:left="460"/>
              <w:spacing w:after="0"/>
              <w:rPr>
                <w:sz w:val="20"/>
                <w:szCs w:val="20"/>
                <w:color w:val="auto"/>
              </w:rPr>
            </w:pPr>
            <w:r>
              <w:rPr>
                <w:rFonts w:ascii="Arial" w:cs="Arial" w:eastAsia="Arial" w:hAnsi="Arial"/>
                <w:sz w:val="22"/>
                <w:szCs w:val="22"/>
                <w:color w:val="auto"/>
              </w:rPr>
              <w:t>Judgment Currency</w:t>
            </w:r>
          </w:p>
        </w:tc>
        <w:tc>
          <w:tcPr>
            <w:tcW w:w="1720" w:type="dxa"/>
            <w:vAlign w:val="bottom"/>
          </w:tcPr>
          <w:p>
            <w:pPr>
              <w:jc w:val="right"/>
              <w:spacing w:after="0"/>
              <w:rPr>
                <w:sz w:val="20"/>
                <w:szCs w:val="20"/>
                <w:color w:val="auto"/>
              </w:rPr>
            </w:pPr>
            <w:r>
              <w:rPr>
                <w:rFonts w:ascii="Arial" w:cs="Arial" w:eastAsia="Arial" w:hAnsi="Arial"/>
                <w:sz w:val="22"/>
                <w:szCs w:val="22"/>
                <w:color w:val="auto"/>
              </w:rPr>
              <w:t>222</w:t>
            </w:r>
          </w:p>
        </w:tc>
      </w:tr>
      <w:tr>
        <w:trPr>
          <w:trHeight w:val="452"/>
        </w:trPr>
        <w:tc>
          <w:tcPr>
            <w:tcW w:w="2480" w:type="dxa"/>
            <w:vAlign w:val="bottom"/>
          </w:tcPr>
          <w:p>
            <w:pPr>
              <w:spacing w:after="0"/>
              <w:rPr>
                <w:sz w:val="24"/>
                <w:szCs w:val="24"/>
                <w:color w:val="auto"/>
              </w:rPr>
            </w:pPr>
          </w:p>
        </w:tc>
        <w:tc>
          <w:tcPr>
            <w:tcW w:w="7040" w:type="dxa"/>
            <w:vAlign w:val="bottom"/>
          </w:tcPr>
          <w:p>
            <w:pPr>
              <w:ind w:left="3020"/>
              <w:spacing w:after="0"/>
              <w:rPr>
                <w:sz w:val="20"/>
                <w:szCs w:val="20"/>
                <w:color w:val="auto"/>
              </w:rPr>
            </w:pPr>
            <w:r>
              <w:rPr>
                <w:rFonts w:ascii="Arial" w:cs="Arial" w:eastAsia="Arial" w:hAnsi="Arial"/>
                <w:sz w:val="20"/>
                <w:szCs w:val="20"/>
                <w:color w:val="auto"/>
              </w:rPr>
              <w:t>-v-</w:t>
            </w:r>
          </w:p>
        </w:tc>
        <w:tc>
          <w:tcPr>
            <w:tcW w:w="1720" w:type="dxa"/>
            <w:vAlign w:val="bottom"/>
          </w:tcPr>
          <w:p>
            <w:pPr>
              <w:spacing w:after="0"/>
              <w:rPr>
                <w:sz w:val="24"/>
                <w:szCs w:val="24"/>
                <w:color w:val="auto"/>
              </w:rPr>
            </w:pPr>
          </w:p>
        </w:tc>
      </w:tr>
      <w:tr>
        <w:trPr>
          <w:trHeight w:val="273"/>
        </w:trPr>
        <w:tc>
          <w:tcPr>
            <w:tcW w:w="2480" w:type="dxa"/>
            <w:vAlign w:val="bottom"/>
            <w:tcBorders>
              <w:bottom w:val="single" w:sz="8" w:color="9A9A9A"/>
            </w:tcBorders>
          </w:tcPr>
          <w:p>
            <w:pPr>
              <w:spacing w:after="0"/>
              <w:rPr>
                <w:sz w:val="23"/>
                <w:szCs w:val="23"/>
                <w:color w:val="auto"/>
              </w:rPr>
            </w:pPr>
          </w:p>
        </w:tc>
        <w:tc>
          <w:tcPr>
            <w:tcW w:w="7040" w:type="dxa"/>
            <w:vAlign w:val="bottom"/>
            <w:tcBorders>
              <w:bottom w:val="single" w:sz="8" w:color="9A9A9A"/>
            </w:tcBorders>
          </w:tcPr>
          <w:p>
            <w:pPr>
              <w:spacing w:after="0"/>
              <w:rPr>
                <w:sz w:val="23"/>
                <w:szCs w:val="23"/>
                <w:color w:val="auto"/>
              </w:rPr>
            </w:pPr>
          </w:p>
        </w:tc>
        <w:tc>
          <w:tcPr>
            <w:tcW w:w="17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74"/>
        </w:trPr>
        <w:tc>
          <w:tcPr>
            <w:tcW w:w="2080" w:type="dxa"/>
            <w:vAlign w:val="bottom"/>
          </w:tcPr>
          <w:p>
            <w:pPr>
              <w:ind w:left="660"/>
              <w:spacing w:after="0"/>
              <w:rPr>
                <w:sz w:val="20"/>
                <w:szCs w:val="20"/>
                <w:color w:val="auto"/>
              </w:rPr>
            </w:pPr>
            <w:r>
              <w:rPr>
                <w:rFonts w:ascii="Arial" w:cs="Arial" w:eastAsia="Arial" w:hAnsi="Arial"/>
                <w:sz w:val="22"/>
                <w:szCs w:val="22"/>
                <w:color w:val="010000"/>
                <w:w w:val="95"/>
              </w:rPr>
              <w:t>SECTION 9.18</w:t>
            </w:r>
          </w:p>
        </w:tc>
        <w:tc>
          <w:tcPr>
            <w:tcW w:w="600" w:type="dxa"/>
            <w:vAlign w:val="bottom"/>
          </w:tcPr>
          <w:p>
            <w:pPr>
              <w:spacing w:after="0"/>
              <w:rPr>
                <w:sz w:val="23"/>
                <w:szCs w:val="23"/>
                <w:color w:val="auto"/>
              </w:rPr>
            </w:pPr>
          </w:p>
        </w:tc>
        <w:tc>
          <w:tcPr>
            <w:tcW w:w="7360" w:type="dxa"/>
            <w:vAlign w:val="bottom"/>
          </w:tcPr>
          <w:p>
            <w:pPr>
              <w:ind w:left="260"/>
              <w:spacing w:after="0"/>
              <w:rPr>
                <w:sz w:val="20"/>
                <w:szCs w:val="20"/>
                <w:color w:val="auto"/>
              </w:rPr>
            </w:pPr>
            <w:r>
              <w:rPr>
                <w:rFonts w:ascii="Arial" w:cs="Arial" w:eastAsia="Arial" w:hAnsi="Arial"/>
                <w:sz w:val="22"/>
                <w:szCs w:val="22"/>
                <w:color w:val="auto"/>
              </w:rPr>
              <w:t>Intercreditor Agreement.</w:t>
            </w:r>
          </w:p>
        </w:tc>
        <w:tc>
          <w:tcPr>
            <w:tcW w:w="1180" w:type="dxa"/>
            <w:vAlign w:val="bottom"/>
          </w:tcPr>
          <w:p>
            <w:pPr>
              <w:jc w:val="right"/>
              <w:spacing w:after="0"/>
              <w:rPr>
                <w:sz w:val="20"/>
                <w:szCs w:val="20"/>
                <w:color w:val="auto"/>
              </w:rPr>
            </w:pPr>
            <w:r>
              <w:rPr>
                <w:rFonts w:ascii="Arial" w:cs="Arial" w:eastAsia="Arial" w:hAnsi="Arial"/>
                <w:sz w:val="22"/>
                <w:szCs w:val="22"/>
                <w:color w:val="auto"/>
              </w:rPr>
              <w:t>223</w:t>
            </w:r>
          </w:p>
        </w:tc>
      </w:tr>
      <w:tr>
        <w:trPr>
          <w:trHeight w:val="485"/>
        </w:trPr>
        <w:tc>
          <w:tcPr>
            <w:tcW w:w="2080" w:type="dxa"/>
            <w:vAlign w:val="bottom"/>
          </w:tcPr>
          <w:p>
            <w:pPr>
              <w:ind w:left="660"/>
              <w:spacing w:after="0"/>
              <w:rPr>
                <w:sz w:val="20"/>
                <w:szCs w:val="20"/>
                <w:color w:val="auto"/>
              </w:rPr>
            </w:pPr>
            <w:r>
              <w:rPr>
                <w:rFonts w:ascii="Arial" w:cs="Arial" w:eastAsia="Arial" w:hAnsi="Arial"/>
                <w:sz w:val="22"/>
                <w:szCs w:val="22"/>
                <w:color w:val="010000"/>
                <w:w w:val="95"/>
              </w:rPr>
              <w:t>SECTION 9.19</w:t>
            </w:r>
          </w:p>
        </w:tc>
        <w:tc>
          <w:tcPr>
            <w:tcW w:w="600" w:type="dxa"/>
            <w:vAlign w:val="bottom"/>
          </w:tcPr>
          <w:p>
            <w:pPr>
              <w:spacing w:after="0"/>
              <w:rPr>
                <w:sz w:val="24"/>
                <w:szCs w:val="24"/>
                <w:color w:val="auto"/>
              </w:rPr>
            </w:pPr>
          </w:p>
        </w:tc>
        <w:tc>
          <w:tcPr>
            <w:tcW w:w="7360" w:type="dxa"/>
            <w:vAlign w:val="bottom"/>
          </w:tcPr>
          <w:p>
            <w:pPr>
              <w:ind w:left="260"/>
              <w:spacing w:after="0"/>
              <w:rPr>
                <w:sz w:val="20"/>
                <w:szCs w:val="20"/>
                <w:color w:val="auto"/>
              </w:rPr>
            </w:pPr>
            <w:r>
              <w:rPr>
                <w:rFonts w:ascii="Arial" w:cs="Arial" w:eastAsia="Arial" w:hAnsi="Arial"/>
                <w:sz w:val="22"/>
                <w:szCs w:val="22"/>
                <w:color w:val="auto"/>
              </w:rPr>
              <w:t>Cashless Settlement</w:t>
            </w:r>
          </w:p>
        </w:tc>
        <w:tc>
          <w:tcPr>
            <w:tcW w:w="1180" w:type="dxa"/>
            <w:vAlign w:val="bottom"/>
          </w:tcPr>
          <w:p>
            <w:pPr>
              <w:jc w:val="right"/>
              <w:spacing w:after="0"/>
              <w:rPr>
                <w:sz w:val="20"/>
                <w:szCs w:val="20"/>
                <w:color w:val="auto"/>
              </w:rPr>
            </w:pPr>
            <w:r>
              <w:rPr>
                <w:rFonts w:ascii="Arial" w:cs="Arial" w:eastAsia="Arial" w:hAnsi="Arial"/>
                <w:sz w:val="22"/>
                <w:szCs w:val="22"/>
                <w:color w:val="auto"/>
              </w:rPr>
              <w:t>223</w:t>
            </w:r>
          </w:p>
        </w:tc>
      </w:tr>
      <w:tr>
        <w:trPr>
          <w:trHeight w:val="485"/>
        </w:trPr>
        <w:tc>
          <w:tcPr>
            <w:tcW w:w="2080" w:type="dxa"/>
            <w:vAlign w:val="bottom"/>
          </w:tcPr>
          <w:p>
            <w:pPr>
              <w:ind w:left="660"/>
              <w:spacing w:after="0"/>
              <w:rPr>
                <w:sz w:val="20"/>
                <w:szCs w:val="20"/>
                <w:color w:val="auto"/>
              </w:rPr>
            </w:pPr>
            <w:r>
              <w:rPr>
                <w:rFonts w:ascii="Arial" w:cs="Arial" w:eastAsia="Arial" w:hAnsi="Arial"/>
                <w:sz w:val="22"/>
                <w:szCs w:val="22"/>
                <w:color w:val="010000"/>
                <w:w w:val="95"/>
              </w:rPr>
              <w:t>SECTION 9.20</w:t>
            </w:r>
          </w:p>
        </w:tc>
        <w:tc>
          <w:tcPr>
            <w:tcW w:w="600" w:type="dxa"/>
            <w:vAlign w:val="bottom"/>
          </w:tcPr>
          <w:p>
            <w:pPr>
              <w:spacing w:after="0"/>
              <w:rPr>
                <w:sz w:val="24"/>
                <w:szCs w:val="24"/>
                <w:color w:val="auto"/>
              </w:rPr>
            </w:pPr>
          </w:p>
        </w:tc>
        <w:tc>
          <w:tcPr>
            <w:tcW w:w="7360" w:type="dxa"/>
            <w:vAlign w:val="bottom"/>
          </w:tcPr>
          <w:p>
            <w:pPr>
              <w:ind w:left="260"/>
              <w:spacing w:after="0"/>
              <w:rPr>
                <w:sz w:val="20"/>
                <w:szCs w:val="20"/>
                <w:color w:val="auto"/>
              </w:rPr>
            </w:pPr>
            <w:r>
              <w:rPr>
                <w:rFonts w:ascii="Arial" w:cs="Arial" w:eastAsia="Arial" w:hAnsi="Arial"/>
                <w:sz w:val="22"/>
                <w:szCs w:val="22"/>
                <w:color w:val="auto"/>
              </w:rPr>
              <w:t>Acknowledgement and Consent to Bail-In of EEA Financial Institutions</w:t>
            </w:r>
          </w:p>
        </w:tc>
        <w:tc>
          <w:tcPr>
            <w:tcW w:w="1180" w:type="dxa"/>
            <w:vAlign w:val="bottom"/>
          </w:tcPr>
          <w:p>
            <w:pPr>
              <w:jc w:val="right"/>
              <w:spacing w:after="0"/>
              <w:rPr>
                <w:sz w:val="20"/>
                <w:szCs w:val="20"/>
                <w:color w:val="auto"/>
              </w:rPr>
            </w:pPr>
            <w:r>
              <w:rPr>
                <w:rFonts w:ascii="Arial" w:cs="Arial" w:eastAsia="Arial" w:hAnsi="Arial"/>
                <w:sz w:val="22"/>
                <w:szCs w:val="22"/>
                <w:color w:val="auto"/>
              </w:rPr>
              <w:t>223</w:t>
            </w:r>
          </w:p>
        </w:tc>
      </w:tr>
      <w:tr>
        <w:trPr>
          <w:trHeight w:val="485"/>
        </w:trPr>
        <w:tc>
          <w:tcPr>
            <w:tcW w:w="2080" w:type="dxa"/>
            <w:vAlign w:val="bottom"/>
          </w:tcPr>
          <w:p>
            <w:pPr>
              <w:ind w:left="660"/>
              <w:spacing w:after="0"/>
              <w:rPr>
                <w:sz w:val="20"/>
                <w:szCs w:val="20"/>
                <w:color w:val="auto"/>
              </w:rPr>
            </w:pPr>
            <w:r>
              <w:rPr>
                <w:rFonts w:ascii="Arial" w:cs="Arial" w:eastAsia="Arial" w:hAnsi="Arial"/>
                <w:sz w:val="22"/>
                <w:szCs w:val="22"/>
                <w:color w:val="010000"/>
                <w:w w:val="95"/>
              </w:rPr>
              <w:t>SECTION 9.21</w:t>
            </w:r>
          </w:p>
        </w:tc>
        <w:tc>
          <w:tcPr>
            <w:tcW w:w="600" w:type="dxa"/>
            <w:vAlign w:val="bottom"/>
          </w:tcPr>
          <w:p>
            <w:pPr>
              <w:spacing w:after="0"/>
              <w:rPr>
                <w:sz w:val="24"/>
                <w:szCs w:val="24"/>
                <w:color w:val="auto"/>
              </w:rPr>
            </w:pPr>
          </w:p>
        </w:tc>
        <w:tc>
          <w:tcPr>
            <w:tcW w:w="7360" w:type="dxa"/>
            <w:vAlign w:val="bottom"/>
          </w:tcPr>
          <w:p>
            <w:pPr>
              <w:ind w:left="260"/>
              <w:spacing w:after="0"/>
              <w:rPr>
                <w:sz w:val="20"/>
                <w:szCs w:val="20"/>
                <w:color w:val="auto"/>
              </w:rPr>
            </w:pPr>
            <w:r>
              <w:rPr>
                <w:rFonts w:ascii="Arial" w:cs="Arial" w:eastAsia="Arial" w:hAnsi="Arial"/>
                <w:sz w:val="22"/>
                <w:szCs w:val="22"/>
                <w:color w:val="auto"/>
              </w:rPr>
              <w:t>Certain ERISA Matters</w:t>
            </w:r>
          </w:p>
        </w:tc>
        <w:tc>
          <w:tcPr>
            <w:tcW w:w="1180" w:type="dxa"/>
            <w:vAlign w:val="bottom"/>
          </w:tcPr>
          <w:p>
            <w:pPr>
              <w:jc w:val="right"/>
              <w:spacing w:after="0"/>
              <w:rPr>
                <w:sz w:val="20"/>
                <w:szCs w:val="20"/>
                <w:color w:val="auto"/>
              </w:rPr>
            </w:pPr>
            <w:r>
              <w:rPr>
                <w:rFonts w:ascii="Arial" w:cs="Arial" w:eastAsia="Arial" w:hAnsi="Arial"/>
                <w:sz w:val="22"/>
                <w:szCs w:val="22"/>
                <w:color w:val="auto"/>
              </w:rPr>
              <w:t>224</w:t>
            </w:r>
          </w:p>
        </w:tc>
      </w:tr>
      <w:tr>
        <w:trPr>
          <w:trHeight w:val="485"/>
        </w:trPr>
        <w:tc>
          <w:tcPr>
            <w:tcW w:w="2080" w:type="dxa"/>
            <w:vAlign w:val="bottom"/>
          </w:tcPr>
          <w:p>
            <w:pPr>
              <w:ind w:left="660"/>
              <w:spacing w:after="0"/>
              <w:rPr>
                <w:sz w:val="20"/>
                <w:szCs w:val="20"/>
                <w:color w:val="auto"/>
              </w:rPr>
            </w:pPr>
            <w:r>
              <w:rPr>
                <w:rFonts w:ascii="Arial" w:cs="Arial" w:eastAsia="Arial" w:hAnsi="Arial"/>
                <w:sz w:val="22"/>
                <w:szCs w:val="22"/>
                <w:color w:val="010000"/>
                <w:w w:val="95"/>
              </w:rPr>
              <w:t>SECTION 9.22</w:t>
            </w:r>
          </w:p>
        </w:tc>
        <w:tc>
          <w:tcPr>
            <w:tcW w:w="600" w:type="dxa"/>
            <w:vAlign w:val="bottom"/>
          </w:tcPr>
          <w:p>
            <w:pPr>
              <w:spacing w:after="0"/>
              <w:rPr>
                <w:sz w:val="24"/>
                <w:szCs w:val="24"/>
                <w:color w:val="auto"/>
              </w:rPr>
            </w:pPr>
          </w:p>
        </w:tc>
        <w:tc>
          <w:tcPr>
            <w:tcW w:w="7360" w:type="dxa"/>
            <w:vAlign w:val="bottom"/>
          </w:tcPr>
          <w:p>
            <w:pPr>
              <w:ind w:left="260"/>
              <w:spacing w:after="0"/>
              <w:rPr>
                <w:sz w:val="20"/>
                <w:szCs w:val="20"/>
                <w:color w:val="auto"/>
              </w:rPr>
            </w:pPr>
            <w:r>
              <w:rPr>
                <w:rFonts w:ascii="Arial" w:cs="Arial" w:eastAsia="Arial" w:hAnsi="Arial"/>
                <w:sz w:val="22"/>
                <w:szCs w:val="22"/>
                <w:color w:val="auto"/>
              </w:rPr>
              <w:t>Acknowledgement Regarding Any Supported QFCs</w:t>
            </w:r>
          </w:p>
        </w:tc>
        <w:tc>
          <w:tcPr>
            <w:tcW w:w="1180" w:type="dxa"/>
            <w:vAlign w:val="bottom"/>
          </w:tcPr>
          <w:p>
            <w:pPr>
              <w:jc w:val="right"/>
              <w:spacing w:after="0"/>
              <w:rPr>
                <w:sz w:val="20"/>
                <w:szCs w:val="20"/>
                <w:color w:val="auto"/>
              </w:rPr>
            </w:pPr>
            <w:r>
              <w:rPr>
                <w:rFonts w:ascii="Arial" w:cs="Arial" w:eastAsia="Arial" w:hAnsi="Arial"/>
                <w:sz w:val="22"/>
                <w:szCs w:val="22"/>
                <w:color w:val="auto"/>
              </w:rPr>
              <w:t>224</w:t>
            </w:r>
          </w:p>
        </w:tc>
      </w:tr>
      <w:tr>
        <w:trPr>
          <w:trHeight w:val="903"/>
        </w:trPr>
        <w:tc>
          <w:tcPr>
            <w:tcW w:w="2080" w:type="dxa"/>
            <w:vAlign w:val="bottom"/>
          </w:tcPr>
          <w:p>
            <w:pPr>
              <w:spacing w:after="0"/>
              <w:rPr>
                <w:sz w:val="20"/>
                <w:szCs w:val="20"/>
                <w:color w:val="auto"/>
              </w:rPr>
            </w:pPr>
            <w:r>
              <w:rPr>
                <w:rFonts w:ascii="Arial" w:cs="Arial" w:eastAsia="Arial" w:hAnsi="Arial"/>
                <w:sz w:val="22"/>
                <w:szCs w:val="22"/>
                <w:color w:val="auto"/>
              </w:rPr>
              <w:t>SCHEDULES:</w:t>
            </w:r>
          </w:p>
        </w:tc>
        <w:tc>
          <w:tcPr>
            <w:tcW w:w="6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66"/>
        </w:trPr>
        <w:tc>
          <w:tcPr>
            <w:tcW w:w="2080" w:type="dxa"/>
            <w:vAlign w:val="bottom"/>
          </w:tcPr>
          <w:p>
            <w:pPr>
              <w:ind w:left="160"/>
              <w:spacing w:after="0"/>
              <w:rPr>
                <w:sz w:val="20"/>
                <w:szCs w:val="20"/>
                <w:color w:val="auto"/>
              </w:rPr>
            </w:pPr>
            <w:r>
              <w:rPr>
                <w:rFonts w:ascii="Arial" w:cs="Arial" w:eastAsia="Arial" w:hAnsi="Arial"/>
                <w:sz w:val="20"/>
                <w:szCs w:val="20"/>
                <w:color w:val="auto"/>
              </w:rPr>
              <w:t>Schedule 1.01</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Excluded Subsidiaries</w:t>
            </w:r>
          </w:p>
        </w:tc>
        <w:tc>
          <w:tcPr>
            <w:tcW w:w="1180" w:type="dxa"/>
            <w:vAlign w:val="bottom"/>
          </w:tcPr>
          <w:p>
            <w:pPr>
              <w:spacing w:after="0"/>
              <w:rPr>
                <w:sz w:val="24"/>
                <w:szCs w:val="24"/>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2.01</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Commitments and Loans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2.05</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Letter of Credit Commitments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3.03</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Government Approvals; No Conflicts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3.06</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Litigation and Environmental Matters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3.12</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Subsidiaries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5.14</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Certain Post-Closing Obligations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5.15</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Existing Affiliate Transactions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6.01</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Existing Indebtedness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6.02</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Existing Liens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6.04</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Existing Investments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6.05</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Asset Sales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6.09</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Existing Restrictions</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Schedule 9.01</w:t>
            </w:r>
          </w:p>
        </w:tc>
        <w:tc>
          <w:tcPr>
            <w:tcW w:w="600" w:type="dxa"/>
            <w:vAlign w:val="bottom"/>
          </w:tcPr>
          <w:p>
            <w:pPr>
              <w:ind w:left="140"/>
              <w:spacing w:after="0"/>
              <w:rPr>
                <w:sz w:val="20"/>
                <w:szCs w:val="20"/>
                <w:color w:val="auto"/>
              </w:rPr>
            </w:pPr>
            <w:r>
              <w:rPr>
                <w:rFonts w:ascii="Arial" w:cs="Arial" w:eastAsia="Arial" w:hAnsi="Arial"/>
                <w:sz w:val="20"/>
                <w:szCs w:val="20"/>
                <w:color w:val="auto"/>
              </w:rPr>
              <w:t>—</w:t>
            </w:r>
          </w:p>
        </w:tc>
        <w:tc>
          <w:tcPr>
            <w:tcW w:w="7360" w:type="dxa"/>
            <w:vAlign w:val="bottom"/>
          </w:tcPr>
          <w:p>
            <w:pPr>
              <w:ind w:left="380"/>
              <w:spacing w:after="0"/>
              <w:rPr>
                <w:sz w:val="20"/>
                <w:szCs w:val="20"/>
                <w:color w:val="auto"/>
              </w:rPr>
            </w:pPr>
            <w:r>
              <w:rPr>
                <w:rFonts w:ascii="Arial" w:cs="Arial" w:eastAsia="Arial" w:hAnsi="Arial"/>
                <w:sz w:val="20"/>
                <w:szCs w:val="20"/>
                <w:color w:val="auto"/>
              </w:rPr>
              <w:t>Notices</w:t>
            </w:r>
          </w:p>
        </w:tc>
        <w:tc>
          <w:tcPr>
            <w:tcW w:w="1180" w:type="dxa"/>
            <w:vAlign w:val="bottom"/>
          </w:tcPr>
          <w:p>
            <w:pPr>
              <w:spacing w:after="0"/>
              <w:rPr>
                <w:sz w:val="22"/>
                <w:szCs w:val="22"/>
                <w:color w:val="auto"/>
              </w:rPr>
            </w:pPr>
          </w:p>
        </w:tc>
      </w:tr>
      <w:tr>
        <w:trPr>
          <w:trHeight w:val="909"/>
        </w:trPr>
        <w:tc>
          <w:tcPr>
            <w:tcW w:w="2080" w:type="dxa"/>
            <w:vAlign w:val="bottom"/>
          </w:tcPr>
          <w:p>
            <w:pPr>
              <w:spacing w:after="0"/>
              <w:rPr>
                <w:sz w:val="20"/>
                <w:szCs w:val="20"/>
                <w:color w:val="auto"/>
              </w:rPr>
            </w:pPr>
            <w:r>
              <w:rPr>
                <w:rFonts w:ascii="Arial" w:cs="Arial" w:eastAsia="Arial" w:hAnsi="Arial"/>
                <w:sz w:val="22"/>
                <w:szCs w:val="22"/>
                <w:color w:val="auto"/>
              </w:rPr>
              <w:t>EXHIBITS:</w:t>
            </w:r>
          </w:p>
        </w:tc>
        <w:tc>
          <w:tcPr>
            <w:tcW w:w="6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2"/>
        </w:trPr>
        <w:tc>
          <w:tcPr>
            <w:tcW w:w="2080" w:type="dxa"/>
            <w:vAlign w:val="bottom"/>
          </w:tcPr>
          <w:p>
            <w:pPr>
              <w:ind w:left="160"/>
              <w:spacing w:after="0"/>
              <w:rPr>
                <w:sz w:val="20"/>
                <w:szCs w:val="20"/>
                <w:color w:val="auto"/>
              </w:rPr>
            </w:pPr>
            <w:r>
              <w:rPr>
                <w:rFonts w:ascii="Arial" w:cs="Arial" w:eastAsia="Arial" w:hAnsi="Arial"/>
                <w:sz w:val="20"/>
                <w:szCs w:val="20"/>
                <w:color w:val="auto"/>
              </w:rPr>
              <w:t>Exhibit A</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Assignment and Assumption</w:t>
            </w:r>
          </w:p>
        </w:tc>
        <w:tc>
          <w:tcPr>
            <w:tcW w:w="1180" w:type="dxa"/>
            <w:vAlign w:val="bottom"/>
          </w:tcPr>
          <w:p>
            <w:pPr>
              <w:spacing w:after="0"/>
              <w:rPr>
                <w:sz w:val="24"/>
                <w:szCs w:val="24"/>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B</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Guarantee Agreement</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C-1</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Notice of Borrowing</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C-2</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[Reserved]</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D</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Collateral Agreement</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E-1</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Pari Passu Intercreditor Agreement</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E-2</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[Reserved]</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E-3</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Junior Intercreditor Agreement</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F</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Intercompany Note</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G</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Specified Discount Prepayment Notice</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H</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Specified Discount Prepayment Response</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I</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Discount Range Prepayment Notice</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J</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Discount Range Prepayment Offer</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K</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Solicited Discounted Prepayment Notice</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L</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Solicited Discounted Prepayment Offer</w:t>
            </w:r>
          </w:p>
        </w:tc>
        <w:tc>
          <w:tcPr>
            <w:tcW w:w="1180" w:type="dxa"/>
            <w:vAlign w:val="bottom"/>
          </w:tcPr>
          <w:p>
            <w:pPr>
              <w:spacing w:after="0"/>
              <w:rPr>
                <w:sz w:val="22"/>
                <w:szCs w:val="22"/>
                <w:color w:val="auto"/>
              </w:rPr>
            </w:pPr>
          </w:p>
        </w:tc>
      </w:tr>
      <w:tr>
        <w:trPr>
          <w:trHeight w:val="256"/>
        </w:trPr>
        <w:tc>
          <w:tcPr>
            <w:tcW w:w="2080" w:type="dxa"/>
            <w:vAlign w:val="bottom"/>
          </w:tcPr>
          <w:p>
            <w:pPr>
              <w:ind w:left="160"/>
              <w:spacing w:after="0"/>
              <w:rPr>
                <w:sz w:val="20"/>
                <w:szCs w:val="20"/>
                <w:color w:val="auto"/>
              </w:rPr>
            </w:pPr>
            <w:r>
              <w:rPr>
                <w:rFonts w:ascii="Arial" w:cs="Arial" w:eastAsia="Arial" w:hAnsi="Arial"/>
                <w:sz w:val="20"/>
                <w:szCs w:val="20"/>
                <w:color w:val="auto"/>
              </w:rPr>
              <w:t>Exhibit M</w:t>
            </w:r>
          </w:p>
        </w:tc>
        <w:tc>
          <w:tcPr>
            <w:tcW w:w="600" w:type="dxa"/>
            <w:vAlign w:val="bottom"/>
          </w:tcPr>
          <w:p>
            <w:pPr>
              <w:ind w:left="60"/>
              <w:spacing w:after="0"/>
              <w:rPr>
                <w:sz w:val="20"/>
                <w:szCs w:val="20"/>
                <w:color w:val="auto"/>
              </w:rPr>
            </w:pPr>
            <w:r>
              <w:rPr>
                <w:rFonts w:ascii="Arial" w:cs="Arial" w:eastAsia="Arial" w:hAnsi="Arial"/>
                <w:sz w:val="20"/>
                <w:szCs w:val="20"/>
                <w:color w:val="auto"/>
              </w:rPr>
              <w:t>—</w:t>
            </w:r>
          </w:p>
        </w:tc>
        <w:tc>
          <w:tcPr>
            <w:tcW w:w="7360" w:type="dxa"/>
            <w:vAlign w:val="bottom"/>
          </w:tcPr>
          <w:p>
            <w:pPr>
              <w:ind w:left="360"/>
              <w:spacing w:after="0"/>
              <w:rPr>
                <w:sz w:val="20"/>
                <w:szCs w:val="20"/>
                <w:color w:val="auto"/>
              </w:rPr>
            </w:pPr>
            <w:r>
              <w:rPr>
                <w:rFonts w:ascii="Arial" w:cs="Arial" w:eastAsia="Arial" w:hAnsi="Arial"/>
                <w:sz w:val="20"/>
                <w:szCs w:val="20"/>
                <w:color w:val="auto"/>
              </w:rPr>
              <w:t>Form of Acceptance and Prepayment Notice</w:t>
            </w:r>
          </w:p>
        </w:tc>
        <w:tc>
          <w:tcPr>
            <w:tcW w:w="1180" w:type="dxa"/>
            <w:vAlign w:val="bottom"/>
          </w:tcPr>
          <w:p>
            <w:pPr>
              <w:spacing w:after="0"/>
              <w:rPr>
                <w:sz w:val="22"/>
                <w:szCs w:val="22"/>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50"/>
        </w:trPr>
        <w:tc>
          <w:tcPr>
            <w:tcW w:w="1460" w:type="dxa"/>
            <w:vAlign w:val="bottom"/>
          </w:tcPr>
          <w:p>
            <w:pPr>
              <w:spacing w:after="0"/>
              <w:rPr>
                <w:sz w:val="20"/>
                <w:szCs w:val="20"/>
                <w:color w:val="auto"/>
              </w:rPr>
            </w:pPr>
            <w:r>
              <w:rPr>
                <w:rFonts w:ascii="Arial" w:cs="Arial" w:eastAsia="Arial" w:hAnsi="Arial"/>
                <w:sz w:val="20"/>
                <w:szCs w:val="20"/>
                <w:color w:val="auto"/>
              </w:rPr>
              <w:t>Exhibit N-1</w:t>
            </w:r>
          </w:p>
        </w:tc>
        <w:tc>
          <w:tcPr>
            <w:tcW w:w="1060" w:type="dxa"/>
            <w:vAlign w:val="bottom"/>
          </w:tcPr>
          <w:p>
            <w:pPr>
              <w:ind w:left="520"/>
              <w:spacing w:after="0"/>
              <w:rPr>
                <w:sz w:val="20"/>
                <w:szCs w:val="20"/>
                <w:color w:val="auto"/>
              </w:rPr>
            </w:pPr>
            <w:r>
              <w:rPr>
                <w:rFonts w:ascii="Arial" w:cs="Arial" w:eastAsia="Arial" w:hAnsi="Arial"/>
                <w:sz w:val="20"/>
                <w:szCs w:val="20"/>
                <w:color w:val="auto"/>
              </w:rPr>
              <w:t>—</w:t>
            </w:r>
          </w:p>
        </w:tc>
        <w:tc>
          <w:tcPr>
            <w:tcW w:w="4500" w:type="dxa"/>
            <w:vAlign w:val="bottom"/>
          </w:tcPr>
          <w:p>
            <w:pPr>
              <w:ind w:left="360"/>
              <w:spacing w:after="0"/>
              <w:rPr>
                <w:sz w:val="20"/>
                <w:szCs w:val="20"/>
                <w:color w:val="auto"/>
              </w:rPr>
            </w:pPr>
            <w:r>
              <w:rPr>
                <w:rFonts w:ascii="Arial" w:cs="Arial" w:eastAsia="Arial" w:hAnsi="Arial"/>
                <w:sz w:val="20"/>
                <w:szCs w:val="20"/>
                <w:color w:val="auto"/>
                <w:w w:val="90"/>
              </w:rPr>
              <w:t>Form of United States Tax Compliance Certificate 1</w:t>
            </w:r>
          </w:p>
        </w:tc>
      </w:tr>
      <w:tr>
        <w:trPr>
          <w:trHeight w:val="256"/>
        </w:trPr>
        <w:tc>
          <w:tcPr>
            <w:tcW w:w="1460" w:type="dxa"/>
            <w:vAlign w:val="bottom"/>
          </w:tcPr>
          <w:p>
            <w:pPr>
              <w:spacing w:after="0"/>
              <w:rPr>
                <w:sz w:val="20"/>
                <w:szCs w:val="20"/>
                <w:color w:val="auto"/>
              </w:rPr>
            </w:pPr>
            <w:r>
              <w:rPr>
                <w:rFonts w:ascii="Arial" w:cs="Arial" w:eastAsia="Arial" w:hAnsi="Arial"/>
                <w:sz w:val="20"/>
                <w:szCs w:val="20"/>
                <w:color w:val="auto"/>
              </w:rPr>
              <w:t>Exhibit N-2</w:t>
            </w:r>
          </w:p>
        </w:tc>
        <w:tc>
          <w:tcPr>
            <w:tcW w:w="1060" w:type="dxa"/>
            <w:vAlign w:val="bottom"/>
          </w:tcPr>
          <w:p>
            <w:pPr>
              <w:ind w:left="520"/>
              <w:spacing w:after="0"/>
              <w:rPr>
                <w:sz w:val="20"/>
                <w:szCs w:val="20"/>
                <w:color w:val="auto"/>
              </w:rPr>
            </w:pPr>
            <w:r>
              <w:rPr>
                <w:rFonts w:ascii="Arial" w:cs="Arial" w:eastAsia="Arial" w:hAnsi="Arial"/>
                <w:sz w:val="20"/>
                <w:szCs w:val="20"/>
                <w:color w:val="auto"/>
              </w:rPr>
              <w:t>—</w:t>
            </w:r>
          </w:p>
        </w:tc>
        <w:tc>
          <w:tcPr>
            <w:tcW w:w="4500" w:type="dxa"/>
            <w:vAlign w:val="bottom"/>
          </w:tcPr>
          <w:p>
            <w:pPr>
              <w:ind w:left="360"/>
              <w:spacing w:after="0"/>
              <w:rPr>
                <w:sz w:val="20"/>
                <w:szCs w:val="20"/>
                <w:color w:val="auto"/>
              </w:rPr>
            </w:pPr>
            <w:r>
              <w:rPr>
                <w:rFonts w:ascii="Arial" w:cs="Arial" w:eastAsia="Arial" w:hAnsi="Arial"/>
                <w:sz w:val="20"/>
                <w:szCs w:val="20"/>
                <w:color w:val="auto"/>
                <w:w w:val="90"/>
              </w:rPr>
              <w:t>Form of United States Tax Compliance Certificate 2</w:t>
            </w:r>
          </w:p>
        </w:tc>
      </w:tr>
      <w:tr>
        <w:trPr>
          <w:trHeight w:val="256"/>
        </w:trPr>
        <w:tc>
          <w:tcPr>
            <w:tcW w:w="1460" w:type="dxa"/>
            <w:vAlign w:val="bottom"/>
          </w:tcPr>
          <w:p>
            <w:pPr>
              <w:spacing w:after="0"/>
              <w:rPr>
                <w:sz w:val="20"/>
                <w:szCs w:val="20"/>
                <w:color w:val="auto"/>
              </w:rPr>
            </w:pPr>
            <w:r>
              <w:rPr>
                <w:rFonts w:ascii="Arial" w:cs="Arial" w:eastAsia="Arial" w:hAnsi="Arial"/>
                <w:sz w:val="20"/>
                <w:szCs w:val="20"/>
                <w:color w:val="auto"/>
              </w:rPr>
              <w:t>Exhibit N-3</w:t>
            </w:r>
          </w:p>
        </w:tc>
        <w:tc>
          <w:tcPr>
            <w:tcW w:w="1060" w:type="dxa"/>
            <w:vAlign w:val="bottom"/>
          </w:tcPr>
          <w:p>
            <w:pPr>
              <w:ind w:left="520"/>
              <w:spacing w:after="0"/>
              <w:rPr>
                <w:sz w:val="20"/>
                <w:szCs w:val="20"/>
                <w:color w:val="auto"/>
              </w:rPr>
            </w:pPr>
            <w:r>
              <w:rPr>
                <w:rFonts w:ascii="Arial" w:cs="Arial" w:eastAsia="Arial" w:hAnsi="Arial"/>
                <w:sz w:val="20"/>
                <w:szCs w:val="20"/>
                <w:color w:val="auto"/>
              </w:rPr>
              <w:t>—</w:t>
            </w:r>
          </w:p>
        </w:tc>
        <w:tc>
          <w:tcPr>
            <w:tcW w:w="4500" w:type="dxa"/>
            <w:vAlign w:val="bottom"/>
          </w:tcPr>
          <w:p>
            <w:pPr>
              <w:ind w:left="360"/>
              <w:spacing w:after="0"/>
              <w:rPr>
                <w:sz w:val="20"/>
                <w:szCs w:val="20"/>
                <w:color w:val="auto"/>
              </w:rPr>
            </w:pPr>
            <w:r>
              <w:rPr>
                <w:rFonts w:ascii="Arial" w:cs="Arial" w:eastAsia="Arial" w:hAnsi="Arial"/>
                <w:sz w:val="20"/>
                <w:szCs w:val="20"/>
                <w:color w:val="auto"/>
                <w:w w:val="90"/>
              </w:rPr>
              <w:t>Form of United States Tax Compliance Certificate 3</w:t>
            </w:r>
          </w:p>
        </w:tc>
      </w:tr>
      <w:tr>
        <w:trPr>
          <w:trHeight w:val="256"/>
        </w:trPr>
        <w:tc>
          <w:tcPr>
            <w:tcW w:w="1460" w:type="dxa"/>
            <w:vAlign w:val="bottom"/>
          </w:tcPr>
          <w:p>
            <w:pPr>
              <w:spacing w:after="0"/>
              <w:rPr>
                <w:sz w:val="20"/>
                <w:szCs w:val="20"/>
                <w:color w:val="auto"/>
              </w:rPr>
            </w:pPr>
            <w:r>
              <w:rPr>
                <w:rFonts w:ascii="Arial" w:cs="Arial" w:eastAsia="Arial" w:hAnsi="Arial"/>
                <w:sz w:val="20"/>
                <w:szCs w:val="20"/>
                <w:color w:val="auto"/>
              </w:rPr>
              <w:t>Exhibit N-4</w:t>
            </w:r>
          </w:p>
        </w:tc>
        <w:tc>
          <w:tcPr>
            <w:tcW w:w="1060" w:type="dxa"/>
            <w:vAlign w:val="bottom"/>
          </w:tcPr>
          <w:p>
            <w:pPr>
              <w:ind w:left="520"/>
              <w:spacing w:after="0"/>
              <w:rPr>
                <w:sz w:val="20"/>
                <w:szCs w:val="20"/>
                <w:color w:val="auto"/>
              </w:rPr>
            </w:pPr>
            <w:r>
              <w:rPr>
                <w:rFonts w:ascii="Arial" w:cs="Arial" w:eastAsia="Arial" w:hAnsi="Arial"/>
                <w:sz w:val="20"/>
                <w:szCs w:val="20"/>
                <w:color w:val="auto"/>
              </w:rPr>
              <w:t>—</w:t>
            </w:r>
          </w:p>
        </w:tc>
        <w:tc>
          <w:tcPr>
            <w:tcW w:w="4500" w:type="dxa"/>
            <w:vAlign w:val="bottom"/>
          </w:tcPr>
          <w:p>
            <w:pPr>
              <w:ind w:left="360"/>
              <w:spacing w:after="0"/>
              <w:rPr>
                <w:sz w:val="20"/>
                <w:szCs w:val="20"/>
                <w:color w:val="auto"/>
              </w:rPr>
            </w:pPr>
            <w:r>
              <w:rPr>
                <w:rFonts w:ascii="Arial" w:cs="Arial" w:eastAsia="Arial" w:hAnsi="Arial"/>
                <w:sz w:val="20"/>
                <w:szCs w:val="20"/>
                <w:color w:val="auto"/>
                <w:w w:val="90"/>
              </w:rPr>
              <w:t>Form of United States Tax Compliance Certificate 4</w:t>
            </w:r>
          </w:p>
        </w:tc>
      </w:tr>
      <w:tr>
        <w:trPr>
          <w:trHeight w:val="256"/>
        </w:trPr>
        <w:tc>
          <w:tcPr>
            <w:tcW w:w="1460" w:type="dxa"/>
            <w:vAlign w:val="bottom"/>
          </w:tcPr>
          <w:p>
            <w:pPr>
              <w:spacing w:after="0"/>
              <w:rPr>
                <w:sz w:val="20"/>
                <w:szCs w:val="20"/>
                <w:color w:val="auto"/>
              </w:rPr>
            </w:pPr>
            <w:r>
              <w:rPr>
                <w:rFonts w:ascii="Arial" w:cs="Arial" w:eastAsia="Arial" w:hAnsi="Arial"/>
                <w:sz w:val="20"/>
                <w:szCs w:val="20"/>
                <w:color w:val="auto"/>
              </w:rPr>
              <w:t>Exhibit O</w:t>
            </w:r>
          </w:p>
        </w:tc>
        <w:tc>
          <w:tcPr>
            <w:tcW w:w="1060" w:type="dxa"/>
            <w:vAlign w:val="bottom"/>
          </w:tcPr>
          <w:p>
            <w:pPr>
              <w:ind w:left="520"/>
              <w:spacing w:after="0"/>
              <w:rPr>
                <w:sz w:val="20"/>
                <w:szCs w:val="20"/>
                <w:color w:val="auto"/>
              </w:rPr>
            </w:pPr>
            <w:r>
              <w:rPr>
                <w:rFonts w:ascii="Arial" w:cs="Arial" w:eastAsia="Arial" w:hAnsi="Arial"/>
                <w:sz w:val="20"/>
                <w:szCs w:val="20"/>
                <w:color w:val="auto"/>
              </w:rPr>
              <w:t>—</w:t>
            </w:r>
          </w:p>
        </w:tc>
        <w:tc>
          <w:tcPr>
            <w:tcW w:w="4500" w:type="dxa"/>
            <w:vAlign w:val="bottom"/>
          </w:tcPr>
          <w:p>
            <w:pPr>
              <w:ind w:left="360"/>
              <w:spacing w:after="0"/>
              <w:rPr>
                <w:sz w:val="20"/>
                <w:szCs w:val="20"/>
                <w:color w:val="auto"/>
              </w:rPr>
            </w:pPr>
            <w:r>
              <w:rPr>
                <w:rFonts w:ascii="Arial" w:cs="Arial" w:eastAsia="Arial" w:hAnsi="Arial"/>
                <w:sz w:val="20"/>
                <w:szCs w:val="20"/>
                <w:color w:val="auto"/>
              </w:rPr>
              <w:t>Form of Note</w:t>
            </w:r>
          </w:p>
        </w:tc>
      </w:tr>
      <w:tr>
        <w:trPr>
          <w:trHeight w:val="256"/>
        </w:trPr>
        <w:tc>
          <w:tcPr>
            <w:tcW w:w="1460" w:type="dxa"/>
            <w:vAlign w:val="bottom"/>
          </w:tcPr>
          <w:p>
            <w:pPr>
              <w:spacing w:after="0"/>
              <w:rPr>
                <w:sz w:val="20"/>
                <w:szCs w:val="20"/>
                <w:color w:val="auto"/>
              </w:rPr>
            </w:pPr>
            <w:r>
              <w:rPr>
                <w:rFonts w:ascii="Arial" w:cs="Arial" w:eastAsia="Arial" w:hAnsi="Arial"/>
                <w:sz w:val="20"/>
                <w:szCs w:val="20"/>
                <w:color w:val="auto"/>
              </w:rPr>
              <w:t>Exhibit P</w:t>
            </w:r>
          </w:p>
        </w:tc>
        <w:tc>
          <w:tcPr>
            <w:tcW w:w="1060" w:type="dxa"/>
            <w:vAlign w:val="bottom"/>
          </w:tcPr>
          <w:p>
            <w:pPr>
              <w:ind w:left="520"/>
              <w:spacing w:after="0"/>
              <w:rPr>
                <w:sz w:val="20"/>
                <w:szCs w:val="20"/>
                <w:color w:val="auto"/>
              </w:rPr>
            </w:pPr>
            <w:r>
              <w:rPr>
                <w:rFonts w:ascii="Arial" w:cs="Arial" w:eastAsia="Arial" w:hAnsi="Arial"/>
                <w:sz w:val="20"/>
                <w:szCs w:val="20"/>
                <w:color w:val="auto"/>
              </w:rPr>
              <w:t>—</w:t>
            </w:r>
          </w:p>
        </w:tc>
        <w:tc>
          <w:tcPr>
            <w:tcW w:w="4500" w:type="dxa"/>
            <w:vAlign w:val="bottom"/>
          </w:tcPr>
          <w:p>
            <w:pPr>
              <w:ind w:left="360"/>
              <w:spacing w:after="0"/>
              <w:rPr>
                <w:sz w:val="20"/>
                <w:szCs w:val="20"/>
                <w:color w:val="auto"/>
              </w:rPr>
            </w:pPr>
            <w:r>
              <w:rPr>
                <w:rFonts w:ascii="Arial" w:cs="Arial" w:eastAsia="Arial" w:hAnsi="Arial"/>
                <w:sz w:val="20"/>
                <w:szCs w:val="20"/>
                <w:color w:val="auto"/>
              </w:rPr>
              <w:t>Form of Solvency Certificate</w:t>
            </w:r>
          </w:p>
        </w:tc>
      </w:tr>
      <w:tr>
        <w:trPr>
          <w:trHeight w:val="256"/>
        </w:trPr>
        <w:tc>
          <w:tcPr>
            <w:tcW w:w="1460" w:type="dxa"/>
            <w:vAlign w:val="bottom"/>
          </w:tcPr>
          <w:p>
            <w:pPr>
              <w:spacing w:after="0"/>
              <w:rPr>
                <w:sz w:val="20"/>
                <w:szCs w:val="20"/>
                <w:color w:val="auto"/>
              </w:rPr>
            </w:pPr>
            <w:r>
              <w:rPr>
                <w:rFonts w:ascii="Arial" w:cs="Arial" w:eastAsia="Arial" w:hAnsi="Arial"/>
                <w:sz w:val="20"/>
                <w:szCs w:val="20"/>
                <w:color w:val="auto"/>
              </w:rPr>
              <w:t>Exhibit Q</w:t>
            </w:r>
          </w:p>
        </w:tc>
        <w:tc>
          <w:tcPr>
            <w:tcW w:w="1060" w:type="dxa"/>
            <w:vAlign w:val="bottom"/>
          </w:tcPr>
          <w:p>
            <w:pPr>
              <w:ind w:left="520"/>
              <w:spacing w:after="0"/>
              <w:rPr>
                <w:sz w:val="20"/>
                <w:szCs w:val="20"/>
                <w:color w:val="auto"/>
              </w:rPr>
            </w:pPr>
            <w:r>
              <w:rPr>
                <w:rFonts w:ascii="Arial" w:cs="Arial" w:eastAsia="Arial" w:hAnsi="Arial"/>
                <w:sz w:val="20"/>
                <w:szCs w:val="20"/>
                <w:color w:val="auto"/>
              </w:rPr>
              <w:t>—</w:t>
            </w:r>
          </w:p>
        </w:tc>
        <w:tc>
          <w:tcPr>
            <w:tcW w:w="4500" w:type="dxa"/>
            <w:vAlign w:val="bottom"/>
          </w:tcPr>
          <w:p>
            <w:pPr>
              <w:ind w:left="360"/>
              <w:spacing w:after="0"/>
              <w:rPr>
                <w:sz w:val="20"/>
                <w:szCs w:val="20"/>
                <w:color w:val="auto"/>
              </w:rPr>
            </w:pPr>
            <w:r>
              <w:rPr>
                <w:rFonts w:ascii="Arial" w:cs="Arial" w:eastAsia="Arial" w:hAnsi="Arial"/>
                <w:sz w:val="20"/>
                <w:szCs w:val="20"/>
                <w:color w:val="auto"/>
              </w:rPr>
              <w:t>Form of Letter of Credit Request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168910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36" w:right="1440" w:bottom="1440" w:gutter="0" w:footer="0" w:header="0"/>
        </w:sectPr>
      </w:pPr>
    </w:p>
    <w:bookmarkStart w:id="145" w:name="page146"/>
    <w:bookmarkEnd w:id="145"/>
    <w:p>
      <w:pPr>
        <w:jc w:val="both"/>
        <w:ind w:right="120" w:firstLine="1499"/>
        <w:spacing w:after="0" w:line="246" w:lineRule="auto"/>
        <w:rPr>
          <w:sz w:val="20"/>
          <w:szCs w:val="20"/>
          <w:color w:val="auto"/>
        </w:rPr>
      </w:pPr>
      <w:r>
        <w:rPr>
          <w:rFonts w:ascii="Arial" w:cs="Arial" w:eastAsia="Arial" w:hAnsi="Arial"/>
          <w:sz w:val="20"/>
          <w:szCs w:val="20"/>
          <w:color w:val="auto"/>
        </w:rPr>
        <w:t>CREDIT AGREEMENT dated as of April 30, 2021 (as amended, restated, supplemented or otherwise modified from time to time, this “</w:t>
      </w:r>
      <w:r>
        <w:rPr>
          <w:rFonts w:ascii="Arial" w:cs="Arial" w:eastAsia="Arial" w:hAnsi="Arial"/>
          <w:sz w:val="20"/>
          <w:szCs w:val="20"/>
          <w:u w:val="single" w:color="auto"/>
          <w:color w:val="auto"/>
        </w:rPr>
        <w:t>Agreement</w:t>
      </w:r>
      <w:r>
        <w:rPr>
          <w:rFonts w:ascii="Arial" w:cs="Arial" w:eastAsia="Arial" w:hAnsi="Arial"/>
          <w:sz w:val="20"/>
          <w:szCs w:val="20"/>
          <w:color w:val="auto"/>
        </w:rPr>
        <w:t>”), among Gogo Inc., a Delaware corporation (“</w:t>
      </w:r>
      <w:r>
        <w:rPr>
          <w:rFonts w:ascii="Arial" w:cs="Arial" w:eastAsia="Arial" w:hAnsi="Arial"/>
          <w:sz w:val="20"/>
          <w:szCs w:val="20"/>
          <w:u w:val="single" w:color="auto"/>
          <w:color w:val="auto"/>
        </w:rPr>
        <w:t>Holdings</w:t>
      </w:r>
      <w:r>
        <w:rPr>
          <w:rFonts w:ascii="Arial" w:cs="Arial" w:eastAsia="Arial" w:hAnsi="Arial"/>
          <w:sz w:val="20"/>
          <w:szCs w:val="20"/>
          <w:color w:val="auto"/>
        </w:rPr>
        <w:t>”), Gogo Intermediate Holdings LLC, a Delaware limited liability company (“</w:t>
      </w:r>
      <w:r>
        <w:rPr>
          <w:rFonts w:ascii="Arial" w:cs="Arial" w:eastAsia="Arial" w:hAnsi="Arial"/>
          <w:sz w:val="20"/>
          <w:szCs w:val="20"/>
          <w:u w:val="single" w:color="auto"/>
          <w:color w:val="auto"/>
        </w:rPr>
        <w:t>Gogo</w:t>
      </w:r>
      <w:r>
        <w:rPr>
          <w:rFonts w:ascii="Arial" w:cs="Arial" w:eastAsia="Arial" w:hAnsi="Arial"/>
          <w:sz w:val="20"/>
          <w:szCs w:val="20"/>
          <w:color w:val="auto"/>
        </w:rPr>
        <w:t>” or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and Issuing Banks party hereto and Morgan Stanley Senior Funding, Inc., as Administrative Agent and Collateral Agent.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Statements</w:t>
      </w:r>
      <w:r>
        <w:rPr>
          <w:rFonts w:ascii="Arial" w:cs="Arial" w:eastAsia="Arial" w:hAnsi="Arial"/>
          <w:sz w:val="20"/>
          <w:szCs w:val="20"/>
          <w:color w:val="auto"/>
        </w:rPr>
        <w:t>:</w:t>
      </w:r>
    </w:p>
    <w:p>
      <w:pPr>
        <w:spacing w:after="0" w:line="22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WHEREAS, in order to finance the Debt Repayment and to provide for the working capital needs and general corporate requirements (including to finance permitted Investments, acquisitions, capital expenditures and Restricted Payments) of Holdings and its Restricted Subsidiaries, the Borrower has requested that the Lenders extend credit in the form of (a) Initial Term Loans in an aggregate principal amount of $725,000,000 on the Effective Date and (b) Revolving Loans at any time and from time to time prior to the Revolving Loan Maturity Date in an aggregate principal amount of up to $100,000,000.</w:t>
      </w:r>
    </w:p>
    <w:p>
      <w:pPr>
        <w:spacing w:after="0" w:line="205" w:lineRule="exact"/>
        <w:rPr>
          <w:sz w:val="20"/>
          <w:szCs w:val="20"/>
          <w:color w:val="auto"/>
        </w:rPr>
      </w:pPr>
    </w:p>
    <w:p>
      <w:pPr>
        <w:ind w:right="60" w:firstLine="749"/>
        <w:spacing w:after="0" w:line="252" w:lineRule="auto"/>
        <w:rPr>
          <w:sz w:val="20"/>
          <w:szCs w:val="20"/>
          <w:color w:val="auto"/>
        </w:rPr>
      </w:pPr>
      <w:r>
        <w:rPr>
          <w:rFonts w:ascii="Arial" w:cs="Arial" w:eastAsia="Arial" w:hAnsi="Arial"/>
          <w:sz w:val="20"/>
          <w:szCs w:val="20"/>
          <w:color w:val="auto"/>
        </w:rPr>
        <w:t>WHEREAS, the proceeds of the Loans borrowed on the Effective Date will be used to fund (x) any original issue discount or upfront fees in connection with the Loans (y) the Debt Repayment and (z) the Transaction Costs.</w:t>
      </w:r>
    </w:p>
    <w:p>
      <w:pPr>
        <w:spacing w:after="0" w:line="200" w:lineRule="exact"/>
        <w:rPr>
          <w:sz w:val="20"/>
          <w:szCs w:val="20"/>
          <w:color w:val="auto"/>
        </w:rPr>
      </w:pPr>
    </w:p>
    <w:p>
      <w:pPr>
        <w:spacing w:after="0" w:line="234" w:lineRule="exact"/>
        <w:rPr>
          <w:sz w:val="20"/>
          <w:szCs w:val="20"/>
          <w:color w:val="auto"/>
        </w:rPr>
      </w:pPr>
    </w:p>
    <w:p>
      <w:pPr>
        <w:ind w:right="60" w:firstLine="749"/>
        <w:spacing w:after="0" w:line="260" w:lineRule="auto"/>
        <w:rPr>
          <w:sz w:val="20"/>
          <w:szCs w:val="20"/>
          <w:color w:val="auto"/>
        </w:rPr>
      </w:pPr>
      <w:r>
        <w:rPr>
          <w:rFonts w:ascii="Arial" w:cs="Arial" w:eastAsia="Arial" w:hAnsi="Arial"/>
          <w:sz w:val="20"/>
          <w:szCs w:val="20"/>
          <w:color w:val="auto"/>
        </w:rPr>
        <w:t>WHEREAS, the Borrower has requested that the Issuing Banks issue Letters of Credit to support certain obligations incurred by Holdings and its Restricted Subsidiaries.</w:t>
      </w:r>
    </w:p>
    <w:p>
      <w:pPr>
        <w:spacing w:after="0" w:line="203" w:lineRule="exact"/>
        <w:rPr>
          <w:sz w:val="20"/>
          <w:szCs w:val="20"/>
          <w:color w:val="auto"/>
        </w:rPr>
      </w:pPr>
    </w:p>
    <w:p>
      <w:pPr>
        <w:ind w:right="60" w:firstLine="749"/>
        <w:spacing w:after="0" w:line="260" w:lineRule="auto"/>
        <w:rPr>
          <w:sz w:val="20"/>
          <w:szCs w:val="20"/>
          <w:color w:val="auto"/>
        </w:rPr>
      </w:pPr>
      <w:r>
        <w:rPr>
          <w:rFonts w:ascii="Arial" w:cs="Arial" w:eastAsia="Arial" w:hAnsi="Arial"/>
          <w:sz w:val="20"/>
          <w:szCs w:val="20"/>
          <w:color w:val="auto"/>
        </w:rPr>
        <w:t>WHEREAS, the Lenders and the Issuing Banks are willing to extend credit to the Borrower on the terms and subject to the conditions set forth herein.</w:t>
      </w:r>
    </w:p>
    <w:p>
      <w:pPr>
        <w:spacing w:after="0" w:line="203" w:lineRule="exact"/>
        <w:rPr>
          <w:sz w:val="20"/>
          <w:szCs w:val="20"/>
          <w:color w:val="auto"/>
        </w:rPr>
      </w:pPr>
    </w:p>
    <w:p>
      <w:pPr>
        <w:ind w:right="80" w:firstLine="749"/>
        <w:spacing w:after="0" w:line="260" w:lineRule="auto"/>
        <w:rPr>
          <w:sz w:val="20"/>
          <w:szCs w:val="20"/>
          <w:color w:val="auto"/>
        </w:rPr>
      </w:pPr>
      <w:r>
        <w:rPr>
          <w:rFonts w:ascii="Arial" w:cs="Arial" w:eastAsia="Arial" w:hAnsi="Arial"/>
          <w:sz w:val="20"/>
          <w:szCs w:val="20"/>
          <w:color w:val="auto"/>
        </w:rPr>
        <w:t>NOW THEREFORE, in consideration of the mutual covenants and agreements herein contained, the parties hereto covenant and agree as follows: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323" w:lineRule="exact"/>
        <w:rPr>
          <w:sz w:val="20"/>
          <w:szCs w:val="20"/>
          <w:color w:val="auto"/>
        </w:rPr>
      </w:pPr>
    </w:p>
    <w:p>
      <w:pPr>
        <w:jc w:val="center"/>
        <w:ind w:right="-139"/>
        <w:spacing w:after="0"/>
        <w:tabs>
          <w:tab w:leader="none" w:pos="340" w:val="left"/>
        </w:tabs>
        <w:rPr>
          <w:sz w:val="20"/>
          <w:szCs w:val="20"/>
          <w:color w:val="auto"/>
        </w:rPr>
      </w:pPr>
      <w:r>
        <w:rPr>
          <w:rFonts w:ascii="Arial" w:cs="Arial" w:eastAsia="Arial" w:hAnsi="Arial"/>
          <w:sz w:val="20"/>
          <w:szCs w:val="20"/>
          <w:color w:val="010000"/>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42" w:lineRule="exact"/>
        <w:rPr>
          <w:sz w:val="20"/>
          <w:szCs w:val="20"/>
          <w:color w:val="auto"/>
        </w:rPr>
      </w:pPr>
    </w:p>
    <w:p>
      <w:pPr>
        <w:ind w:left="1500" w:right="560"/>
        <w:spacing w:after="0" w:line="260" w:lineRule="auto"/>
        <w:rPr>
          <w:sz w:val="20"/>
          <w:szCs w:val="20"/>
          <w:color w:val="auto"/>
        </w:rPr>
      </w:pPr>
      <w:r>
        <w:rPr>
          <w:rFonts w:ascii="Arial" w:cs="Arial" w:eastAsia="Arial" w:hAnsi="Arial"/>
          <w:sz w:val="20"/>
          <w:szCs w:val="20"/>
          <w:color w:val="auto"/>
        </w:rPr>
        <w:t>As used in this Agreement, the following terms have the meanings specified below: “</w:t>
      </w:r>
      <w:r>
        <w:rPr>
          <w:rFonts w:ascii="Arial" w:cs="Arial" w:eastAsia="Arial" w:hAnsi="Arial"/>
          <w:sz w:val="20"/>
          <w:szCs w:val="20"/>
          <w:u w:val="single" w:color="auto"/>
          <w:color w:val="auto"/>
        </w:rPr>
        <w:t>2020 Q4 EBITDA</w:t>
      </w:r>
      <w:r>
        <w:rPr>
          <w:rFonts w:ascii="Arial" w:cs="Arial" w:eastAsia="Arial" w:hAnsi="Arial"/>
          <w:sz w:val="20"/>
          <w:szCs w:val="20"/>
          <w:color w:val="auto"/>
        </w:rPr>
        <w:t xml:space="preserve"> </w:t>
      </w:r>
      <w:r>
        <w:rPr>
          <w:rFonts w:ascii="Arial" w:cs="Arial" w:eastAsia="Arial" w:hAnsi="Arial"/>
          <w:sz w:val="20"/>
          <w:szCs w:val="20"/>
          <w:u w:val="single" w:color="auto"/>
          <w:color w:val="auto"/>
        </w:rPr>
        <w:t>Amount</w:t>
      </w:r>
      <w:r>
        <w:rPr>
          <w:rFonts w:ascii="Arial" w:cs="Arial" w:eastAsia="Arial" w:hAnsi="Arial"/>
          <w:sz w:val="20"/>
          <w:szCs w:val="20"/>
          <w:color w:val="auto"/>
        </w:rPr>
        <w:t>” shall mean $35,000,000.</w:t>
      </w:r>
    </w:p>
    <w:p>
      <w:pPr>
        <w:spacing w:after="0" w:line="176" w:lineRule="exact"/>
        <w:rPr>
          <w:sz w:val="20"/>
          <w:szCs w:val="20"/>
          <w:color w:val="auto"/>
        </w:rPr>
      </w:pPr>
    </w:p>
    <w:p>
      <w:pPr>
        <w:ind w:right="6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0"/>
          <w:szCs w:val="20"/>
          <w:b w:val="1"/>
          <w:bCs w:val="1"/>
          <w:u w:val="single" w:color="auto"/>
          <w:color w:val="0000FF"/>
        </w:rPr>
        <w:t>“ABR Term SOFR Determination Day” has the meaning specified in the definition of “Term SOFR”.</w:t>
      </w:r>
    </w:p>
    <w:p>
      <w:pPr>
        <w:spacing w:after="0" w:line="329" w:lineRule="exact"/>
        <w:rPr>
          <w:sz w:val="20"/>
          <w:szCs w:val="20"/>
          <w:color w:val="auto"/>
        </w:rPr>
      </w:pPr>
    </w:p>
    <w:p>
      <w:pPr>
        <w:ind w:left="1500"/>
        <w:spacing w:after="0"/>
        <w:tabs>
          <w:tab w:leader="none" w:pos="2660" w:val="left"/>
          <w:tab w:leader="none" w:pos="3840" w:val="left"/>
          <w:tab w:leader="none" w:pos="4640" w:val="left"/>
          <w:tab w:leader="none" w:pos="6620" w:val="left"/>
        </w:tabs>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Acceptable</w:t>
      </w:r>
      <w:r>
        <w:rPr>
          <w:sz w:val="20"/>
          <w:szCs w:val="20"/>
          <w:color w:val="auto"/>
        </w:rPr>
        <w:tab/>
      </w:r>
      <w:r>
        <w:rPr>
          <w:rFonts w:ascii="Arial" w:cs="Arial" w:eastAsia="Arial" w:hAnsi="Arial"/>
          <w:sz w:val="20"/>
          <w:szCs w:val="20"/>
          <w:u w:val="single" w:color="auto"/>
          <w:color w:val="auto"/>
        </w:rPr>
        <w:t>Discount</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has  the</w:t>
        <w:tab/>
        <w:t>meaning assigned to</w:t>
      </w:r>
      <w:r>
        <w:rPr>
          <w:sz w:val="20"/>
          <w:szCs w:val="20"/>
          <w:color w:val="auto"/>
        </w:rPr>
        <w:tab/>
      </w:r>
      <w:r>
        <w:rPr>
          <w:rFonts w:ascii="Arial" w:cs="Arial" w:eastAsia="Arial" w:hAnsi="Arial"/>
          <w:sz w:val="18"/>
          <w:szCs w:val="18"/>
          <w:color w:val="auto"/>
        </w:rPr>
        <w:t>such term in Section 2.11(a)(ii)(D)(2).</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Acceptable Prepayment Amount</w:t>
      </w:r>
      <w:r>
        <w:rPr>
          <w:rFonts w:ascii="Arial" w:cs="Arial" w:eastAsia="Arial" w:hAnsi="Arial"/>
          <w:sz w:val="20"/>
          <w:szCs w:val="20"/>
          <w:color w:val="auto"/>
        </w:rPr>
        <w:t>” has the meaning assigned to such term in Section 2.11(a)(ii)(D)(3).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297180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77" w:right="499" w:bottom="1440" w:gutter="0" w:footer="0" w:header="0"/>
        </w:sectPr>
      </w:pPr>
    </w:p>
    <w:bookmarkStart w:id="146" w:name="page147"/>
    <w:bookmarkEnd w:id="146"/>
    <w:p>
      <w:pPr>
        <w:ind w:left="5" w:right="18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Acceptance and Prepayment Notice</w:t>
      </w:r>
      <w:r>
        <w:rPr>
          <w:rFonts w:ascii="Arial" w:cs="Arial" w:eastAsia="Arial" w:hAnsi="Arial"/>
          <w:sz w:val="20"/>
          <w:szCs w:val="20"/>
          <w:color w:val="auto"/>
        </w:rPr>
        <w:t>” means an irrevocable written notice from a Term Lender accepting a Solicited Discounted Prepayment Offer to make a Discounted Term Loan Prepayment at the Acceptable Discount specified therein pursuant to Section 2.11(a)(ii)(D) substantially in the form of Exhibit M.</w:t>
      </w:r>
    </w:p>
    <w:p>
      <w:pPr>
        <w:spacing w:after="0" w:line="188" w:lineRule="exact"/>
        <w:rPr>
          <w:sz w:val="20"/>
          <w:szCs w:val="20"/>
          <w:color w:val="auto"/>
        </w:rPr>
      </w:pPr>
    </w:p>
    <w:p>
      <w:pPr>
        <w:ind w:left="1505"/>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Acceptance Date</w:t>
      </w:r>
      <w:r>
        <w:rPr>
          <w:rFonts w:ascii="Arial" w:cs="Arial" w:eastAsia="Arial" w:hAnsi="Arial"/>
          <w:sz w:val="20"/>
          <w:szCs w:val="20"/>
          <w:color w:val="auto"/>
        </w:rPr>
        <w:t>” has the meaning specified in Section 2.11(a)(ii)(D)(2).</w:t>
      </w:r>
    </w:p>
    <w:p>
      <w:pPr>
        <w:spacing w:after="0" w:line="215" w:lineRule="exact"/>
        <w:rPr>
          <w:sz w:val="20"/>
          <w:szCs w:val="20"/>
          <w:color w:val="auto"/>
        </w:rPr>
      </w:pPr>
    </w:p>
    <w:p>
      <w:pPr>
        <w:ind w:left="1505"/>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Accepting Lenders</w:t>
      </w:r>
      <w:r>
        <w:rPr>
          <w:rFonts w:ascii="Arial" w:cs="Arial" w:eastAsia="Arial" w:hAnsi="Arial"/>
          <w:sz w:val="20"/>
          <w:szCs w:val="20"/>
          <w:color w:val="auto"/>
        </w:rPr>
        <w:t>” has the meaning specified in Section 2.24(a).</w:t>
      </w:r>
    </w:p>
    <w:p>
      <w:pPr>
        <w:spacing w:after="0" w:line="215" w:lineRule="exact"/>
        <w:rPr>
          <w:sz w:val="20"/>
          <w:szCs w:val="20"/>
          <w:color w:val="auto"/>
        </w:rPr>
      </w:pPr>
    </w:p>
    <w:p>
      <w:pPr>
        <w:jc w:val="both"/>
        <w:ind w:left="5" w:right="20" w:firstLine="149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EBITDA</w:t>
      </w:r>
      <w:r>
        <w:rPr>
          <w:rFonts w:ascii="Arial" w:cs="Arial" w:eastAsia="Arial" w:hAnsi="Arial"/>
          <w:sz w:val="20"/>
          <w:szCs w:val="20"/>
          <w:color w:val="auto"/>
        </w:rPr>
        <w:t>” means, with respect to any Acquired Entity or Business or any Converted Restricted Subsidiary (any of the foregoing, a “</w:t>
      </w:r>
      <w:r>
        <w:rPr>
          <w:rFonts w:ascii="Arial" w:cs="Arial" w:eastAsia="Arial" w:hAnsi="Arial"/>
          <w:sz w:val="20"/>
          <w:szCs w:val="20"/>
          <w:u w:val="single" w:color="auto"/>
          <w:color w:val="auto"/>
        </w:rPr>
        <w:t>Pro Forma Entity</w:t>
      </w:r>
      <w:r>
        <w:rPr>
          <w:rFonts w:ascii="Arial" w:cs="Arial" w:eastAsia="Arial" w:hAnsi="Arial"/>
          <w:sz w:val="20"/>
          <w:szCs w:val="20"/>
          <w:color w:val="auto"/>
        </w:rPr>
        <w:t>”) for any period, the amount for such period of Consolidated EBITDA of such Pro Forma Entity (determined as if references to Holdings, the Borrower and the Restricted Subsidiaries in the definition of “Consolidated EBITDA” were references to such Pro Forma Entity and its subsidiaries that will become Restricted Subsidiaries), all as determined on a consolidated basis for such Pro Forma Entity.</w:t>
      </w:r>
    </w:p>
    <w:p>
      <w:pPr>
        <w:spacing w:after="0" w:line="193" w:lineRule="exact"/>
        <w:rPr>
          <w:sz w:val="20"/>
          <w:szCs w:val="20"/>
          <w:color w:val="auto"/>
        </w:rPr>
      </w:pPr>
    </w:p>
    <w:p>
      <w:pPr>
        <w:ind w:left="150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Entity or Business</w:t>
      </w:r>
      <w:r>
        <w:rPr>
          <w:rFonts w:ascii="Arial" w:cs="Arial" w:eastAsia="Arial" w:hAnsi="Arial"/>
          <w:sz w:val="19"/>
          <w:szCs w:val="19"/>
          <w:color w:val="auto"/>
        </w:rPr>
        <w:t>” has the meaning given such term in the definition of “Consolidated EBITDA.”</w:t>
      </w:r>
    </w:p>
    <w:p>
      <w:pPr>
        <w:spacing w:after="0" w:line="226" w:lineRule="exact"/>
        <w:rPr>
          <w:sz w:val="20"/>
          <w:szCs w:val="20"/>
          <w:color w:val="auto"/>
        </w:rPr>
      </w:pPr>
    </w:p>
    <w:p>
      <w:pPr>
        <w:ind w:left="1505"/>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Lender</w:t>
      </w:r>
      <w:r>
        <w:rPr>
          <w:rFonts w:ascii="Arial" w:cs="Arial" w:eastAsia="Arial" w:hAnsi="Arial"/>
          <w:sz w:val="20"/>
          <w:szCs w:val="20"/>
          <w:color w:val="auto"/>
        </w:rPr>
        <w:t>” means any Additional Revolving Lender or any Additional Term Lender, as applicable.</w:t>
      </w:r>
    </w:p>
    <w:p>
      <w:pPr>
        <w:spacing w:after="0" w:line="215" w:lineRule="exact"/>
        <w:rPr>
          <w:sz w:val="20"/>
          <w:szCs w:val="20"/>
          <w:color w:val="auto"/>
        </w:rPr>
      </w:pPr>
    </w:p>
    <w:p>
      <w:pPr>
        <w:jc w:val="both"/>
        <w:ind w:left="5" w:right="20" w:firstLine="14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Lender</w:t>
      </w:r>
      <w:r>
        <w:rPr>
          <w:rFonts w:ascii="Arial" w:cs="Arial" w:eastAsia="Arial" w:hAnsi="Arial"/>
          <w:sz w:val="18"/>
          <w:szCs w:val="18"/>
          <w:color w:val="auto"/>
        </w:rPr>
        <w:t>” means, at any time, any bank, financial institution or other institutional lender or investor (other than any natural person) that agrees to provide any portion of any (a) Incremental Revolving Commitment Increase or Additional/Replacement Revolving Commitments pursuant to an Incremental Facility Amendment in accordance with Section 2.20 or</w:t>
      </w:r>
    </w:p>
    <w:p>
      <w:pPr>
        <w:spacing w:after="0" w:line="3" w:lineRule="exact"/>
        <w:rPr>
          <w:sz w:val="20"/>
          <w:szCs w:val="20"/>
          <w:color w:val="auto"/>
        </w:rPr>
      </w:pPr>
    </w:p>
    <w:p>
      <w:pPr>
        <w:jc w:val="both"/>
        <w:ind w:left="5" w:right="20" w:hanging="5"/>
        <w:spacing w:after="0" w:line="255" w:lineRule="auto"/>
        <w:tabs>
          <w:tab w:leader="none" w:pos="298"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Credit Agreement Refinancing Indebtedness pursuant to a Refinancing Amendment in accordance with Section 2.21;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Additional Revolving Lender shall be subject to the approval of the Administrative Agent (and, if such Additional Revolving Lender will provide an Incremental Revolving Commitment Increase or any Additional/Replacement Revolving Commitment, each Issuing Bank), in each case only if such consent would be required under Section 9.04(b) for an assignment of Revolving Loans or Revolving Commitments, as applicable, to such bank, financial institution or other institutional lender or investor (such approval in each case not to be unreasonably withheld, conditioned or delayed) and the Borrower.</w:t>
      </w:r>
    </w:p>
    <w:p>
      <w:pPr>
        <w:spacing w:after="0" w:line="182" w:lineRule="exact"/>
        <w:rPr>
          <w:sz w:val="20"/>
          <w:szCs w:val="20"/>
          <w:color w:val="auto"/>
        </w:rPr>
      </w:pPr>
    </w:p>
    <w:p>
      <w:pPr>
        <w:ind w:left="5" w:right="40" w:firstLine="1499"/>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Term Lender</w:t>
      </w:r>
      <w:r>
        <w:rPr>
          <w:rFonts w:ascii="Arial" w:cs="Arial" w:eastAsia="Arial" w:hAnsi="Arial"/>
          <w:sz w:val="20"/>
          <w:szCs w:val="20"/>
          <w:color w:val="auto"/>
        </w:rPr>
        <w:t>” means, at any time, any bank, financial institution or other institutional lender or investor (other than any natural person) that agrees to provide any portion of any</w:t>
      </w:r>
    </w:p>
    <w:p>
      <w:pPr>
        <w:spacing w:after="0" w:line="1" w:lineRule="exact"/>
        <w:rPr>
          <w:sz w:val="20"/>
          <w:szCs w:val="20"/>
          <w:color w:val="auto"/>
        </w:rPr>
      </w:pPr>
    </w:p>
    <w:p>
      <w:pPr>
        <w:jc w:val="both"/>
        <w:ind w:left="5" w:hanging="5"/>
        <w:spacing w:after="0" w:line="241" w:lineRule="auto"/>
        <w:tabs>
          <w:tab w:leader="none" w:pos="290"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Incremental Term Loans pursuant to an Incremental Facility Amendment in accordance with Section 2.20 or (b) Credit Agreement Refinancing Indebtedness pursuant to a Refinancing Amendment in accordance with Section 2.21;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Additional Term Lender shall be subject to the approval of the Borrower.</w:t>
      </w:r>
    </w:p>
    <w:p>
      <w:pPr>
        <w:spacing w:after="0" w:line="195" w:lineRule="exact"/>
        <w:rPr>
          <w:sz w:val="20"/>
          <w:szCs w:val="20"/>
          <w:color w:val="auto"/>
        </w:rPr>
      </w:pPr>
    </w:p>
    <w:p>
      <w:pPr>
        <w:ind w:left="150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Additional/Replacement Revolving Commitment</w:t>
      </w:r>
      <w:r>
        <w:rPr>
          <w:rFonts w:ascii="Arial" w:cs="Arial" w:eastAsia="Arial" w:hAnsi="Arial"/>
          <w:sz w:val="19"/>
          <w:szCs w:val="19"/>
          <w:color w:val="auto"/>
        </w:rPr>
        <w:t>” has the meaning assigned to such term in Section 2.20(a).</w:t>
      </w:r>
    </w:p>
    <w:p>
      <w:pPr>
        <w:spacing w:after="0" w:line="200" w:lineRule="exact"/>
        <w:rPr>
          <w:sz w:val="20"/>
          <w:szCs w:val="20"/>
          <w:color w:val="auto"/>
        </w:rPr>
      </w:pP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66040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5"/>
          </w:cols>
          <w:pgMar w:left="495" w:top="325" w:right="519" w:bottom="1440" w:gutter="0" w:footer="0" w:header="0"/>
        </w:sectPr>
      </w:pPr>
    </w:p>
    <w:bookmarkStart w:id="147" w:name="page148"/>
    <w:bookmarkEnd w:id="147"/>
    <w:p>
      <w:pPr>
        <w:jc w:val="both"/>
        <w:ind w:right="100" w:firstLine="1499"/>
        <w:spacing w:after="0" w:line="248" w:lineRule="auto"/>
        <w:rPr>
          <w:sz w:val="20"/>
          <w:szCs w:val="20"/>
          <w:color w:val="auto"/>
        </w:rPr>
      </w:pPr>
      <w:r>
        <w:rPr>
          <w:rFonts w:ascii="Arial" w:cs="Arial" w:eastAsia="Arial" w:hAnsi="Arial"/>
          <w:sz w:val="20"/>
          <w:szCs w:val="20"/>
          <w:b w:val="1"/>
          <w:bCs w:val="1"/>
          <w:u w:val="single" w:color="auto"/>
          <w:color w:val="0000FF"/>
        </w:rPr>
        <w:t>“Adjusted Daily Simple SOFR” shall mean an interest rate per annum equal to (a) the Daily Simple SOFR, plus (b) a percentage per annum as set forth below for the applicable Interest Period therefor; provided that if the Adjusted Daily Simple SOFR as so determined would be less than the Floor, such rate shall be deemed to be equal to the Floor for the purposes of this Agreement.</w:t>
      </w:r>
    </w:p>
    <w:p>
      <w:pPr>
        <w:spacing w:after="0" w:line="183" w:lineRule="exact"/>
        <w:rPr>
          <w:sz w:val="20"/>
          <w:szCs w:val="20"/>
          <w:color w:val="auto"/>
        </w:rPr>
      </w:pPr>
    </w:p>
    <w:tbl>
      <w:tblPr>
        <w:tblLayout w:type="fixed"/>
        <w:tblInd w:w="1430" w:type="dxa"/>
        <w:tblCellMar>
          <w:top w:w="0" w:type="dxa"/>
          <w:left w:w="0" w:type="dxa"/>
          <w:bottom w:w="0" w:type="dxa"/>
          <w:right w:w="0" w:type="dxa"/>
        </w:tblCellMar>
      </w:tblPr>
      <w:tr>
        <w:trPr>
          <w:trHeight w:val="219"/>
        </w:trPr>
        <w:tc>
          <w:tcPr>
            <w:tcW w:w="1200" w:type="dxa"/>
            <w:vAlign w:val="bottom"/>
            <w:tcBorders>
              <w:top w:val="single" w:sz="8" w:color="010101"/>
              <w:left w:val="single" w:sz="8" w:color="010101"/>
            </w:tcBorders>
            <w:shd w:val="clear" w:color="auto" w:fill="E6E6FA"/>
          </w:tcPr>
          <w:p>
            <w:pPr>
              <w:spacing w:after="0"/>
              <w:rPr>
                <w:sz w:val="19"/>
                <w:szCs w:val="19"/>
                <w:color w:val="auto"/>
              </w:rPr>
            </w:pPr>
          </w:p>
        </w:tc>
        <w:tc>
          <w:tcPr>
            <w:tcW w:w="2460" w:type="dxa"/>
            <w:vAlign w:val="bottom"/>
            <w:tcBorders>
              <w:top w:val="single" w:sz="8" w:color="010101"/>
              <w:right w:val="single" w:sz="8" w:color="010101"/>
            </w:tcBorders>
            <w:gridSpan w:val="6"/>
            <w:shd w:val="clear" w:color="auto" w:fill="E6E6FA"/>
          </w:tcPr>
          <w:p>
            <w:pPr>
              <w:jc w:val="center"/>
              <w:ind w:right="1200"/>
              <w:spacing w:after="0" w:line="219" w:lineRule="exact"/>
              <w:rPr>
                <w:sz w:val="20"/>
                <w:szCs w:val="20"/>
                <w:color w:val="auto"/>
              </w:rPr>
            </w:pPr>
            <w:r>
              <w:rPr>
                <w:rFonts w:ascii="Arial" w:cs="Arial" w:eastAsia="Arial" w:hAnsi="Arial"/>
                <w:sz w:val="20"/>
                <w:szCs w:val="20"/>
                <w:b w:val="1"/>
                <w:bCs w:val="1"/>
                <w:color w:val="0000FF"/>
                <w:w w:val="89"/>
              </w:rPr>
              <w:t>Interest Period</w:t>
            </w:r>
          </w:p>
        </w:tc>
        <w:tc>
          <w:tcPr>
            <w:tcW w:w="3740" w:type="dxa"/>
            <w:vAlign w:val="bottom"/>
            <w:tcBorders>
              <w:top w:val="single" w:sz="8" w:color="010101"/>
            </w:tcBorders>
            <w:gridSpan w:val="5"/>
          </w:tcPr>
          <w:p>
            <w:pPr>
              <w:jc w:val="center"/>
              <w:ind w:right="20"/>
              <w:spacing w:after="0" w:line="219" w:lineRule="exact"/>
              <w:rPr>
                <w:sz w:val="20"/>
                <w:szCs w:val="20"/>
                <w:color w:val="auto"/>
              </w:rPr>
            </w:pPr>
            <w:r>
              <w:rPr>
                <w:rFonts w:ascii="Arial" w:cs="Arial" w:eastAsia="Arial" w:hAnsi="Arial"/>
                <w:sz w:val="20"/>
                <w:szCs w:val="20"/>
                <w:b w:val="1"/>
                <w:bCs w:val="1"/>
                <w:color w:val="0000FF"/>
                <w:w w:val="85"/>
              </w:rPr>
              <w:t>Percentage</w:t>
            </w:r>
          </w:p>
        </w:tc>
      </w:tr>
      <w:tr>
        <w:trPr>
          <w:trHeight w:val="186"/>
        </w:trPr>
        <w:tc>
          <w:tcPr>
            <w:tcW w:w="1200" w:type="dxa"/>
            <w:vAlign w:val="bottom"/>
            <w:tcBorders>
              <w:top w:val="single" w:sz="8" w:color="E6E6FA"/>
              <w:left w:val="single" w:sz="8" w:color="010101"/>
              <w:bottom w:val="single" w:sz="8" w:color="010101"/>
            </w:tcBorders>
            <w:shd w:val="clear" w:color="auto" w:fill="E6E6FA"/>
          </w:tcPr>
          <w:p>
            <w:pPr>
              <w:spacing w:after="0"/>
              <w:rPr>
                <w:sz w:val="16"/>
                <w:szCs w:val="16"/>
                <w:color w:val="auto"/>
              </w:rPr>
            </w:pPr>
          </w:p>
        </w:tc>
        <w:tc>
          <w:tcPr>
            <w:tcW w:w="40" w:type="dxa"/>
            <w:vAlign w:val="bottom"/>
            <w:tcBorders>
              <w:top w:val="single" w:sz="8" w:color="0000FF"/>
              <w:bottom w:val="single" w:sz="8" w:color="010101"/>
            </w:tcBorders>
            <w:shd w:val="clear" w:color="auto" w:fill="E6E6FA"/>
          </w:tcPr>
          <w:p>
            <w:pPr>
              <w:spacing w:after="0"/>
              <w:rPr>
                <w:sz w:val="16"/>
                <w:szCs w:val="16"/>
                <w:color w:val="auto"/>
              </w:rPr>
            </w:pPr>
          </w:p>
        </w:tc>
        <w:tc>
          <w:tcPr>
            <w:tcW w:w="120" w:type="dxa"/>
            <w:vAlign w:val="bottom"/>
            <w:tcBorders>
              <w:top w:val="single" w:sz="8" w:color="0000FF"/>
              <w:bottom w:val="single" w:sz="8" w:color="010101"/>
            </w:tcBorders>
            <w:shd w:val="clear" w:color="auto" w:fill="E6E6FA"/>
          </w:tcPr>
          <w:p>
            <w:pPr>
              <w:spacing w:after="0"/>
              <w:rPr>
                <w:sz w:val="16"/>
                <w:szCs w:val="16"/>
                <w:color w:val="auto"/>
              </w:rPr>
            </w:pPr>
          </w:p>
        </w:tc>
        <w:tc>
          <w:tcPr>
            <w:tcW w:w="940" w:type="dxa"/>
            <w:vAlign w:val="bottom"/>
            <w:tcBorders>
              <w:top w:val="single" w:sz="8" w:color="0000FF"/>
              <w:bottom w:val="single" w:sz="8" w:color="010101"/>
            </w:tcBorders>
            <w:shd w:val="clear" w:color="auto" w:fill="E6E6FA"/>
          </w:tcPr>
          <w:p>
            <w:pPr>
              <w:spacing w:after="0"/>
              <w:rPr>
                <w:sz w:val="16"/>
                <w:szCs w:val="16"/>
                <w:color w:val="auto"/>
              </w:rPr>
            </w:pPr>
          </w:p>
        </w:tc>
        <w:tc>
          <w:tcPr>
            <w:tcW w:w="120" w:type="dxa"/>
            <w:vAlign w:val="bottom"/>
            <w:tcBorders>
              <w:top w:val="single" w:sz="8" w:color="0000FF"/>
              <w:bottom w:val="single" w:sz="8" w:color="010101"/>
            </w:tcBorders>
            <w:shd w:val="clear" w:color="auto" w:fill="E6E6FA"/>
          </w:tcPr>
          <w:p>
            <w:pPr>
              <w:spacing w:after="0"/>
              <w:rPr>
                <w:sz w:val="16"/>
                <w:szCs w:val="16"/>
                <w:color w:val="auto"/>
              </w:rPr>
            </w:pPr>
          </w:p>
        </w:tc>
        <w:tc>
          <w:tcPr>
            <w:tcW w:w="40" w:type="dxa"/>
            <w:vAlign w:val="bottom"/>
            <w:tcBorders>
              <w:top w:val="single" w:sz="8" w:color="0000FF"/>
              <w:bottom w:val="single" w:sz="8" w:color="010101"/>
            </w:tcBorders>
            <w:shd w:val="clear" w:color="auto" w:fill="E6E6FA"/>
          </w:tcPr>
          <w:p>
            <w:pPr>
              <w:spacing w:after="0"/>
              <w:rPr>
                <w:sz w:val="16"/>
                <w:szCs w:val="16"/>
                <w:color w:val="auto"/>
              </w:rPr>
            </w:pPr>
          </w:p>
        </w:tc>
        <w:tc>
          <w:tcPr>
            <w:tcW w:w="1200" w:type="dxa"/>
            <w:vAlign w:val="bottom"/>
            <w:tcBorders>
              <w:top w:val="single" w:sz="8" w:color="E6E6FA"/>
              <w:bottom w:val="single" w:sz="8" w:color="010101"/>
              <w:right w:val="single" w:sz="8" w:color="010101"/>
            </w:tcBorders>
            <w:shd w:val="clear" w:color="auto" w:fill="E6E6FA"/>
          </w:tcPr>
          <w:p>
            <w:pPr>
              <w:spacing w:after="0"/>
              <w:rPr>
                <w:sz w:val="16"/>
                <w:szCs w:val="16"/>
                <w:color w:val="auto"/>
              </w:rPr>
            </w:pPr>
          </w:p>
        </w:tc>
        <w:tc>
          <w:tcPr>
            <w:tcW w:w="1400" w:type="dxa"/>
            <w:vAlign w:val="bottom"/>
            <w:tcBorders>
              <w:bottom w:val="single" w:sz="8" w:color="010101"/>
            </w:tcBorders>
          </w:tcPr>
          <w:p>
            <w:pPr>
              <w:spacing w:after="0"/>
              <w:rPr>
                <w:sz w:val="16"/>
                <w:szCs w:val="16"/>
                <w:color w:val="auto"/>
              </w:rPr>
            </w:pPr>
          </w:p>
        </w:tc>
        <w:tc>
          <w:tcPr>
            <w:tcW w:w="40" w:type="dxa"/>
            <w:vAlign w:val="bottom"/>
            <w:tcBorders>
              <w:top w:val="single" w:sz="8" w:color="0000FF"/>
              <w:bottom w:val="single" w:sz="8" w:color="010101"/>
            </w:tcBorders>
          </w:tcPr>
          <w:p>
            <w:pPr>
              <w:spacing w:after="0"/>
              <w:rPr>
                <w:sz w:val="16"/>
                <w:szCs w:val="16"/>
                <w:color w:val="auto"/>
              </w:rPr>
            </w:pPr>
          </w:p>
        </w:tc>
        <w:tc>
          <w:tcPr>
            <w:tcW w:w="840" w:type="dxa"/>
            <w:vAlign w:val="bottom"/>
            <w:tcBorders>
              <w:top w:val="single" w:sz="8" w:color="0000FF"/>
              <w:bottom w:val="single" w:sz="8" w:color="010101"/>
            </w:tcBorders>
          </w:tcPr>
          <w:p>
            <w:pPr>
              <w:spacing w:after="0"/>
              <w:rPr>
                <w:sz w:val="16"/>
                <w:szCs w:val="16"/>
                <w:color w:val="auto"/>
              </w:rPr>
            </w:pPr>
          </w:p>
        </w:tc>
        <w:tc>
          <w:tcPr>
            <w:tcW w:w="40" w:type="dxa"/>
            <w:vAlign w:val="bottom"/>
            <w:tcBorders>
              <w:top w:val="single" w:sz="8" w:color="0000FF"/>
              <w:bottom w:val="single" w:sz="8" w:color="010101"/>
            </w:tcBorders>
          </w:tcPr>
          <w:p>
            <w:pPr>
              <w:spacing w:after="0"/>
              <w:rPr>
                <w:sz w:val="16"/>
                <w:szCs w:val="16"/>
                <w:color w:val="auto"/>
              </w:rPr>
            </w:pPr>
          </w:p>
        </w:tc>
        <w:tc>
          <w:tcPr>
            <w:tcW w:w="1420" w:type="dxa"/>
            <w:vAlign w:val="bottom"/>
            <w:tcBorders>
              <w:bottom w:val="single" w:sz="8" w:color="010101"/>
            </w:tcBorders>
          </w:tcPr>
          <w:p>
            <w:pPr>
              <w:spacing w:after="0"/>
              <w:rPr>
                <w:sz w:val="16"/>
                <w:szCs w:val="16"/>
                <w:color w:val="auto"/>
              </w:rPr>
            </w:pPr>
          </w:p>
        </w:tc>
      </w:tr>
      <w:tr>
        <w:trPr>
          <w:trHeight w:val="179"/>
        </w:trPr>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4"/>
          </w:tcPr>
          <w:p>
            <w:pPr>
              <w:jc w:val="center"/>
              <w:ind w:right="1360"/>
              <w:spacing w:after="0" w:line="179" w:lineRule="exact"/>
              <w:rPr>
                <w:sz w:val="20"/>
                <w:szCs w:val="20"/>
                <w:color w:val="auto"/>
              </w:rPr>
            </w:pPr>
            <w:r>
              <w:rPr>
                <w:rFonts w:ascii="Arial" w:cs="Arial" w:eastAsia="Arial" w:hAnsi="Arial"/>
                <w:sz w:val="20"/>
                <w:szCs w:val="20"/>
                <w:b w:val="1"/>
                <w:bCs w:val="1"/>
                <w:color w:val="0000FF"/>
                <w:w w:val="89"/>
              </w:rPr>
              <w:t>One month</w:t>
            </w:r>
          </w:p>
        </w:tc>
        <w:tc>
          <w:tcPr>
            <w:tcW w:w="2280" w:type="dxa"/>
            <w:vAlign w:val="bottom"/>
            <w:gridSpan w:val="3"/>
          </w:tcPr>
          <w:p>
            <w:pPr>
              <w:jc w:val="center"/>
              <w:ind w:left="1341"/>
              <w:spacing w:after="0" w:line="179" w:lineRule="exact"/>
              <w:rPr>
                <w:sz w:val="20"/>
                <w:szCs w:val="20"/>
                <w:color w:val="auto"/>
              </w:rPr>
            </w:pPr>
            <w:r>
              <w:rPr>
                <w:rFonts w:ascii="Arial" w:cs="Arial" w:eastAsia="Arial" w:hAnsi="Arial"/>
                <w:sz w:val="20"/>
                <w:szCs w:val="20"/>
                <w:b w:val="1"/>
                <w:bCs w:val="1"/>
                <w:color w:val="0000FF"/>
                <w:w w:val="93"/>
              </w:rPr>
              <w:t>0.</w:t>
            </w:r>
            <w:r>
              <w:rPr>
                <w:rFonts w:ascii="Arial" w:cs="Arial" w:eastAsia="Arial" w:hAnsi="Arial"/>
                <w:sz w:val="20"/>
                <w:szCs w:val="20"/>
                <w:b w:val="1"/>
                <w:bCs w:val="1"/>
                <w:u w:val="single" w:color="auto"/>
                <w:color w:val="0000FF"/>
                <w:w w:val="93"/>
              </w:rPr>
              <w:t>11448%</w:t>
            </w: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1200" w:type="dxa"/>
            <w:vAlign w:val="bottom"/>
            <w:tcBorders>
              <w:bottom w:val="single" w:sz="8" w:color="010101"/>
            </w:tcBorders>
          </w:tcPr>
          <w:p>
            <w:pPr>
              <w:spacing w:after="0"/>
              <w:rPr>
                <w:sz w:val="15"/>
                <w:szCs w:val="15"/>
                <w:color w:val="auto"/>
              </w:rPr>
            </w:pPr>
          </w:p>
        </w:tc>
        <w:tc>
          <w:tcPr>
            <w:tcW w:w="40" w:type="dxa"/>
            <w:vAlign w:val="bottom"/>
            <w:tcBorders>
              <w:bottom w:val="single" w:sz="8" w:color="010101"/>
            </w:tcBorders>
          </w:tcPr>
          <w:p>
            <w:pPr>
              <w:spacing w:after="0"/>
              <w:rPr>
                <w:sz w:val="15"/>
                <w:szCs w:val="15"/>
                <w:color w:val="auto"/>
              </w:rPr>
            </w:pPr>
          </w:p>
        </w:tc>
        <w:tc>
          <w:tcPr>
            <w:tcW w:w="120" w:type="dxa"/>
            <w:vAlign w:val="bottom"/>
            <w:tcBorders>
              <w:bottom w:val="single" w:sz="8" w:color="010101"/>
            </w:tcBorders>
          </w:tcPr>
          <w:p>
            <w:pPr>
              <w:spacing w:after="0"/>
              <w:rPr>
                <w:sz w:val="15"/>
                <w:szCs w:val="15"/>
                <w:color w:val="auto"/>
              </w:rPr>
            </w:pPr>
          </w:p>
        </w:tc>
        <w:tc>
          <w:tcPr>
            <w:tcW w:w="940" w:type="dxa"/>
            <w:vAlign w:val="bottom"/>
            <w:tcBorders>
              <w:top w:val="single" w:sz="8" w:color="0000FF"/>
              <w:bottom w:val="single" w:sz="8" w:color="010101"/>
            </w:tcBorders>
          </w:tcPr>
          <w:p>
            <w:pPr>
              <w:spacing w:after="0"/>
              <w:rPr>
                <w:sz w:val="15"/>
                <w:szCs w:val="15"/>
                <w:color w:val="auto"/>
              </w:rPr>
            </w:pPr>
          </w:p>
        </w:tc>
        <w:tc>
          <w:tcPr>
            <w:tcW w:w="120" w:type="dxa"/>
            <w:vAlign w:val="bottom"/>
            <w:tcBorders>
              <w:bottom w:val="single" w:sz="8" w:color="010101"/>
            </w:tcBorders>
          </w:tcPr>
          <w:p>
            <w:pPr>
              <w:spacing w:after="0"/>
              <w:rPr>
                <w:sz w:val="15"/>
                <w:szCs w:val="15"/>
                <w:color w:val="auto"/>
              </w:rPr>
            </w:pPr>
          </w:p>
        </w:tc>
        <w:tc>
          <w:tcPr>
            <w:tcW w:w="40" w:type="dxa"/>
            <w:vAlign w:val="bottom"/>
            <w:tcBorders>
              <w:bottom w:val="single" w:sz="8" w:color="010101"/>
            </w:tcBorders>
          </w:tcPr>
          <w:p>
            <w:pPr>
              <w:spacing w:after="0"/>
              <w:rPr>
                <w:sz w:val="15"/>
                <w:szCs w:val="15"/>
                <w:color w:val="auto"/>
              </w:rPr>
            </w:pPr>
          </w:p>
        </w:tc>
        <w:tc>
          <w:tcPr>
            <w:tcW w:w="1200" w:type="dxa"/>
            <w:vAlign w:val="bottom"/>
            <w:tcBorders>
              <w:bottom w:val="single" w:sz="8" w:color="010101"/>
            </w:tcBorders>
          </w:tcPr>
          <w:p>
            <w:pPr>
              <w:spacing w:after="0"/>
              <w:rPr>
                <w:sz w:val="15"/>
                <w:szCs w:val="15"/>
                <w:color w:val="auto"/>
              </w:rPr>
            </w:pPr>
          </w:p>
        </w:tc>
        <w:tc>
          <w:tcPr>
            <w:tcW w:w="1400" w:type="dxa"/>
            <w:vAlign w:val="bottom"/>
            <w:tcBorders>
              <w:bottom w:val="single" w:sz="8" w:color="010101"/>
            </w:tcBorders>
          </w:tcPr>
          <w:p>
            <w:pPr>
              <w:spacing w:after="0"/>
              <w:rPr>
                <w:sz w:val="15"/>
                <w:szCs w:val="15"/>
                <w:color w:val="auto"/>
              </w:rPr>
            </w:pPr>
          </w:p>
        </w:tc>
        <w:tc>
          <w:tcPr>
            <w:tcW w:w="40" w:type="dxa"/>
            <w:vAlign w:val="bottom"/>
            <w:tcBorders>
              <w:bottom w:val="single" w:sz="8" w:color="010101"/>
            </w:tcBorders>
          </w:tcPr>
          <w:p>
            <w:pPr>
              <w:spacing w:after="0"/>
              <w:rPr>
                <w:sz w:val="15"/>
                <w:szCs w:val="15"/>
                <w:color w:val="auto"/>
              </w:rPr>
            </w:pPr>
          </w:p>
        </w:tc>
        <w:tc>
          <w:tcPr>
            <w:tcW w:w="840" w:type="dxa"/>
            <w:vAlign w:val="bottom"/>
            <w:tcBorders>
              <w:top w:val="single" w:sz="8" w:color="0000FF"/>
              <w:bottom w:val="single" w:sz="8" w:color="010101"/>
            </w:tcBorders>
          </w:tcPr>
          <w:p>
            <w:pPr>
              <w:spacing w:after="0"/>
              <w:rPr>
                <w:sz w:val="15"/>
                <w:szCs w:val="15"/>
                <w:color w:val="auto"/>
              </w:rPr>
            </w:pPr>
          </w:p>
        </w:tc>
        <w:tc>
          <w:tcPr>
            <w:tcW w:w="40" w:type="dxa"/>
            <w:vAlign w:val="bottom"/>
            <w:tcBorders>
              <w:bottom w:val="single" w:sz="8" w:color="010101"/>
            </w:tcBorders>
          </w:tcPr>
          <w:p>
            <w:pPr>
              <w:spacing w:after="0"/>
              <w:rPr>
                <w:sz w:val="15"/>
                <w:szCs w:val="15"/>
                <w:color w:val="auto"/>
              </w:rPr>
            </w:pPr>
          </w:p>
        </w:tc>
        <w:tc>
          <w:tcPr>
            <w:tcW w:w="1420" w:type="dxa"/>
            <w:vAlign w:val="bottom"/>
            <w:tcBorders>
              <w:bottom w:val="single" w:sz="8" w:color="010101"/>
            </w:tcBorders>
          </w:tcPr>
          <w:p>
            <w:pPr>
              <w:spacing w:after="0"/>
              <w:rPr>
                <w:sz w:val="15"/>
                <w:szCs w:val="15"/>
                <w:color w:val="auto"/>
              </w:rPr>
            </w:pPr>
          </w:p>
        </w:tc>
      </w:tr>
      <w:tr>
        <w:trPr>
          <w:trHeight w:val="196"/>
        </w:trPr>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20" w:type="dxa"/>
            <w:vAlign w:val="bottom"/>
            <w:gridSpan w:val="5"/>
          </w:tcPr>
          <w:p>
            <w:pPr>
              <w:jc w:val="center"/>
              <w:ind w:right="1240"/>
              <w:spacing w:after="0" w:line="196" w:lineRule="exact"/>
              <w:rPr>
                <w:sz w:val="20"/>
                <w:szCs w:val="20"/>
                <w:color w:val="auto"/>
              </w:rPr>
            </w:pPr>
            <w:r>
              <w:rPr>
                <w:rFonts w:ascii="Arial" w:cs="Arial" w:eastAsia="Arial" w:hAnsi="Arial"/>
                <w:sz w:val="20"/>
                <w:szCs w:val="20"/>
                <w:b w:val="1"/>
                <w:bCs w:val="1"/>
                <w:color w:val="0000FF"/>
                <w:w w:val="89"/>
              </w:rPr>
              <w:t>Three months</w:t>
            </w:r>
          </w:p>
        </w:tc>
        <w:tc>
          <w:tcPr>
            <w:tcW w:w="2320" w:type="dxa"/>
            <w:vAlign w:val="bottom"/>
            <w:gridSpan w:val="4"/>
          </w:tcPr>
          <w:p>
            <w:pPr>
              <w:jc w:val="center"/>
              <w:ind w:left="1301"/>
              <w:spacing w:after="0" w:line="196" w:lineRule="exact"/>
              <w:rPr>
                <w:sz w:val="20"/>
                <w:szCs w:val="20"/>
                <w:color w:val="auto"/>
              </w:rPr>
            </w:pPr>
            <w:r>
              <w:rPr>
                <w:rFonts w:ascii="Arial" w:cs="Arial" w:eastAsia="Arial" w:hAnsi="Arial"/>
                <w:sz w:val="20"/>
                <w:szCs w:val="20"/>
                <w:b w:val="1"/>
                <w:bCs w:val="1"/>
                <w:color w:val="0000FF"/>
                <w:w w:val="93"/>
              </w:rPr>
              <w:t>0.</w:t>
            </w:r>
            <w:r>
              <w:rPr>
                <w:rFonts w:ascii="Arial" w:cs="Arial" w:eastAsia="Arial" w:hAnsi="Arial"/>
                <w:sz w:val="20"/>
                <w:szCs w:val="20"/>
                <w:b w:val="1"/>
                <w:bCs w:val="1"/>
                <w:u w:val="single" w:color="auto"/>
                <w:color w:val="0000FF"/>
                <w:w w:val="93"/>
              </w:rPr>
              <w:t>26161%</w:t>
            </w:r>
          </w:p>
        </w:tc>
        <w:tc>
          <w:tcPr>
            <w:tcW w:w="1420" w:type="dxa"/>
            <w:vAlign w:val="bottom"/>
          </w:tcPr>
          <w:p>
            <w:pPr>
              <w:spacing w:after="0"/>
              <w:rPr>
                <w:sz w:val="17"/>
                <w:szCs w:val="17"/>
                <w:color w:val="auto"/>
              </w:rPr>
            </w:pPr>
          </w:p>
        </w:tc>
      </w:tr>
      <w:tr>
        <w:trPr>
          <w:trHeight w:val="182"/>
        </w:trPr>
        <w:tc>
          <w:tcPr>
            <w:tcW w:w="1200" w:type="dxa"/>
            <w:vAlign w:val="bottom"/>
            <w:tcBorders>
              <w:bottom w:val="single" w:sz="8" w:color="010101"/>
            </w:tcBorders>
          </w:tcPr>
          <w:p>
            <w:pPr>
              <w:spacing w:after="0"/>
              <w:rPr>
                <w:sz w:val="15"/>
                <w:szCs w:val="15"/>
                <w:color w:val="auto"/>
              </w:rPr>
            </w:pPr>
          </w:p>
        </w:tc>
        <w:tc>
          <w:tcPr>
            <w:tcW w:w="40" w:type="dxa"/>
            <w:vAlign w:val="bottom"/>
            <w:tcBorders>
              <w:bottom w:val="single" w:sz="8" w:color="010101"/>
            </w:tcBorders>
          </w:tcPr>
          <w:p>
            <w:pPr>
              <w:spacing w:after="0"/>
              <w:rPr>
                <w:sz w:val="15"/>
                <w:szCs w:val="15"/>
                <w:color w:val="auto"/>
              </w:rPr>
            </w:pPr>
          </w:p>
        </w:tc>
        <w:tc>
          <w:tcPr>
            <w:tcW w:w="120" w:type="dxa"/>
            <w:vAlign w:val="bottom"/>
            <w:tcBorders>
              <w:top w:val="single" w:sz="8" w:color="0000FF"/>
              <w:bottom w:val="single" w:sz="8" w:color="010101"/>
            </w:tcBorders>
          </w:tcPr>
          <w:p>
            <w:pPr>
              <w:spacing w:after="0"/>
              <w:rPr>
                <w:sz w:val="15"/>
                <w:szCs w:val="15"/>
                <w:color w:val="auto"/>
              </w:rPr>
            </w:pPr>
          </w:p>
        </w:tc>
        <w:tc>
          <w:tcPr>
            <w:tcW w:w="940" w:type="dxa"/>
            <w:vAlign w:val="bottom"/>
            <w:tcBorders>
              <w:top w:val="single" w:sz="8" w:color="0000FF"/>
              <w:bottom w:val="single" w:sz="8" w:color="010101"/>
            </w:tcBorders>
          </w:tcPr>
          <w:p>
            <w:pPr>
              <w:spacing w:after="0"/>
              <w:rPr>
                <w:sz w:val="15"/>
                <w:szCs w:val="15"/>
                <w:color w:val="auto"/>
              </w:rPr>
            </w:pPr>
          </w:p>
        </w:tc>
        <w:tc>
          <w:tcPr>
            <w:tcW w:w="120" w:type="dxa"/>
            <w:vAlign w:val="bottom"/>
            <w:tcBorders>
              <w:top w:val="single" w:sz="8" w:color="0000FF"/>
              <w:bottom w:val="single" w:sz="8" w:color="010101"/>
            </w:tcBorders>
          </w:tcPr>
          <w:p>
            <w:pPr>
              <w:spacing w:after="0"/>
              <w:rPr>
                <w:sz w:val="15"/>
                <w:szCs w:val="15"/>
                <w:color w:val="auto"/>
              </w:rPr>
            </w:pPr>
          </w:p>
        </w:tc>
        <w:tc>
          <w:tcPr>
            <w:tcW w:w="40" w:type="dxa"/>
            <w:vAlign w:val="bottom"/>
            <w:tcBorders>
              <w:bottom w:val="single" w:sz="8" w:color="010101"/>
            </w:tcBorders>
          </w:tcPr>
          <w:p>
            <w:pPr>
              <w:spacing w:after="0"/>
              <w:rPr>
                <w:sz w:val="15"/>
                <w:szCs w:val="15"/>
                <w:color w:val="auto"/>
              </w:rPr>
            </w:pPr>
          </w:p>
        </w:tc>
        <w:tc>
          <w:tcPr>
            <w:tcW w:w="1200" w:type="dxa"/>
            <w:vAlign w:val="bottom"/>
            <w:tcBorders>
              <w:bottom w:val="single" w:sz="8" w:color="010101"/>
            </w:tcBorders>
          </w:tcPr>
          <w:p>
            <w:pPr>
              <w:spacing w:after="0"/>
              <w:rPr>
                <w:sz w:val="15"/>
                <w:szCs w:val="15"/>
                <w:color w:val="auto"/>
              </w:rPr>
            </w:pPr>
          </w:p>
        </w:tc>
        <w:tc>
          <w:tcPr>
            <w:tcW w:w="1400" w:type="dxa"/>
            <w:vAlign w:val="bottom"/>
            <w:tcBorders>
              <w:bottom w:val="single" w:sz="8" w:color="010101"/>
            </w:tcBorders>
          </w:tcPr>
          <w:p>
            <w:pPr>
              <w:spacing w:after="0"/>
              <w:rPr>
                <w:sz w:val="15"/>
                <w:szCs w:val="15"/>
                <w:color w:val="auto"/>
              </w:rPr>
            </w:pPr>
          </w:p>
        </w:tc>
        <w:tc>
          <w:tcPr>
            <w:tcW w:w="40" w:type="dxa"/>
            <w:vAlign w:val="bottom"/>
            <w:tcBorders>
              <w:bottom w:val="single" w:sz="8" w:color="010101"/>
            </w:tcBorders>
          </w:tcPr>
          <w:p>
            <w:pPr>
              <w:spacing w:after="0"/>
              <w:rPr>
                <w:sz w:val="15"/>
                <w:szCs w:val="15"/>
                <w:color w:val="auto"/>
              </w:rPr>
            </w:pPr>
          </w:p>
        </w:tc>
        <w:tc>
          <w:tcPr>
            <w:tcW w:w="840" w:type="dxa"/>
            <w:vAlign w:val="bottom"/>
            <w:tcBorders>
              <w:top w:val="single" w:sz="8" w:color="0000FF"/>
              <w:bottom w:val="single" w:sz="8" w:color="010101"/>
            </w:tcBorders>
          </w:tcPr>
          <w:p>
            <w:pPr>
              <w:spacing w:after="0"/>
              <w:rPr>
                <w:sz w:val="15"/>
                <w:szCs w:val="15"/>
                <w:color w:val="auto"/>
              </w:rPr>
            </w:pPr>
          </w:p>
        </w:tc>
        <w:tc>
          <w:tcPr>
            <w:tcW w:w="40" w:type="dxa"/>
            <w:vAlign w:val="bottom"/>
            <w:tcBorders>
              <w:bottom w:val="single" w:sz="8" w:color="010101"/>
            </w:tcBorders>
          </w:tcPr>
          <w:p>
            <w:pPr>
              <w:spacing w:after="0"/>
              <w:rPr>
                <w:sz w:val="15"/>
                <w:szCs w:val="15"/>
                <w:color w:val="auto"/>
              </w:rPr>
            </w:pPr>
          </w:p>
        </w:tc>
        <w:tc>
          <w:tcPr>
            <w:tcW w:w="1420" w:type="dxa"/>
            <w:vAlign w:val="bottom"/>
            <w:tcBorders>
              <w:bottom w:val="single" w:sz="8" w:color="010101"/>
            </w:tcBorders>
          </w:tcPr>
          <w:p>
            <w:pPr>
              <w:spacing w:after="0"/>
              <w:rPr>
                <w:sz w:val="15"/>
                <w:szCs w:val="15"/>
                <w:color w:val="auto"/>
              </w:rPr>
            </w:pPr>
          </w:p>
        </w:tc>
      </w:tr>
      <w:tr>
        <w:trPr>
          <w:trHeight w:val="196"/>
        </w:trPr>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20"/>
                <w:szCs w:val="20"/>
                <w:b w:val="1"/>
                <w:bCs w:val="1"/>
                <w:color w:val="0000FF"/>
                <w:w w:val="87"/>
              </w:rPr>
              <w:t>Six months</w:t>
            </w:r>
          </w:p>
        </w:tc>
        <w:tc>
          <w:tcPr>
            <w:tcW w:w="1360" w:type="dxa"/>
            <w:vAlign w:val="bottom"/>
            <w:gridSpan w:val="3"/>
          </w:tcPr>
          <w:p>
            <w:pPr>
              <w:spacing w:after="0"/>
              <w:rPr>
                <w:sz w:val="17"/>
                <w:szCs w:val="17"/>
                <w:color w:val="auto"/>
              </w:rPr>
            </w:pPr>
          </w:p>
        </w:tc>
        <w:tc>
          <w:tcPr>
            <w:tcW w:w="1440" w:type="dxa"/>
            <w:vAlign w:val="bottom"/>
            <w:gridSpan w:val="2"/>
          </w:tcPr>
          <w:p>
            <w:pPr>
              <w:spacing w:after="0"/>
              <w:rPr>
                <w:sz w:val="17"/>
                <w:szCs w:val="17"/>
                <w:color w:val="auto"/>
              </w:rPr>
            </w:pPr>
          </w:p>
        </w:tc>
        <w:tc>
          <w:tcPr>
            <w:tcW w:w="880" w:type="dxa"/>
            <w:vAlign w:val="bottom"/>
            <w:gridSpan w:val="2"/>
          </w:tcPr>
          <w:p>
            <w:pPr>
              <w:jc w:val="center"/>
              <w:ind w:right="40"/>
              <w:spacing w:after="0" w:line="196" w:lineRule="exact"/>
              <w:rPr>
                <w:sz w:val="20"/>
                <w:szCs w:val="20"/>
                <w:color w:val="auto"/>
              </w:rPr>
            </w:pPr>
            <w:r>
              <w:rPr>
                <w:rFonts w:ascii="Arial" w:cs="Arial" w:eastAsia="Arial" w:hAnsi="Arial"/>
                <w:sz w:val="20"/>
                <w:szCs w:val="20"/>
                <w:b w:val="1"/>
                <w:bCs w:val="1"/>
                <w:color w:val="0000FF"/>
                <w:w w:val="93"/>
              </w:rPr>
              <w:t>0.</w:t>
            </w:r>
            <w:r>
              <w:rPr>
                <w:rFonts w:ascii="Arial" w:cs="Arial" w:eastAsia="Arial" w:hAnsi="Arial"/>
                <w:sz w:val="20"/>
                <w:szCs w:val="20"/>
                <w:b w:val="1"/>
                <w:bCs w:val="1"/>
                <w:u w:val="single" w:color="auto"/>
                <w:color w:val="0000FF"/>
                <w:w w:val="93"/>
              </w:rPr>
              <w:t>42826%</w:t>
            </w:r>
          </w:p>
        </w:tc>
        <w:tc>
          <w:tcPr>
            <w:tcW w:w="14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-932815</wp:posOffset>
            </wp:positionV>
            <wp:extent cx="4700905" cy="10617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3">
                      <a:extLst>
                        <a:ext uri="{28A0092B-C50C-407E-A947-70E740481C1C}"/>
                      </a:extLst>
                    </a:blip>
                    <a:srcRect/>
                    <a:stretch>
                      <a:fillRect/>
                    </a:stretch>
                  </pic:blipFill>
                  <pic:spPr bwMode="auto">
                    <a:xfrm>
                      <a:off x="0" y="0"/>
                      <a:ext cx="4700905" cy="1061720"/>
                    </a:xfrm>
                    <a:prstGeom prst="rect">
                      <a:avLst/>
                    </a:prstGeom>
                    <a:noFill/>
                  </pic:spPr>
                </pic:pic>
              </a:graphicData>
            </a:graphic>
          </wp:anchor>
        </w:drawing>
      </w:r>
    </w:p>
    <w:p>
      <w:pPr>
        <w:spacing w:after="0" w:line="159" w:lineRule="exact"/>
        <w:rPr>
          <w:sz w:val="20"/>
          <w:szCs w:val="20"/>
          <w:color w:val="auto"/>
        </w:rPr>
      </w:pPr>
    </w:p>
    <w:p>
      <w:pPr>
        <w:jc w:val="both"/>
        <w:ind w:right="100" w:firstLine="1499"/>
        <w:spacing w:after="0" w:line="246"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Adjusted LIBO Rate</w:t>
      </w:r>
      <w:r>
        <w:rPr>
          <w:rFonts w:ascii="Arial" w:cs="Arial" w:eastAsia="Arial" w:hAnsi="Arial"/>
          <w:sz w:val="20"/>
          <w:szCs w:val="20"/>
          <w:b w:val="1"/>
          <w:bCs w:val="1"/>
          <w:color w:val="FF0000"/>
          <w:strike w:val="1"/>
        </w:rPr>
        <w:t xml:space="preserve">” means, with respect to any Eurodollar Borrowing denominated in Dollars or an Alternative Currency for any Interest Period, an interest rate per annum equal to (i) the LIBO Rate for such Interest Period </w:t>
      </w:r>
      <w:r>
        <w:rPr>
          <w:rFonts w:ascii="Arial" w:cs="Arial" w:eastAsia="Arial" w:hAnsi="Arial"/>
          <w:sz w:val="20"/>
          <w:szCs w:val="20"/>
          <w:b w:val="1"/>
          <w:bCs w:val="1"/>
          <w:u w:val="single" w:color="auto"/>
          <w:color w:val="FF0000"/>
          <w:strike w:val="1"/>
        </w:rPr>
        <w:t xml:space="preserve">multiplied </w:t>
      </w:r>
      <w:r>
        <w:rPr>
          <w:rFonts w:ascii="Arial" w:cs="Arial" w:eastAsia="Arial" w:hAnsi="Arial"/>
          <w:sz w:val="20"/>
          <w:szCs w:val="20"/>
          <w:b w:val="1"/>
          <w:bCs w:val="1"/>
          <w:color w:val="FF0000"/>
          <w:strike w:val="1"/>
        </w:rPr>
        <w:t>by (ii) the Statutory Reserve Rate;</w:t>
      </w:r>
      <w:r>
        <w:rPr>
          <w:rFonts w:ascii="Arial" w:cs="Arial" w:eastAsia="Arial" w:hAnsi="Arial"/>
          <w:sz w:val="20"/>
          <w:szCs w:val="20"/>
          <w:b w:val="1"/>
          <w:bCs w:val="1"/>
          <w:u w:val="single" w:color="auto"/>
          <w:color w:val="FF0000"/>
          <w:strike w:val="1"/>
        </w:rPr>
        <w:t xml:space="preserve"> provided </w:t>
      </w:r>
      <w:r>
        <w:rPr>
          <w:rFonts w:ascii="Arial" w:cs="Arial" w:eastAsia="Arial" w:hAnsi="Arial"/>
          <w:sz w:val="20"/>
          <w:szCs w:val="20"/>
          <w:b w:val="1"/>
          <w:bCs w:val="1"/>
          <w:color w:val="FF0000"/>
          <w:strike w:val="1"/>
        </w:rPr>
        <w:t>that (i) with respect to the Term Loans, in no event shall the Adjusted</w:t>
      </w:r>
      <w:r>
        <w:rPr>
          <w:rFonts w:ascii="Arial" w:cs="Arial" w:eastAsia="Arial" w:hAnsi="Arial"/>
          <w:sz w:val="20"/>
          <w:szCs w:val="20"/>
          <w:b w:val="1"/>
          <w:bCs w:val="1"/>
          <w:u w:val="single" w:color="auto"/>
          <w:color w:val="FF0000"/>
          <w:strike w:val="1"/>
        </w:rPr>
        <w:t xml:space="preserve"> </w:t>
      </w:r>
      <w:r>
        <w:rPr>
          <w:rFonts w:ascii="Arial" w:cs="Arial" w:eastAsia="Arial" w:hAnsi="Arial"/>
          <w:sz w:val="20"/>
          <w:szCs w:val="20"/>
          <w:b w:val="1"/>
          <w:bCs w:val="1"/>
          <w:color w:val="FF0000"/>
          <w:strike w:val="1"/>
        </w:rPr>
        <w:t>LIBO Rate be less than 0.75% and (ii) with respect to the Revolving Loans, in no event shall the Adjusted LIBO Rate be less than 0.00%.</w:t>
      </w:r>
    </w:p>
    <w:p>
      <w:pPr>
        <w:spacing w:after="0" w:line="291" w:lineRule="exact"/>
        <w:rPr>
          <w:sz w:val="20"/>
          <w:szCs w:val="20"/>
          <w:color w:val="auto"/>
        </w:rPr>
      </w:pPr>
    </w:p>
    <w:p>
      <w:pPr>
        <w:jc w:val="both"/>
        <w:ind w:right="100" w:firstLine="1499"/>
        <w:spacing w:after="0" w:line="252" w:lineRule="auto"/>
        <w:rPr>
          <w:sz w:val="20"/>
          <w:szCs w:val="20"/>
          <w:color w:val="auto"/>
        </w:rPr>
      </w:pPr>
      <w:r>
        <w:rPr>
          <w:rFonts w:ascii="Arial" w:cs="Arial" w:eastAsia="Arial" w:hAnsi="Arial"/>
          <w:sz w:val="20"/>
          <w:szCs w:val="20"/>
          <w:b w:val="1"/>
          <w:bCs w:val="1"/>
          <w:u w:val="single" w:color="auto"/>
          <w:color w:val="0000FF"/>
        </w:rPr>
        <w:t>“Adjusted Term SOFR” means,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279" w:lineRule="exact"/>
        <w:rPr>
          <w:sz w:val="20"/>
          <w:szCs w:val="20"/>
          <w:color w:val="auto"/>
        </w:rPr>
      </w:pPr>
    </w:p>
    <w:p>
      <w:pPr>
        <w:jc w:val="both"/>
        <w:ind w:right="10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Morgan Stanley Senior Funding, Inc., in its capacity as administrative agent hereunder and under the other Loan Documents, and its successors in such capacity as provided in Article VIII.</w:t>
      </w:r>
    </w:p>
    <w:p>
      <w:pPr>
        <w:spacing w:after="0" w:line="203" w:lineRule="exact"/>
        <w:rPr>
          <w:sz w:val="20"/>
          <w:szCs w:val="20"/>
          <w:color w:val="auto"/>
        </w:rPr>
      </w:pPr>
    </w:p>
    <w:p>
      <w:pPr>
        <w:jc w:val="both"/>
        <w:ind w:right="100"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means the Administrative Agent’s address and, as appropriate, account as set forth on Schedule 9.01, or such other address or account as the Administrative Agent may from time to time notify the Borrower and the Lenders in writing.</w:t>
      </w:r>
    </w:p>
    <w:p>
      <w:pPr>
        <w:spacing w:after="0" w:line="20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3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Class</w:t>
      </w:r>
      <w:r>
        <w:rPr>
          <w:rFonts w:ascii="Arial" w:cs="Arial" w:eastAsia="Arial" w:hAnsi="Arial"/>
          <w:sz w:val="20"/>
          <w:szCs w:val="20"/>
          <w:color w:val="auto"/>
        </w:rPr>
        <w:t>” has the meaning specified in Section 2.24(a).</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42" w:lineRule="exact"/>
        <w:rPr>
          <w:sz w:val="20"/>
          <w:szCs w:val="20"/>
          <w:color w:val="auto"/>
        </w:rPr>
      </w:pPr>
    </w:p>
    <w:p>
      <w:pPr>
        <w:ind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Controls or is Controlled by or is under common Control with the Person specified.</w:t>
      </w:r>
    </w:p>
    <w:p>
      <w:pPr>
        <w:spacing w:after="0" w:line="189" w:lineRule="exact"/>
        <w:rPr>
          <w:sz w:val="20"/>
          <w:szCs w:val="20"/>
          <w:color w:val="auto"/>
        </w:rPr>
      </w:pPr>
    </w:p>
    <w:p>
      <w:pPr>
        <w:jc w:val="both"/>
        <w:ind w:right="120"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Debt Fund</w:t>
      </w:r>
      <w:r>
        <w:rPr>
          <w:rFonts w:ascii="Arial" w:cs="Arial" w:eastAsia="Arial" w:hAnsi="Arial"/>
          <w:sz w:val="20"/>
          <w:szCs w:val="20"/>
          <w:color w:val="auto"/>
        </w:rPr>
        <w:t>” means any Affiliated Lender that is primarily engaged in, or advises funds or other investment vehicles that are engaged in, making, purchasing, holding or otherwise investing in commercial loans, bonds and similar extensions of credit in the ordinary course and whose managers have fiduciary duties to the third-party investors in such fund or investment vehicle independent of their duties to Holdings or the GTCR Group.</w:t>
      </w:r>
    </w:p>
    <w:p>
      <w:pPr>
        <w:spacing w:after="0" w:line="190" w:lineRule="exact"/>
        <w:rPr>
          <w:sz w:val="20"/>
          <w:szCs w:val="20"/>
          <w:color w:val="auto"/>
        </w:rPr>
      </w:pPr>
    </w:p>
    <w:p>
      <w:pPr>
        <w:ind w:right="1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Lender</w:t>
      </w:r>
      <w:r>
        <w:rPr>
          <w:rFonts w:ascii="Arial" w:cs="Arial" w:eastAsia="Arial" w:hAnsi="Arial"/>
          <w:sz w:val="20"/>
          <w:szCs w:val="20"/>
          <w:color w:val="auto"/>
        </w:rPr>
        <w:t>” means, at any time, any Lender that is any Person (other than Holdings or any of its Subsidiaries) contemplated by the definition of the GTCR Group at such time.</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00" w:top="115" w:right="439" w:bottom="1440" w:gutter="0" w:footer="0" w:header="0"/>
        </w:sectPr>
      </w:pPr>
    </w:p>
    <w:bookmarkStart w:id="148" w:name="page149"/>
    <w:bookmarkEnd w:id="148"/>
    <w:p>
      <w:pPr>
        <w:ind w:right="6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means any of the Administrative Agent, the Collateral Agent, each Joint Lead Arranger, any successors and assigns of the foregoing in such capacity, and “</w:t>
      </w:r>
      <w:r>
        <w:rPr>
          <w:rFonts w:ascii="Arial" w:cs="Arial" w:eastAsia="Arial" w:hAnsi="Arial"/>
          <w:sz w:val="20"/>
          <w:szCs w:val="20"/>
          <w:u w:val="single" w:color="auto"/>
          <w:color w:val="auto"/>
        </w:rPr>
        <w:t>Agents</w:t>
      </w:r>
      <w:r>
        <w:rPr>
          <w:rFonts w:ascii="Arial" w:cs="Arial" w:eastAsia="Arial" w:hAnsi="Arial"/>
          <w:sz w:val="20"/>
          <w:szCs w:val="20"/>
          <w:color w:val="auto"/>
        </w:rPr>
        <w:t>” means two or more of them.</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has the meaning given to such term in Section 9.01(c).</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given to such term in the preliminary statements hereto.</w:t>
      </w:r>
    </w:p>
    <w:p>
      <w:pPr>
        <w:spacing w:after="0" w:line="24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 Currency</w:t>
      </w:r>
      <w:r>
        <w:rPr>
          <w:rFonts w:ascii="Arial" w:cs="Arial" w:eastAsia="Arial" w:hAnsi="Arial"/>
          <w:sz w:val="20"/>
          <w:szCs w:val="20"/>
          <w:color w:val="auto"/>
        </w:rPr>
        <w:t>” has the meaning assigned to such term in Section 9.17.</w:t>
      </w:r>
    </w:p>
    <w:p>
      <w:pPr>
        <w:spacing w:after="0" w:line="228" w:lineRule="exact"/>
        <w:rPr>
          <w:sz w:val="20"/>
          <w:szCs w:val="20"/>
          <w:color w:val="auto"/>
        </w:rPr>
      </w:pPr>
    </w:p>
    <w:p>
      <w:pPr>
        <w:jc w:val="both"/>
        <w:ind w:right="20" w:firstLine="149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per annum equal to the greatest of (a)the Prime Rate in effect on such day, (b) the Federal Funds Effective Rate in effect on such day plus ½ of 1.00% and (c) the Adjusted </w:t>
      </w:r>
      <w:r>
        <w:rPr>
          <w:rFonts w:ascii="Arial" w:cs="Arial" w:eastAsia="Arial" w:hAnsi="Arial"/>
          <w:sz w:val="18"/>
          <w:szCs w:val="18"/>
          <w:b w:val="1"/>
          <w:bCs w:val="1"/>
          <w:color w:val="FF0000"/>
          <w:strike w:val="1"/>
        </w:rPr>
        <w:t>LIBO Rate for the applicable</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Loan</w:t>
      </w:r>
      <w:r>
        <w:rPr>
          <w:rFonts w:ascii="Arial" w:cs="Arial" w:eastAsia="Arial" w:hAnsi="Arial"/>
          <w:sz w:val="18"/>
          <w:szCs w:val="18"/>
          <w:b w:val="1"/>
          <w:bCs w:val="1"/>
          <w:u w:val="single" w:color="auto"/>
          <w:color w:val="0000FF"/>
        </w:rPr>
        <w:t>Term SOFR for a one-month tenor in effect</w:t>
      </w:r>
      <w:r>
        <w:rPr>
          <w:rFonts w:ascii="Arial" w:cs="Arial" w:eastAsia="Arial" w:hAnsi="Arial"/>
          <w:sz w:val="18"/>
          <w:szCs w:val="18"/>
          <w:b w:val="1"/>
          <w:bCs w:val="1"/>
          <w:color w:val="FF0000"/>
        </w:rPr>
        <w:t xml:space="preserve"> </w:t>
      </w:r>
      <w:r>
        <w:rPr>
          <w:rFonts w:ascii="Arial" w:cs="Arial" w:eastAsia="Arial" w:hAnsi="Arial"/>
          <w:sz w:val="18"/>
          <w:szCs w:val="18"/>
          <w:color w:val="000000"/>
        </w:rPr>
        <w:t>on such day (or if such day is not a Business Day, the immediately preceding</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Business Day) </w:t>
      </w:r>
      <w:r>
        <w:rPr>
          <w:rFonts w:ascii="Arial" w:cs="Arial" w:eastAsia="Arial" w:hAnsi="Arial"/>
          <w:sz w:val="18"/>
          <w:szCs w:val="18"/>
          <w:b w:val="1"/>
          <w:bCs w:val="1"/>
          <w:color w:val="FF0000"/>
          <w:strike w:val="1"/>
        </w:rPr>
        <w:t>for a deposit in Dollars with a maturity of one month plus 1.00%;</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color w:val="000000"/>
        </w:rPr>
        <w:t xml:space="preserve"> </w:t>
      </w:r>
      <w:r>
        <w:rPr>
          <w:rFonts w:ascii="Arial" w:cs="Arial" w:eastAsia="Arial" w:hAnsi="Arial"/>
          <w:sz w:val="18"/>
          <w:szCs w:val="18"/>
          <w:b w:val="1"/>
          <w:bCs w:val="1"/>
          <w:color w:val="FF0000"/>
          <w:strike w:val="1"/>
        </w:rPr>
        <w:t>that, solely for purposes of the</w:t>
      </w:r>
      <w:r>
        <w:rPr>
          <w:rFonts w:ascii="Arial" w:cs="Arial" w:eastAsia="Arial" w:hAnsi="Arial"/>
          <w:sz w:val="18"/>
          <w:szCs w:val="18"/>
          <w:color w:val="000000"/>
        </w:rPr>
        <w:t xml:space="preserve"> </w:t>
      </w:r>
      <w:r>
        <w:rPr>
          <w:rFonts w:ascii="Arial" w:cs="Arial" w:eastAsia="Arial" w:hAnsi="Arial"/>
          <w:sz w:val="18"/>
          <w:szCs w:val="18"/>
          <w:b w:val="1"/>
          <w:bCs w:val="1"/>
          <w:color w:val="FF0000"/>
          <w:strike w:val="1"/>
        </w:rPr>
        <w:t>foregoing, the Adjusted LIBO Rate for any day shall be calculated using the LIBO Rate on such day at approximately 11:00 a.m. (New York City time) for a deposit in Dollars with a maturity of one month. If the Administrative Agent shall have determined (which determination shall be conclusive absent manifest error) that it is unable to ascertain the Federal Funds Effective Rate or the Adjusted LIBO Rate for any reason, including the inability or failure of the Administrative Agent to obtain sufficient quotations in accordance with the terms of the definition of Federal Funds Effective Rate, the Alternate Base Rate shall be determined without regard to clause (b) or (c), as applicable, of the preceding sentence until the circumstances giving rise to such inability no longer exist</w:t>
      </w:r>
      <w:r>
        <w:rPr>
          <w:rFonts w:ascii="Arial" w:cs="Arial" w:eastAsia="Arial" w:hAnsi="Arial"/>
          <w:sz w:val="18"/>
          <w:szCs w:val="18"/>
          <w:b w:val="1"/>
          <w:bCs w:val="1"/>
          <w:u w:val="single" w:color="auto"/>
          <w:color w:val="0000FF"/>
          <w:strike w:val="1"/>
        </w:rPr>
        <w:t>plus 1.00 %</w:t>
      </w:r>
      <w:r>
        <w:rPr>
          <w:rFonts w:ascii="Arial" w:cs="Arial" w:eastAsia="Arial" w:hAnsi="Arial"/>
          <w:sz w:val="18"/>
          <w:szCs w:val="18"/>
          <w:color w:val="000000"/>
          <w:strike w:val="1"/>
        </w:rPr>
        <w:t>. Any change in the Alternate Base Rate due to a change in the Prime Rate, the Federal Funds</w:t>
      </w:r>
      <w:r>
        <w:rPr>
          <w:rFonts w:ascii="Arial" w:cs="Arial" w:eastAsia="Arial" w:hAnsi="Arial"/>
          <w:sz w:val="18"/>
          <w:szCs w:val="18"/>
          <w:b w:val="1"/>
          <w:bCs w:val="1"/>
          <w:color w:val="FF0000"/>
          <w:strike w:val="1"/>
        </w:rPr>
        <w:t xml:space="preserve"> </w:t>
      </w:r>
      <w:r>
        <w:rPr>
          <w:rFonts w:ascii="Arial" w:cs="Arial" w:eastAsia="Arial" w:hAnsi="Arial"/>
          <w:sz w:val="18"/>
          <w:szCs w:val="18"/>
          <w:color w:val="000000"/>
          <w:strike w:val="1"/>
        </w:rPr>
        <w:t xml:space="preserve">Effective Rate or the Adjusted </w:t>
      </w:r>
      <w:r>
        <w:rPr>
          <w:rFonts w:ascii="Arial" w:cs="Arial" w:eastAsia="Arial" w:hAnsi="Arial"/>
          <w:sz w:val="18"/>
          <w:szCs w:val="18"/>
          <w:b w:val="1"/>
          <w:bCs w:val="1"/>
          <w:color w:val="FF0000"/>
          <w:strike w:val="1"/>
        </w:rPr>
        <w:t>LIBO Rate</w:t>
      </w:r>
      <w:r>
        <w:rPr>
          <w:rFonts w:ascii="Arial" w:cs="Arial" w:eastAsia="Arial" w:hAnsi="Arial"/>
          <w:sz w:val="18"/>
          <w:szCs w:val="18"/>
          <w:b w:val="1"/>
          <w:bCs w:val="1"/>
          <w:u w:val="single" w:color="auto"/>
          <w:color w:val="0000FF"/>
          <w:strike w:val="1"/>
        </w:rPr>
        <w:t>Term SOFR</w:t>
      </w:r>
      <w:r>
        <w:rPr>
          <w:rFonts w:ascii="Arial" w:cs="Arial" w:eastAsia="Arial" w:hAnsi="Arial"/>
          <w:sz w:val="18"/>
          <w:szCs w:val="18"/>
          <w:color w:val="000000"/>
          <w:strike w:val="1"/>
        </w:rPr>
        <w:t xml:space="preserve"> shall be effective from and including the effective date of such change in the Prime Rate, the Federal Funds Effective Rate or the Adjusted </w:t>
      </w:r>
      <w:r>
        <w:rPr>
          <w:rFonts w:ascii="Arial" w:cs="Arial" w:eastAsia="Arial" w:hAnsi="Arial"/>
          <w:sz w:val="18"/>
          <w:szCs w:val="18"/>
          <w:b w:val="1"/>
          <w:bCs w:val="1"/>
          <w:color w:val="FF0000"/>
          <w:strike w:val="1"/>
        </w:rPr>
        <w:t>LIBO Rate</w:t>
      </w:r>
      <w:r>
        <w:rPr>
          <w:rFonts w:ascii="Arial" w:cs="Arial" w:eastAsia="Arial" w:hAnsi="Arial"/>
          <w:sz w:val="18"/>
          <w:szCs w:val="18"/>
          <w:b w:val="1"/>
          <w:bCs w:val="1"/>
          <w:u w:val="single" w:color="auto"/>
          <w:color w:val="0000FF"/>
          <w:strike w:val="1"/>
        </w:rPr>
        <w:t>Term SOFR</w:t>
      </w:r>
      <w:r>
        <w:rPr>
          <w:rFonts w:ascii="Arial" w:cs="Arial" w:eastAsia="Arial" w:hAnsi="Arial"/>
          <w:sz w:val="18"/>
          <w:szCs w:val="18"/>
          <w:color w:val="000000"/>
          <w:strike w:val="1"/>
        </w:rPr>
        <w:t>, respectively.</w:t>
      </w:r>
    </w:p>
    <w:p>
      <w:pPr>
        <w:spacing w:after="0" w:line="193" w:lineRule="exact"/>
        <w:rPr>
          <w:sz w:val="20"/>
          <w:szCs w:val="20"/>
          <w:color w:val="auto"/>
        </w:rPr>
      </w:pPr>
    </w:p>
    <w:p>
      <w:pPr>
        <w:ind w:right="4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means each currency (other than Dollars) that is requested by the Borrower and approved in accordance with Section 1.07.</w:t>
      </w:r>
    </w:p>
    <w:p>
      <w:pPr>
        <w:spacing w:after="0" w:line="203" w:lineRule="exact"/>
        <w:rPr>
          <w:sz w:val="20"/>
          <w:szCs w:val="20"/>
          <w:color w:val="auto"/>
        </w:rPr>
      </w:pPr>
    </w:p>
    <w:p>
      <w:pPr>
        <w:jc w:val="both"/>
        <w:ind w:right="20" w:firstLine="149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Equivalent</w:t>
      </w:r>
      <w:r>
        <w:rPr>
          <w:rFonts w:ascii="Arial" w:cs="Arial" w:eastAsia="Arial" w:hAnsi="Arial"/>
          <w:sz w:val="19"/>
          <w:szCs w:val="19"/>
          <w:color w:val="auto"/>
        </w:rPr>
        <w:t>” means, at any time, with respect to any amount denominated in Dollars, the equivalent amount thereof in the applicable Alternative Currency as determined by the Administrative Agent or the relevant Issuing Bank, as the case may be, at such time on the basis of the Spot Rate (determined in respect of the most recent Revaluation Date or other applicable date of determination) for the purchase of such Alternative Currency with Dollars.</w:t>
      </w:r>
    </w:p>
    <w:p>
      <w:pPr>
        <w:spacing w:after="0" w:line="188" w:lineRule="exact"/>
        <w:rPr>
          <w:sz w:val="20"/>
          <w:szCs w:val="20"/>
          <w:color w:val="auto"/>
        </w:rPr>
      </w:pPr>
    </w:p>
    <w:p>
      <w:pPr>
        <w:ind w:firstLine="1499"/>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Account</w:t>
      </w:r>
      <w:r>
        <w:rPr>
          <w:rFonts w:ascii="Arial" w:cs="Arial" w:eastAsia="Arial" w:hAnsi="Arial"/>
          <w:sz w:val="19"/>
          <w:szCs w:val="19"/>
          <w:color w:val="auto"/>
        </w:rPr>
        <w:t>” means, with respect to any payment to be made to the Administrative Agent hereunder, the account specified by the Administrative Agent from time to time for the purpose of receiving payments of such type.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339" w:right="519" w:bottom="1440" w:gutter="0" w:footer="0" w:header="0"/>
        </w:sectPr>
      </w:pPr>
    </w:p>
    <w:bookmarkStart w:id="149" w:name="page150"/>
    <w:bookmarkEnd w:id="149"/>
    <w:p>
      <w:pPr>
        <w:jc w:val="both"/>
        <w:ind w:left="5" w:firstLine="149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Asset Disposition Percentage</w:t>
      </w:r>
      <w:r>
        <w:rPr>
          <w:rFonts w:ascii="Arial" w:cs="Arial" w:eastAsia="Arial" w:hAnsi="Arial"/>
          <w:sz w:val="20"/>
          <w:szCs w:val="20"/>
          <w:color w:val="auto"/>
        </w:rPr>
        <w:t>” means, for any Asset Disposition Prepayment Event, (a) 100% if the Senior Secured First Lien Net Leverage Ratio (determined on a Pro Forma Basis after giving effect to such Prepayment Event and the use of proceeds therefrom) as of the last day of the most recently ended four fiscal quarters for which financial statements have been prepared or have been required to have been delivered pursuant to Section 5.01 hereof is greater than 4.50:1.00, (b) 50% if the Senior Secured First Lien Net Leverage Ratio (determined on a Pro Forma Basis after giving effect to such Prepayment Event and the use of proceeds therefrom) as of the last day of the most recently ended four fiscal quarters for which financial statements have been prepared or have been required to have been delivered pursuant to Section 5.01 hereof is less than or equal to 4.50:1.00 and greater than 4.00:1.00 and</w:t>
      </w:r>
    </w:p>
    <w:p>
      <w:pPr>
        <w:spacing w:after="0" w:line="4" w:lineRule="exact"/>
        <w:rPr>
          <w:sz w:val="20"/>
          <w:szCs w:val="20"/>
          <w:color w:val="auto"/>
        </w:rPr>
      </w:pPr>
    </w:p>
    <w:p>
      <w:pPr>
        <w:jc w:val="both"/>
        <w:ind w:left="5" w:right="20" w:hanging="5"/>
        <w:spacing w:after="0" w:line="281" w:lineRule="auto"/>
        <w:tabs>
          <w:tab w:leader="none" w:pos="2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0% if the Senior Secured First Lien Net Leverage Ratio (determined on a Pro Forma Basis after giving effect to such Prepayment Event and the use of proceeds therefrom) as of the last day of the most recently ended four fiscal quarters for which financial statements have been prepared or have been required to have been delivered pursuant to Section 5.01 hereof is less than or equal to 4.00:1.00.</w:t>
      </w:r>
    </w:p>
    <w:p>
      <w:pPr>
        <w:spacing w:after="0" w:line="174" w:lineRule="exact"/>
        <w:rPr>
          <w:sz w:val="20"/>
          <w:szCs w:val="20"/>
          <w:color w:val="auto"/>
        </w:rPr>
      </w:pPr>
    </w:p>
    <w:p>
      <w:pPr>
        <w:jc w:val="both"/>
        <w:ind w:left="5" w:right="4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Country</w:t>
      </w:r>
      <w:r>
        <w:rPr>
          <w:rFonts w:ascii="Arial" w:cs="Arial" w:eastAsia="Arial" w:hAnsi="Arial"/>
          <w:sz w:val="20"/>
          <w:szCs w:val="20"/>
          <w:color w:val="auto"/>
        </w:rPr>
        <w:t>” means (i) Canada, Cayman Islands, Ireland, Luxembourg and the United Kingdom and (ii) any other country or jurisdiction in which a Foreign Subsidiary that the Borrower elects to add as a Subsidiary Loan Party pursuant to Section 5.11(a) is incorporated or organized that is reasonably acceptable to the Administrative Agent.</w:t>
      </w:r>
    </w:p>
    <w:p>
      <w:pPr>
        <w:spacing w:after="0" w:line="215" w:lineRule="exact"/>
        <w:rPr>
          <w:sz w:val="20"/>
          <w:szCs w:val="20"/>
          <w:color w:val="auto"/>
        </w:rPr>
      </w:pPr>
    </w:p>
    <w:p>
      <w:pPr>
        <w:ind w:left="1505"/>
        <w:spacing w:after="0"/>
        <w:tabs>
          <w:tab w:leader="none" w:pos="2624" w:val="left"/>
          <w:tab w:leader="none" w:pos="3624" w:val="left"/>
          <w:tab w:leader="none" w:pos="4084" w:val="left"/>
          <w:tab w:leader="none" w:pos="4524" w:val="left"/>
          <w:tab w:leader="none" w:pos="5404" w:val="left"/>
          <w:tab w:leader="none" w:pos="6284" w:val="left"/>
          <w:tab w:leader="none" w:pos="6644" w:val="left"/>
          <w:tab w:leader="none" w:pos="7204" w:val="left"/>
          <w:tab w:leader="none" w:pos="7804" w:val="left"/>
        </w:tabs>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w:t>
      </w:r>
      <w:r>
        <w:rPr>
          <w:sz w:val="20"/>
          <w:szCs w:val="20"/>
          <w:color w:val="auto"/>
        </w:rPr>
        <w:tab/>
      </w:r>
      <w:r>
        <w:rPr>
          <w:rFonts w:ascii="Arial" w:cs="Arial" w:eastAsia="Arial" w:hAnsi="Arial"/>
          <w:sz w:val="20"/>
          <w:szCs w:val="20"/>
          <w:u w:val="single" w:color="auto"/>
          <w:color w:val="auto"/>
        </w:rPr>
        <w:t>Discount</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has</w:t>
        <w:tab/>
        <w:t>the</w:t>
        <w:tab/>
        <w:t>meaning</w:t>
        <w:tab/>
        <w:t>assigned</w:t>
        <w:tab/>
        <w:t>to</w:t>
        <w:tab/>
        <w:t>such</w:t>
        <w:tab/>
        <w:t>term</w:t>
      </w:r>
      <w:r>
        <w:rPr>
          <w:sz w:val="20"/>
          <w:szCs w:val="20"/>
          <w:color w:val="auto"/>
        </w:rPr>
        <w:tab/>
      </w:r>
      <w:r>
        <w:rPr>
          <w:rFonts w:ascii="Arial" w:cs="Arial" w:eastAsia="Arial" w:hAnsi="Arial"/>
          <w:sz w:val="18"/>
          <w:szCs w:val="18"/>
          <w:color w:val="auto"/>
        </w:rPr>
        <w:t>in Section 2.11(a)(ii)(C)(2).</w:t>
      </w:r>
    </w:p>
    <w:p>
      <w:pPr>
        <w:spacing w:after="0" w:line="228" w:lineRule="exact"/>
        <w:rPr>
          <w:sz w:val="20"/>
          <w:szCs w:val="20"/>
          <w:color w:val="auto"/>
        </w:rPr>
      </w:pPr>
    </w:p>
    <w:p>
      <w:pPr>
        <w:jc w:val="both"/>
        <w:ind w:left="5" w:firstLine="149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Fronting Exposure</w:t>
      </w:r>
      <w:r>
        <w:rPr>
          <w:rFonts w:ascii="Arial" w:cs="Arial" w:eastAsia="Arial" w:hAnsi="Arial"/>
          <w:sz w:val="19"/>
          <w:szCs w:val="19"/>
          <w:color w:val="auto"/>
        </w:rPr>
        <w:t>” means, with respect to any Person that is an Issuing Bank at any time, the sum of (a) the aggregate amount of all Letters of Credit issued by such Person in its capacity as an Issuing Bank (if applicable) that remains available for drawing at such time and (b) the aggregate amount of all LC Disbursements made by such Person in its capacity as an Issuing Bank (if applicable) that have not yet been reimbursed by or on behalf of the Borrower at such time.</w:t>
      </w:r>
    </w:p>
    <w:p>
      <w:pPr>
        <w:spacing w:after="0" w:line="202" w:lineRule="exact"/>
        <w:rPr>
          <w:sz w:val="20"/>
          <w:szCs w:val="20"/>
          <w:color w:val="auto"/>
        </w:rPr>
      </w:pPr>
    </w:p>
    <w:p>
      <w:pPr>
        <w:jc w:val="both"/>
        <w:ind w:left="5" w:right="20" w:firstLine="149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Letters of Credit, LC Disbursements and LC Exposure,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Revolving Commitments most recently in effect, giving effect to any assignments pursuant to this Agreement and to any Lender’s status as a Defaulting Lender at the time of determination.</w:t>
      </w:r>
    </w:p>
    <w:p>
      <w:pPr>
        <w:spacing w:after="0" w:line="399" w:lineRule="exact"/>
        <w:rPr>
          <w:sz w:val="20"/>
          <w:szCs w:val="20"/>
          <w:color w:val="auto"/>
        </w:rPr>
      </w:pPr>
    </w:p>
    <w:p>
      <w:pPr>
        <w:jc w:val="center"/>
        <w:ind w:right="-24"/>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66040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5"/>
          </w:cols>
          <w:pgMar w:left="495" w:top="121" w:right="519" w:bottom="1440" w:gutter="0" w:footer="0" w:header="0"/>
        </w:sectPr>
      </w:pPr>
    </w:p>
    <w:bookmarkStart w:id="150" w:name="page151"/>
    <w:bookmarkEnd w:id="150"/>
    <w:p>
      <w:pPr>
        <w:jc w:val="both"/>
        <w:ind w:left="8" w:right="80" w:firstLine="1499"/>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xml:space="preserve">” means, for any day, (a) with respect to any Initial Term Loan that is an ABR Loan, 2.75% or </w:t>
      </w:r>
      <w:r>
        <w:rPr>
          <w:rFonts w:ascii="Arial" w:cs="Arial" w:eastAsia="Arial" w:hAnsi="Arial"/>
          <w:sz w:val="16"/>
          <w:szCs w:val="16"/>
          <w:b w:val="1"/>
          <w:bCs w:val="1"/>
          <w:color w:val="FF0000"/>
          <w:strike w:val="1"/>
        </w:rPr>
        <w:t>Eurodollar</w:t>
      </w:r>
      <w:r>
        <w:rPr>
          <w:rFonts w:ascii="Arial" w:cs="Arial" w:eastAsia="Arial" w:hAnsi="Arial"/>
          <w:sz w:val="16"/>
          <w:szCs w:val="16"/>
          <w:b w:val="1"/>
          <w:bCs w:val="1"/>
          <w:u w:val="single" w:color="auto"/>
          <w:color w:val="0000FF"/>
        </w:rPr>
        <w:t>SOFR</w:t>
      </w:r>
      <w:r>
        <w:rPr>
          <w:rFonts w:ascii="Arial" w:cs="Arial" w:eastAsia="Arial" w:hAnsi="Arial"/>
          <w:sz w:val="16"/>
          <w:szCs w:val="16"/>
          <w:b w:val="1"/>
          <w:bCs w:val="1"/>
          <w:color w:val="FF0000"/>
        </w:rPr>
        <w:t xml:space="preserve"> </w:t>
      </w:r>
      <w:r>
        <w:rPr>
          <w:rFonts w:ascii="Arial" w:cs="Arial" w:eastAsia="Arial" w:hAnsi="Arial"/>
          <w:sz w:val="16"/>
          <w:szCs w:val="16"/>
          <w:color w:val="000000"/>
        </w:rPr>
        <w:t>Loan, 3.75%, and (b) with respect to any Revolving Loan that is an ABR Loan or</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Eurodollar</w:t>
      </w:r>
      <w:r>
        <w:rPr>
          <w:rFonts w:ascii="Arial" w:cs="Arial" w:eastAsia="Arial" w:hAnsi="Arial"/>
          <w:sz w:val="16"/>
          <w:szCs w:val="16"/>
          <w:b w:val="1"/>
          <w:bCs w:val="1"/>
          <w:u w:val="single" w:color="auto"/>
          <w:color w:val="0000FF"/>
        </w:rPr>
        <w:t>SOFR</w:t>
      </w:r>
      <w:r>
        <w:rPr>
          <w:rFonts w:ascii="Arial" w:cs="Arial" w:eastAsia="Arial" w:hAnsi="Arial"/>
          <w:sz w:val="16"/>
          <w:szCs w:val="16"/>
          <w:b w:val="1"/>
          <w:bCs w:val="1"/>
          <w:color w:val="FF0000"/>
        </w:rPr>
        <w:t xml:space="preserve"> </w:t>
      </w:r>
      <w:r>
        <w:rPr>
          <w:rFonts w:ascii="Arial" w:cs="Arial" w:eastAsia="Arial" w:hAnsi="Arial"/>
          <w:sz w:val="16"/>
          <w:szCs w:val="16"/>
          <w:color w:val="000000"/>
        </w:rPr>
        <w:t>Loan, the</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applicable rate per annum set forth below under the caption “ABR Spread” or “Adjusted </w:t>
      </w:r>
      <w:r>
        <w:rPr>
          <w:rFonts w:ascii="Arial" w:cs="Arial" w:eastAsia="Arial" w:hAnsi="Arial"/>
          <w:sz w:val="16"/>
          <w:szCs w:val="16"/>
          <w:b w:val="1"/>
          <w:bCs w:val="1"/>
          <w:color w:val="FF0000"/>
          <w:strike w:val="1"/>
        </w:rPr>
        <w:t>LIBO</w:t>
      </w:r>
      <w:r>
        <w:rPr>
          <w:rFonts w:ascii="Arial" w:cs="Arial" w:eastAsia="Arial" w:hAnsi="Arial"/>
          <w:sz w:val="16"/>
          <w:szCs w:val="16"/>
          <w:b w:val="1"/>
          <w:bCs w:val="1"/>
          <w:u w:val="single" w:color="auto"/>
          <w:color w:val="0000FF"/>
        </w:rPr>
        <w:t>Term SOFR</w:t>
      </w:r>
      <w:r>
        <w:rPr>
          <w:rFonts w:ascii="Arial" w:cs="Arial" w:eastAsia="Arial" w:hAnsi="Arial"/>
          <w:sz w:val="16"/>
          <w:szCs w:val="16"/>
          <w:color w:val="000000"/>
        </w:rPr>
        <w:t xml:space="preserve"> Rate Spread” as the case may be, based upon the Senior Secured First Lien Net Leverage Ratio as of the end of the fiscal quarter of the Borrower for which consolidated financial statements have theretofore been most recently delivered pursuant to Section 5.01(a) or 5.01(b);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for purposes of this clause (b), until the date of the delivery of the consolidated financial statements pursuant to Section 5.01(b) as of and for the fiscal quarter ended September 30, 2021, the Applicable Rate shall be based on the rates per annum set forth in Category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1030605</wp:posOffset>
            </wp:positionH>
            <wp:positionV relativeFrom="paragraph">
              <wp:posOffset>96520</wp:posOffset>
            </wp:positionV>
            <wp:extent cx="2671445" cy="6502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77">
                      <a:extLst>
                        <a:ext uri="{28A0092B-C50C-407E-A947-70E740481C1C}"/>
                      </a:extLst>
                    </a:blip>
                    <a:srcRect/>
                    <a:stretch>
                      <a:fillRect/>
                    </a:stretch>
                  </pic:blipFill>
                  <pic:spPr bwMode="auto">
                    <a:xfrm>
                      <a:off x="0" y="0"/>
                      <a:ext cx="2671445" cy="650240"/>
                    </a:xfrm>
                    <a:prstGeom prst="rect">
                      <a:avLst/>
                    </a:prstGeom>
                    <a:noFill/>
                  </pic:spPr>
                </pic:pic>
              </a:graphicData>
            </a:graphic>
          </wp:anchor>
        </w:drawing>
      </w:r>
    </w:p>
    <w:p>
      <w:pPr>
        <w:spacing w:after="0" w:line="132" w:lineRule="exact"/>
        <w:rPr>
          <w:sz w:val="20"/>
          <w:szCs w:val="20"/>
          <w:color w:val="auto"/>
        </w:rPr>
      </w:pPr>
    </w:p>
    <w:tbl>
      <w:tblPr>
        <w:tblLayout w:type="fixed"/>
        <w:tblInd w:w="1658" w:type="dxa"/>
        <w:tblCellMar>
          <w:top w:w="0" w:type="dxa"/>
          <w:left w:w="0" w:type="dxa"/>
          <w:bottom w:w="0" w:type="dxa"/>
          <w:right w:w="0" w:type="dxa"/>
        </w:tblCellMar>
      </w:tblPr>
      <w:tr>
        <w:trPr>
          <w:trHeight w:val="445"/>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gridSpan w:val="4"/>
            <w:vMerge w:val="restart"/>
          </w:tcPr>
          <w:p>
            <w:pPr>
              <w:jc w:val="right"/>
              <w:spacing w:after="0"/>
              <w:rPr>
                <w:sz w:val="20"/>
                <w:szCs w:val="20"/>
                <w:color w:val="auto"/>
              </w:rPr>
            </w:pPr>
            <w:r>
              <w:rPr>
                <w:rFonts w:ascii="Arial" w:cs="Arial" w:eastAsia="Arial" w:hAnsi="Arial"/>
                <w:sz w:val="20"/>
                <w:szCs w:val="20"/>
                <w:color w:val="auto"/>
                <w:w w:val="88"/>
              </w:rPr>
              <w:t>Senior Secured First Lien</w:t>
            </w:r>
          </w:p>
        </w:tc>
        <w:tc>
          <w:tcPr>
            <w:tcW w:w="40" w:type="dxa"/>
            <w:vAlign w:val="bottom"/>
          </w:tcPr>
          <w:p>
            <w:pPr>
              <w:spacing w:after="0"/>
              <w:rPr>
                <w:sz w:val="24"/>
                <w:szCs w:val="24"/>
                <w:color w:val="auto"/>
              </w:rPr>
            </w:pPr>
          </w:p>
        </w:tc>
        <w:tc>
          <w:tcPr>
            <w:tcW w:w="1120" w:type="dxa"/>
            <w:vAlign w:val="bottom"/>
            <w:vMerge w:val="restart"/>
          </w:tcPr>
          <w:p>
            <w:pPr>
              <w:spacing w:after="0"/>
              <w:rPr>
                <w:sz w:val="20"/>
                <w:szCs w:val="20"/>
                <w:color w:val="auto"/>
              </w:rPr>
            </w:pPr>
            <w:r>
              <w:rPr>
                <w:rFonts w:ascii="Arial" w:cs="Arial" w:eastAsia="Arial" w:hAnsi="Arial"/>
                <w:sz w:val="20"/>
                <w:szCs w:val="20"/>
                <w:color w:val="auto"/>
                <w:w w:val="91"/>
              </w:rPr>
              <w:t>Net Leverage</w:t>
            </w:r>
          </w:p>
        </w:tc>
        <w:tc>
          <w:tcPr>
            <w:tcW w:w="520" w:type="dxa"/>
            <w:vAlign w:val="bottom"/>
          </w:tcPr>
          <w:p>
            <w:pPr>
              <w:spacing w:after="0"/>
              <w:rPr>
                <w:sz w:val="24"/>
                <w:szCs w:val="24"/>
                <w:color w:val="auto"/>
              </w:rPr>
            </w:pPr>
          </w:p>
        </w:tc>
        <w:tc>
          <w:tcPr>
            <w:tcW w:w="700" w:type="dxa"/>
            <w:vAlign w:val="bottom"/>
            <w:tcBorders>
              <w:top w:val="single" w:sz="8" w:color="010101"/>
            </w:tcBorders>
          </w:tcPr>
          <w:p>
            <w:pPr>
              <w:spacing w:after="0"/>
              <w:rPr>
                <w:sz w:val="24"/>
                <w:szCs w:val="24"/>
                <w:color w:val="auto"/>
              </w:rPr>
            </w:pPr>
          </w:p>
        </w:tc>
        <w:tc>
          <w:tcPr>
            <w:tcW w:w="1000" w:type="dxa"/>
            <w:vAlign w:val="bottom"/>
            <w:tcBorders>
              <w:top w:val="single" w:sz="8" w:color="010101"/>
            </w:tcBorders>
          </w:tcPr>
          <w:p>
            <w:pPr>
              <w:spacing w:after="0"/>
              <w:rPr>
                <w:sz w:val="24"/>
                <w:szCs w:val="24"/>
                <w:color w:val="auto"/>
              </w:rPr>
            </w:pPr>
          </w:p>
        </w:tc>
        <w:tc>
          <w:tcPr>
            <w:tcW w:w="680" w:type="dxa"/>
            <w:vAlign w:val="bottom"/>
            <w:tcBorders>
              <w:top w:val="single" w:sz="8" w:color="010101"/>
              <w:right w:val="single" w:sz="8" w:color="010101"/>
            </w:tcBorders>
          </w:tcPr>
          <w:p>
            <w:pPr>
              <w:spacing w:after="0"/>
              <w:rPr>
                <w:sz w:val="24"/>
                <w:szCs w:val="24"/>
                <w:color w:val="auto"/>
              </w:rPr>
            </w:pPr>
          </w:p>
        </w:tc>
        <w:tc>
          <w:tcPr>
            <w:tcW w:w="460" w:type="dxa"/>
            <w:vAlign w:val="bottom"/>
            <w:tcBorders>
              <w:top w:val="single" w:sz="8" w:color="010101"/>
            </w:tcBorders>
          </w:tcPr>
          <w:p>
            <w:pPr>
              <w:spacing w:after="0"/>
              <w:rPr>
                <w:sz w:val="24"/>
                <w:szCs w:val="24"/>
                <w:color w:val="auto"/>
              </w:rPr>
            </w:pPr>
          </w:p>
        </w:tc>
        <w:tc>
          <w:tcPr>
            <w:tcW w:w="280" w:type="dxa"/>
            <w:vAlign w:val="bottom"/>
            <w:tcBorders>
              <w:top w:val="single" w:sz="8" w:color="010101"/>
            </w:tcBorders>
          </w:tcPr>
          <w:p>
            <w:pPr>
              <w:spacing w:after="0"/>
              <w:rPr>
                <w:sz w:val="24"/>
                <w:szCs w:val="24"/>
                <w:color w:val="auto"/>
              </w:rPr>
            </w:pPr>
          </w:p>
        </w:tc>
        <w:tc>
          <w:tcPr>
            <w:tcW w:w="120" w:type="dxa"/>
            <w:vAlign w:val="bottom"/>
            <w:tcBorders>
              <w:top w:val="single" w:sz="8" w:color="010101"/>
            </w:tcBorders>
          </w:tcPr>
          <w:p>
            <w:pPr>
              <w:spacing w:after="0"/>
              <w:rPr>
                <w:sz w:val="24"/>
                <w:szCs w:val="24"/>
                <w:color w:val="auto"/>
              </w:rPr>
            </w:pPr>
          </w:p>
        </w:tc>
        <w:tc>
          <w:tcPr>
            <w:tcW w:w="720" w:type="dxa"/>
            <w:vAlign w:val="bottom"/>
            <w:tcBorders>
              <w:top w:val="single" w:sz="8" w:color="010101"/>
              <w:bottom w:val="single" w:sz="8" w:color="auto"/>
            </w:tcBorders>
            <w:gridSpan w:val="4"/>
          </w:tcPr>
          <w:p>
            <w:pPr>
              <w:jc w:val="center"/>
              <w:spacing w:after="0"/>
              <w:rPr>
                <w:sz w:val="20"/>
                <w:szCs w:val="20"/>
                <w:color w:val="auto"/>
              </w:rPr>
            </w:pPr>
            <w:r>
              <w:rPr>
                <w:rFonts w:ascii="Arial" w:cs="Arial" w:eastAsia="Arial" w:hAnsi="Arial"/>
                <w:sz w:val="20"/>
                <w:szCs w:val="20"/>
                <w:color w:val="auto"/>
                <w:w w:val="92"/>
              </w:rPr>
              <w:t>Adjusted</w:t>
            </w:r>
          </w:p>
        </w:tc>
        <w:tc>
          <w:tcPr>
            <w:tcW w:w="880" w:type="dxa"/>
            <w:vAlign w:val="bottom"/>
            <w:tcBorders>
              <w:top w:val="single" w:sz="8" w:color="010101"/>
              <w:right w:val="single" w:sz="8" w:color="010101"/>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vMerge w:val="restart"/>
          </w:tcPr>
          <w:p>
            <w:pPr>
              <w:spacing w:after="0"/>
              <w:rPr>
                <w:sz w:val="13"/>
                <w:szCs w:val="13"/>
                <w:color w:val="auto"/>
              </w:rPr>
            </w:pPr>
          </w:p>
        </w:tc>
        <w:tc>
          <w:tcPr>
            <w:tcW w:w="400" w:type="dxa"/>
            <w:vAlign w:val="bottom"/>
            <w:vMerge w:val="restart"/>
          </w:tcPr>
          <w:p>
            <w:pPr>
              <w:spacing w:after="0"/>
              <w:rPr>
                <w:sz w:val="13"/>
                <w:szCs w:val="13"/>
                <w:color w:val="auto"/>
              </w:rPr>
            </w:pPr>
          </w:p>
        </w:tc>
        <w:tc>
          <w:tcPr>
            <w:tcW w:w="2020" w:type="dxa"/>
            <w:vAlign w:val="bottom"/>
            <w:tcBorders>
              <w:bottom w:val="single" w:sz="8" w:color="auto"/>
            </w:tcBorders>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460" w:type="dxa"/>
            <w:vAlign w:val="bottom"/>
            <w:vMerge w:val="restart"/>
          </w:tcPr>
          <w:p>
            <w:pPr>
              <w:spacing w:after="0"/>
              <w:rPr>
                <w:sz w:val="13"/>
                <w:szCs w:val="13"/>
                <w:color w:val="auto"/>
              </w:rPr>
            </w:pPr>
          </w:p>
        </w:tc>
        <w:tc>
          <w:tcPr>
            <w:tcW w:w="500" w:type="dxa"/>
            <w:vAlign w:val="bottom"/>
            <w:gridSpan w:val="3"/>
            <w:vMerge w:val="restart"/>
          </w:tcPr>
          <w:p>
            <w:pPr>
              <w:spacing w:after="0" w:line="209" w:lineRule="exact"/>
              <w:rPr>
                <w:sz w:val="20"/>
                <w:szCs w:val="20"/>
                <w:color w:val="auto"/>
              </w:rPr>
            </w:pPr>
            <w:r>
              <w:rPr>
                <w:rFonts w:ascii="Arial" w:cs="Arial" w:eastAsia="Arial" w:hAnsi="Arial"/>
                <w:sz w:val="20"/>
                <w:szCs w:val="20"/>
                <w:b w:val="1"/>
                <w:bCs w:val="1"/>
                <w:color w:val="FF0000"/>
                <w:strike w:val="1"/>
              </w:rPr>
              <w:t>LIBO</w:t>
            </w:r>
          </w:p>
        </w:tc>
        <w:tc>
          <w:tcPr>
            <w:tcW w:w="1500" w:type="dxa"/>
            <w:vAlign w:val="bottom"/>
            <w:tcBorders>
              <w:right w:val="single" w:sz="8" w:color="010101"/>
            </w:tcBorders>
            <w:gridSpan w:val="6"/>
            <w:vMerge w:val="restart"/>
          </w:tcPr>
          <w:p>
            <w:pPr>
              <w:spacing w:after="0" w:line="209" w:lineRule="exact"/>
              <w:rPr>
                <w:sz w:val="20"/>
                <w:szCs w:val="20"/>
                <w:color w:val="auto"/>
              </w:rPr>
            </w:pPr>
            <w:r>
              <w:rPr>
                <w:rFonts w:ascii="Arial" w:cs="Arial" w:eastAsia="Arial" w:hAnsi="Arial"/>
                <w:sz w:val="20"/>
                <w:szCs w:val="20"/>
                <w:b w:val="1"/>
                <w:bCs w:val="1"/>
                <w:color w:val="0000FF"/>
              </w:rPr>
              <w:t>Term SOFR</w:t>
            </w:r>
          </w:p>
        </w:tc>
        <w:tc>
          <w:tcPr>
            <w:tcW w:w="0" w:type="dxa"/>
            <w:vAlign w:val="bottom"/>
          </w:tcPr>
          <w:p>
            <w:pPr>
              <w:spacing w:after="0"/>
              <w:rPr>
                <w:sz w:val="1"/>
                <w:szCs w:val="1"/>
                <w:color w:val="auto"/>
              </w:rPr>
            </w:pPr>
          </w:p>
        </w:tc>
      </w:tr>
      <w:tr>
        <w:trPr>
          <w:trHeight w:val="34"/>
        </w:trPr>
        <w:tc>
          <w:tcPr>
            <w:tcW w:w="4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gridSpan w:val="2"/>
            <w:vMerge w:val="restart"/>
          </w:tcPr>
          <w:p>
            <w:pPr>
              <w:spacing w:after="0" w:line="196" w:lineRule="exact"/>
              <w:rPr>
                <w:sz w:val="20"/>
                <w:szCs w:val="20"/>
                <w:color w:val="auto"/>
              </w:rPr>
            </w:pPr>
            <w:r>
              <w:rPr>
                <w:rFonts w:ascii="Arial" w:cs="Arial" w:eastAsia="Arial" w:hAnsi="Arial"/>
                <w:sz w:val="20"/>
                <w:szCs w:val="20"/>
                <w:color w:val="auto"/>
                <w:w w:val="89"/>
              </w:rPr>
              <w:t>Ratio</w:t>
            </w:r>
          </w:p>
        </w:tc>
        <w:tc>
          <w:tcPr>
            <w:tcW w:w="3060" w:type="dxa"/>
            <w:vAlign w:val="bottom"/>
            <w:gridSpan w:val="4"/>
            <w:vMerge w:val="restart"/>
          </w:tcPr>
          <w:p>
            <w:pPr>
              <w:jc w:val="right"/>
              <w:ind w:right="3000"/>
              <w:spacing w:after="0"/>
              <w:rPr>
                <w:sz w:val="20"/>
                <w:szCs w:val="20"/>
                <w:color w:val="auto"/>
              </w:rPr>
            </w:pPr>
            <w:r>
              <w:rPr>
                <w:rFonts w:ascii="Arial" w:cs="Arial" w:eastAsia="Arial" w:hAnsi="Arial"/>
                <w:sz w:val="20"/>
                <w:szCs w:val="20"/>
                <w:color w:val="auto"/>
                <w:w w:val="71"/>
              </w:rPr>
              <w:t>:</w:t>
            </w: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Borders>
              <w:right w:val="single" w:sz="8" w:color="010101"/>
            </w:tcBorders>
          </w:tcPr>
          <w:p>
            <w:pPr>
              <w:spacing w:after="0"/>
              <w:rPr>
                <w:sz w:val="2"/>
                <w:szCs w:val="2"/>
                <w:color w:val="auto"/>
              </w:rPr>
            </w:pPr>
          </w:p>
        </w:tc>
        <w:tc>
          <w:tcPr>
            <w:tcW w:w="460" w:type="dxa"/>
            <w:vAlign w:val="bottom"/>
            <w:vMerge w:val="continue"/>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1500" w:type="dxa"/>
            <w:vAlign w:val="bottom"/>
            <w:tcBorders>
              <w:right w:val="single" w:sz="8" w:color="010101"/>
            </w:tcBorders>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3060" w:type="dxa"/>
            <w:vAlign w:val="bottom"/>
            <w:gridSpan w:val="4"/>
            <w:vMerge w:val="continue"/>
          </w:tcPr>
          <w:p>
            <w:pPr>
              <w:spacing w:after="0" w:line="20" w:lineRule="exact"/>
              <w:rPr>
                <w:sz w:val="1"/>
                <w:szCs w:val="1"/>
                <w:color w:val="auto"/>
              </w:rPr>
            </w:pPr>
          </w:p>
        </w:tc>
        <w:tc>
          <w:tcPr>
            <w:tcW w:w="2380" w:type="dxa"/>
            <w:vAlign w:val="bottom"/>
            <w:tcBorders>
              <w:right w:val="single" w:sz="8" w:color="010101"/>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FF0000"/>
          </w:tcPr>
          <w:p>
            <w:pPr>
              <w:spacing w:after="0" w:line="20" w:lineRule="exact"/>
              <w:rPr>
                <w:sz w:val="1"/>
                <w:szCs w:val="1"/>
                <w:color w:val="auto"/>
              </w:rPr>
            </w:pPr>
          </w:p>
        </w:tc>
        <w:tc>
          <w:tcPr>
            <w:tcW w:w="220" w:type="dxa"/>
            <w:vAlign w:val="bottom"/>
            <w:gridSpan w:val="2"/>
            <w:shd w:val="clear" w:color="auto" w:fill="FF0000"/>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vMerge w:val="restart"/>
          </w:tcPr>
          <w:p>
            <w:pPr>
              <w:spacing w:after="0"/>
              <w:rPr>
                <w:sz w:val="13"/>
                <w:szCs w:val="13"/>
                <w:color w:val="auto"/>
              </w:rPr>
            </w:pPr>
          </w:p>
        </w:tc>
        <w:tc>
          <w:tcPr>
            <w:tcW w:w="440" w:type="dxa"/>
            <w:vAlign w:val="bottom"/>
            <w:tcBorders>
              <w:bottom w:val="single" w:sz="8" w:color="auto"/>
            </w:tcBorders>
            <w:gridSpan w:val="2"/>
            <w:vMerge w:val="continue"/>
          </w:tcPr>
          <w:p>
            <w:pPr>
              <w:spacing w:after="0"/>
              <w:rPr>
                <w:sz w:val="13"/>
                <w:szCs w:val="13"/>
                <w:color w:val="auto"/>
              </w:rPr>
            </w:pPr>
          </w:p>
        </w:tc>
        <w:tc>
          <w:tcPr>
            <w:tcW w:w="3060" w:type="dxa"/>
            <w:vAlign w:val="bottom"/>
            <w:gridSpan w:val="4"/>
            <w:vMerge w:val="continue"/>
          </w:tcPr>
          <w:p>
            <w:pPr>
              <w:spacing w:after="0"/>
              <w:rPr>
                <w:sz w:val="13"/>
                <w:szCs w:val="13"/>
                <w:color w:val="auto"/>
              </w:rPr>
            </w:pPr>
          </w:p>
        </w:tc>
        <w:tc>
          <w:tcPr>
            <w:tcW w:w="2380" w:type="dxa"/>
            <w:vAlign w:val="bottom"/>
            <w:tcBorders>
              <w:right w:val="single" w:sz="8" w:color="010101"/>
            </w:tcBorders>
            <w:gridSpan w:val="3"/>
            <w:vMerge w:val="restart"/>
          </w:tcPr>
          <w:p>
            <w:pPr>
              <w:jc w:val="center"/>
              <w:spacing w:after="0" w:line="209" w:lineRule="exact"/>
              <w:rPr>
                <w:sz w:val="20"/>
                <w:szCs w:val="20"/>
                <w:color w:val="auto"/>
              </w:rPr>
            </w:pPr>
            <w:r>
              <w:rPr>
                <w:rFonts w:ascii="Arial" w:cs="Arial" w:eastAsia="Arial" w:hAnsi="Arial"/>
                <w:sz w:val="20"/>
                <w:szCs w:val="20"/>
                <w:color w:val="auto"/>
                <w:w w:val="89"/>
              </w:rPr>
              <w:t>ABR Spread</w:t>
            </w:r>
          </w:p>
        </w:tc>
        <w:tc>
          <w:tcPr>
            <w:tcW w:w="46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720" w:type="dxa"/>
            <w:vAlign w:val="bottom"/>
            <w:tcBorders>
              <w:right w:val="single" w:sz="8" w:color="010101"/>
            </w:tcBorders>
            <w:gridSpan w:val="8"/>
            <w:vMerge w:val="restart"/>
          </w:tcPr>
          <w:p>
            <w:pPr>
              <w:jc w:val="center"/>
              <w:ind w:right="760"/>
              <w:spacing w:after="0" w:line="209" w:lineRule="exact"/>
              <w:rPr>
                <w:sz w:val="20"/>
                <w:szCs w:val="20"/>
                <w:color w:val="auto"/>
              </w:rPr>
            </w:pPr>
            <w:r>
              <w:rPr>
                <w:rFonts w:ascii="Arial" w:cs="Arial" w:eastAsia="Arial" w:hAnsi="Arial"/>
                <w:sz w:val="20"/>
                <w:szCs w:val="20"/>
                <w:color w:val="auto"/>
                <w:w w:val="85"/>
              </w:rPr>
              <w:t>Rate Spread</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60" w:type="dxa"/>
            <w:vAlign w:val="bottom"/>
            <w:gridSpan w:val="4"/>
            <w:vMerge w:val="continue"/>
          </w:tcPr>
          <w:p>
            <w:pPr>
              <w:spacing w:after="0"/>
              <w:rPr>
                <w:sz w:val="2"/>
                <w:szCs w:val="2"/>
                <w:color w:val="auto"/>
              </w:rPr>
            </w:pPr>
          </w:p>
        </w:tc>
        <w:tc>
          <w:tcPr>
            <w:tcW w:w="2380" w:type="dxa"/>
            <w:vAlign w:val="bottom"/>
            <w:tcBorders>
              <w:right w:val="single" w:sz="8" w:color="010101"/>
            </w:tcBorders>
            <w:gridSpan w:val="3"/>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720" w:type="dxa"/>
            <w:vAlign w:val="bottom"/>
            <w:tcBorders>
              <w:right w:val="single" w:sz="8" w:color="010101"/>
            </w:tcBorders>
            <w:gridSpan w:val="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4100" w:type="dxa"/>
            <w:vAlign w:val="bottom"/>
            <w:gridSpan w:val="8"/>
            <w:vMerge w:val="restart"/>
          </w:tcPr>
          <w:p>
            <w:pPr>
              <w:spacing w:after="0"/>
              <w:rPr>
                <w:sz w:val="20"/>
                <w:szCs w:val="20"/>
                <w:color w:val="auto"/>
              </w:rPr>
            </w:pPr>
            <w:r>
              <w:rPr>
                <w:rFonts w:ascii="Arial" w:cs="Arial" w:eastAsia="Arial" w:hAnsi="Arial"/>
                <w:sz w:val="20"/>
                <w:szCs w:val="20"/>
                <w:color w:val="auto"/>
              </w:rPr>
              <w:t>Category 1</w:t>
            </w:r>
          </w:p>
        </w:tc>
        <w:tc>
          <w:tcPr>
            <w:tcW w:w="700" w:type="dxa"/>
            <w:vAlign w:val="bottom"/>
            <w:tcBorders>
              <w:bottom w:val="single" w:sz="8" w:color="010101"/>
            </w:tcBorders>
          </w:tcPr>
          <w:p>
            <w:pPr>
              <w:spacing w:after="0"/>
              <w:rPr>
                <w:sz w:val="3"/>
                <w:szCs w:val="3"/>
                <w:color w:val="auto"/>
              </w:rPr>
            </w:pPr>
          </w:p>
        </w:tc>
        <w:tc>
          <w:tcPr>
            <w:tcW w:w="1000" w:type="dxa"/>
            <w:vAlign w:val="bottom"/>
            <w:tcBorders>
              <w:top w:val="single" w:sz="8" w:color="auto"/>
              <w:bottom w:val="single" w:sz="8" w:color="010101"/>
            </w:tcBorders>
          </w:tcPr>
          <w:p>
            <w:pPr>
              <w:spacing w:after="0"/>
              <w:rPr>
                <w:sz w:val="3"/>
                <w:szCs w:val="3"/>
                <w:color w:val="auto"/>
              </w:rPr>
            </w:pPr>
          </w:p>
        </w:tc>
        <w:tc>
          <w:tcPr>
            <w:tcW w:w="680" w:type="dxa"/>
            <w:vAlign w:val="bottom"/>
            <w:tcBorders>
              <w:bottom w:val="single" w:sz="8" w:color="010101"/>
              <w:right w:val="single" w:sz="8" w:color="010101"/>
            </w:tcBorders>
          </w:tcPr>
          <w:p>
            <w:pPr>
              <w:spacing w:after="0"/>
              <w:rPr>
                <w:sz w:val="3"/>
                <w:szCs w:val="3"/>
                <w:color w:val="auto"/>
              </w:rPr>
            </w:pPr>
          </w:p>
        </w:tc>
        <w:tc>
          <w:tcPr>
            <w:tcW w:w="460" w:type="dxa"/>
            <w:vAlign w:val="bottom"/>
            <w:tcBorders>
              <w:bottom w:val="single" w:sz="8" w:color="010101"/>
            </w:tcBorders>
          </w:tcPr>
          <w:p>
            <w:pPr>
              <w:spacing w:after="0"/>
              <w:rPr>
                <w:sz w:val="3"/>
                <w:szCs w:val="3"/>
                <w:color w:val="auto"/>
              </w:rPr>
            </w:pPr>
          </w:p>
        </w:tc>
        <w:tc>
          <w:tcPr>
            <w:tcW w:w="280" w:type="dxa"/>
            <w:vAlign w:val="bottom"/>
            <w:tcBorders>
              <w:bottom w:val="single" w:sz="8" w:color="010101"/>
            </w:tcBorders>
          </w:tcPr>
          <w:p>
            <w:pPr>
              <w:spacing w:after="0"/>
              <w:rPr>
                <w:sz w:val="3"/>
                <w:szCs w:val="3"/>
                <w:color w:val="auto"/>
              </w:rPr>
            </w:pPr>
          </w:p>
        </w:tc>
        <w:tc>
          <w:tcPr>
            <w:tcW w:w="120" w:type="dxa"/>
            <w:vAlign w:val="bottom"/>
            <w:tcBorders>
              <w:top w:val="single" w:sz="8" w:color="auto"/>
              <w:bottom w:val="single" w:sz="8" w:color="010101"/>
            </w:tcBorders>
          </w:tcPr>
          <w:p>
            <w:pPr>
              <w:spacing w:after="0"/>
              <w:rPr>
                <w:sz w:val="3"/>
                <w:szCs w:val="3"/>
                <w:color w:val="auto"/>
              </w:rPr>
            </w:pPr>
          </w:p>
        </w:tc>
        <w:tc>
          <w:tcPr>
            <w:tcW w:w="100" w:type="dxa"/>
            <w:vAlign w:val="bottom"/>
            <w:tcBorders>
              <w:top w:val="single" w:sz="8" w:color="auto"/>
              <w:bottom w:val="single" w:sz="8" w:color="010101"/>
            </w:tcBorders>
          </w:tcPr>
          <w:p>
            <w:pPr>
              <w:spacing w:after="0"/>
              <w:rPr>
                <w:sz w:val="3"/>
                <w:szCs w:val="3"/>
                <w:color w:val="auto"/>
              </w:rPr>
            </w:pPr>
          </w:p>
        </w:tc>
        <w:tc>
          <w:tcPr>
            <w:tcW w:w="140" w:type="dxa"/>
            <w:vAlign w:val="bottom"/>
            <w:tcBorders>
              <w:top w:val="single" w:sz="8" w:color="auto"/>
              <w:bottom w:val="single" w:sz="8" w:color="010101"/>
            </w:tcBorders>
          </w:tcPr>
          <w:p>
            <w:pPr>
              <w:spacing w:after="0"/>
              <w:rPr>
                <w:sz w:val="3"/>
                <w:szCs w:val="3"/>
                <w:color w:val="auto"/>
              </w:rPr>
            </w:pPr>
          </w:p>
        </w:tc>
        <w:tc>
          <w:tcPr>
            <w:tcW w:w="60" w:type="dxa"/>
            <w:vAlign w:val="bottom"/>
            <w:tcBorders>
              <w:bottom w:val="single" w:sz="8" w:color="010101"/>
            </w:tcBorders>
          </w:tcPr>
          <w:p>
            <w:pPr>
              <w:spacing w:after="0"/>
              <w:rPr>
                <w:sz w:val="3"/>
                <w:szCs w:val="3"/>
                <w:color w:val="auto"/>
              </w:rPr>
            </w:pPr>
          </w:p>
        </w:tc>
        <w:tc>
          <w:tcPr>
            <w:tcW w:w="420" w:type="dxa"/>
            <w:vAlign w:val="bottom"/>
            <w:tcBorders>
              <w:top w:val="single" w:sz="8" w:color="auto"/>
              <w:bottom w:val="single" w:sz="8" w:color="010101"/>
            </w:tcBorders>
          </w:tcPr>
          <w:p>
            <w:pPr>
              <w:spacing w:after="0"/>
              <w:rPr>
                <w:sz w:val="3"/>
                <w:szCs w:val="3"/>
                <w:color w:val="auto"/>
              </w:rPr>
            </w:pPr>
          </w:p>
        </w:tc>
        <w:tc>
          <w:tcPr>
            <w:tcW w:w="120" w:type="dxa"/>
            <w:vAlign w:val="bottom"/>
            <w:tcBorders>
              <w:top w:val="single" w:sz="8" w:color="auto"/>
              <w:bottom w:val="single" w:sz="8" w:color="010101"/>
            </w:tcBorders>
          </w:tcPr>
          <w:p>
            <w:pPr>
              <w:spacing w:after="0"/>
              <w:rPr>
                <w:sz w:val="3"/>
                <w:szCs w:val="3"/>
                <w:color w:val="auto"/>
              </w:rPr>
            </w:pPr>
          </w:p>
        </w:tc>
        <w:tc>
          <w:tcPr>
            <w:tcW w:w="280" w:type="dxa"/>
            <w:vAlign w:val="bottom"/>
            <w:tcBorders>
              <w:bottom w:val="single" w:sz="8" w:color="010101"/>
            </w:tcBorders>
          </w:tcPr>
          <w:p>
            <w:pPr>
              <w:spacing w:after="0"/>
              <w:rPr>
                <w:sz w:val="3"/>
                <w:szCs w:val="3"/>
                <w:color w:val="auto"/>
              </w:rPr>
            </w:pPr>
          </w:p>
        </w:tc>
        <w:tc>
          <w:tcPr>
            <w:tcW w:w="48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010101"/>
            </w:tcBorders>
          </w:tcPr>
          <w:p>
            <w:pPr>
              <w:spacing w:after="0"/>
              <w:rPr>
                <w:sz w:val="17"/>
                <w:szCs w:val="17"/>
                <w:color w:val="auto"/>
              </w:rPr>
            </w:pPr>
          </w:p>
        </w:tc>
        <w:tc>
          <w:tcPr>
            <w:tcW w:w="4100" w:type="dxa"/>
            <w:vAlign w:val="bottom"/>
            <w:gridSpan w:val="8"/>
            <w:vMerge w:val="continue"/>
          </w:tcPr>
          <w:p>
            <w:pPr>
              <w:spacing w:after="0"/>
              <w:rPr>
                <w:sz w:val="17"/>
                <w:szCs w:val="17"/>
                <w:color w:val="auto"/>
              </w:rPr>
            </w:pPr>
          </w:p>
        </w:tc>
        <w:tc>
          <w:tcPr>
            <w:tcW w:w="1700" w:type="dxa"/>
            <w:vAlign w:val="bottom"/>
            <w:tcBorders>
              <w:left w:val="single" w:sz="8" w:color="010101"/>
            </w:tcBorders>
            <w:gridSpan w:val="2"/>
          </w:tcPr>
          <w:p>
            <w:pPr>
              <w:jc w:val="center"/>
              <w:ind w:left="581"/>
              <w:spacing w:after="0" w:line="203" w:lineRule="exact"/>
              <w:rPr>
                <w:sz w:val="20"/>
                <w:szCs w:val="20"/>
                <w:color w:val="auto"/>
              </w:rPr>
            </w:pPr>
            <w:r>
              <w:rPr>
                <w:rFonts w:ascii="Arial" w:cs="Arial" w:eastAsia="Arial" w:hAnsi="Arial"/>
                <w:sz w:val="20"/>
                <w:szCs w:val="20"/>
                <w:color w:val="auto"/>
                <w:w w:val="88"/>
              </w:rPr>
              <w:t>2.75%</w:t>
            </w:r>
          </w:p>
        </w:tc>
        <w:tc>
          <w:tcPr>
            <w:tcW w:w="680" w:type="dxa"/>
            <w:vAlign w:val="bottom"/>
            <w:tcBorders>
              <w:right w:val="single" w:sz="8" w:color="010101"/>
            </w:tcBorders>
          </w:tcPr>
          <w:p>
            <w:pPr>
              <w:spacing w:after="0"/>
              <w:rPr>
                <w:sz w:val="17"/>
                <w:szCs w:val="17"/>
                <w:color w:val="auto"/>
              </w:rPr>
            </w:pPr>
          </w:p>
        </w:tc>
        <w:tc>
          <w:tcPr>
            <w:tcW w:w="1580" w:type="dxa"/>
            <w:vAlign w:val="bottom"/>
            <w:gridSpan w:val="7"/>
          </w:tcPr>
          <w:p>
            <w:pPr>
              <w:jc w:val="center"/>
              <w:ind w:left="761"/>
              <w:spacing w:after="0" w:line="203" w:lineRule="exact"/>
              <w:rPr>
                <w:sz w:val="20"/>
                <w:szCs w:val="20"/>
                <w:color w:val="auto"/>
              </w:rPr>
            </w:pPr>
            <w:r>
              <w:rPr>
                <w:rFonts w:ascii="Arial" w:cs="Arial" w:eastAsia="Arial" w:hAnsi="Arial"/>
                <w:sz w:val="20"/>
                <w:szCs w:val="20"/>
                <w:color w:val="auto"/>
                <w:w w:val="91"/>
              </w:rPr>
              <w:t>3.75%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Borders>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010101"/>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700" w:type="dxa"/>
            <w:vAlign w:val="bottom"/>
            <w:tcBorders>
              <w:left w:val="single" w:sz="8" w:color="010101"/>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 w:type="dxa"/>
            <w:vAlign w:val="bottom"/>
            <w:tcBorders>
              <w:left w:val="single" w:sz="8" w:color="010101"/>
            </w:tcBorders>
          </w:tcPr>
          <w:p>
            <w:pPr>
              <w:spacing w:after="0"/>
              <w:rPr>
                <w:sz w:val="22"/>
                <w:szCs w:val="22"/>
                <w:color w:val="auto"/>
              </w:rPr>
            </w:pPr>
          </w:p>
        </w:tc>
        <w:tc>
          <w:tcPr>
            <w:tcW w:w="4100" w:type="dxa"/>
            <w:vAlign w:val="bottom"/>
            <w:gridSpan w:val="8"/>
          </w:tcPr>
          <w:p>
            <w:pPr>
              <w:spacing w:after="0"/>
              <w:rPr>
                <w:sz w:val="20"/>
                <w:szCs w:val="20"/>
                <w:color w:val="auto"/>
              </w:rPr>
            </w:pPr>
            <w:r>
              <w:rPr>
                <w:rFonts w:ascii="Arial" w:cs="Arial" w:eastAsia="Arial" w:hAnsi="Arial"/>
                <w:sz w:val="20"/>
                <w:szCs w:val="20"/>
                <w:color w:val="auto"/>
              </w:rPr>
              <w:t>Greater than or equal to 5.00 to 1.00</w:t>
            </w:r>
          </w:p>
        </w:tc>
        <w:tc>
          <w:tcPr>
            <w:tcW w:w="700" w:type="dxa"/>
            <w:vAlign w:val="bottom"/>
            <w:tcBorders>
              <w:left w:val="single" w:sz="8" w:color="010101"/>
            </w:tcBorders>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Borders>
              <w:right w:val="single" w:sz="8" w:color="010101"/>
            </w:tcBorders>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Borders>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010101"/>
              <w:bottom w:val="single" w:sz="8" w:color="010101"/>
            </w:tcBorders>
          </w:tcPr>
          <w:p>
            <w:pPr>
              <w:spacing w:after="0"/>
              <w:rPr>
                <w:sz w:val="16"/>
                <w:szCs w:val="16"/>
                <w:color w:val="auto"/>
              </w:rPr>
            </w:pPr>
          </w:p>
        </w:tc>
        <w:tc>
          <w:tcPr>
            <w:tcW w:w="400" w:type="dxa"/>
            <w:vAlign w:val="bottom"/>
            <w:tcBorders>
              <w:bottom w:val="single" w:sz="8" w:color="010101"/>
            </w:tcBorders>
          </w:tcPr>
          <w:p>
            <w:pPr>
              <w:spacing w:after="0"/>
              <w:rPr>
                <w:sz w:val="16"/>
                <w:szCs w:val="16"/>
                <w:color w:val="auto"/>
              </w:rPr>
            </w:pPr>
          </w:p>
        </w:tc>
        <w:tc>
          <w:tcPr>
            <w:tcW w:w="200" w:type="dxa"/>
            <w:vAlign w:val="bottom"/>
            <w:tcBorders>
              <w:bottom w:val="single" w:sz="8" w:color="010101"/>
            </w:tcBorders>
          </w:tcPr>
          <w:p>
            <w:pPr>
              <w:spacing w:after="0"/>
              <w:rPr>
                <w:sz w:val="16"/>
                <w:szCs w:val="16"/>
                <w:color w:val="auto"/>
              </w:rPr>
            </w:pPr>
          </w:p>
        </w:tc>
        <w:tc>
          <w:tcPr>
            <w:tcW w:w="260" w:type="dxa"/>
            <w:vAlign w:val="bottom"/>
            <w:tcBorders>
              <w:bottom w:val="single" w:sz="8" w:color="010101"/>
            </w:tcBorders>
          </w:tcPr>
          <w:p>
            <w:pPr>
              <w:spacing w:after="0"/>
              <w:rPr>
                <w:sz w:val="16"/>
                <w:szCs w:val="16"/>
                <w:color w:val="auto"/>
              </w:rPr>
            </w:pPr>
          </w:p>
        </w:tc>
        <w:tc>
          <w:tcPr>
            <w:tcW w:w="180" w:type="dxa"/>
            <w:vAlign w:val="bottom"/>
            <w:tcBorders>
              <w:bottom w:val="single" w:sz="8" w:color="010101"/>
            </w:tcBorders>
          </w:tcPr>
          <w:p>
            <w:pPr>
              <w:spacing w:after="0"/>
              <w:rPr>
                <w:sz w:val="16"/>
                <w:szCs w:val="16"/>
                <w:color w:val="auto"/>
              </w:rPr>
            </w:pPr>
          </w:p>
        </w:tc>
        <w:tc>
          <w:tcPr>
            <w:tcW w:w="1380" w:type="dxa"/>
            <w:vAlign w:val="bottom"/>
            <w:tcBorders>
              <w:bottom w:val="single" w:sz="8" w:color="010101"/>
            </w:tcBorders>
          </w:tcPr>
          <w:p>
            <w:pPr>
              <w:spacing w:after="0"/>
              <w:rPr>
                <w:sz w:val="16"/>
                <w:szCs w:val="16"/>
                <w:color w:val="auto"/>
              </w:rPr>
            </w:pPr>
          </w:p>
        </w:tc>
        <w:tc>
          <w:tcPr>
            <w:tcW w:w="40" w:type="dxa"/>
            <w:vAlign w:val="bottom"/>
            <w:tcBorders>
              <w:bottom w:val="single" w:sz="8" w:color="010101"/>
            </w:tcBorders>
          </w:tcPr>
          <w:p>
            <w:pPr>
              <w:spacing w:after="0"/>
              <w:rPr>
                <w:sz w:val="16"/>
                <w:szCs w:val="16"/>
                <w:color w:val="auto"/>
              </w:rPr>
            </w:pPr>
          </w:p>
        </w:tc>
        <w:tc>
          <w:tcPr>
            <w:tcW w:w="1120" w:type="dxa"/>
            <w:vAlign w:val="bottom"/>
            <w:tcBorders>
              <w:bottom w:val="single" w:sz="8" w:color="010101"/>
            </w:tcBorders>
          </w:tcPr>
          <w:p>
            <w:pPr>
              <w:spacing w:after="0"/>
              <w:rPr>
                <w:sz w:val="16"/>
                <w:szCs w:val="16"/>
                <w:color w:val="auto"/>
              </w:rPr>
            </w:pPr>
          </w:p>
        </w:tc>
        <w:tc>
          <w:tcPr>
            <w:tcW w:w="520" w:type="dxa"/>
            <w:vAlign w:val="bottom"/>
            <w:tcBorders>
              <w:bottom w:val="single" w:sz="8" w:color="010101"/>
            </w:tcBorders>
          </w:tcPr>
          <w:p>
            <w:pPr>
              <w:spacing w:after="0"/>
              <w:rPr>
                <w:sz w:val="16"/>
                <w:szCs w:val="16"/>
                <w:color w:val="auto"/>
              </w:rPr>
            </w:pPr>
          </w:p>
        </w:tc>
        <w:tc>
          <w:tcPr>
            <w:tcW w:w="700" w:type="dxa"/>
            <w:vAlign w:val="bottom"/>
            <w:tcBorders>
              <w:left w:val="single" w:sz="8" w:color="010101"/>
              <w:bottom w:val="single" w:sz="8" w:color="010101"/>
            </w:tcBorders>
          </w:tcPr>
          <w:p>
            <w:pPr>
              <w:spacing w:after="0"/>
              <w:rPr>
                <w:sz w:val="16"/>
                <w:szCs w:val="16"/>
                <w:color w:val="auto"/>
              </w:rPr>
            </w:pPr>
          </w:p>
        </w:tc>
        <w:tc>
          <w:tcPr>
            <w:tcW w:w="1000" w:type="dxa"/>
            <w:vAlign w:val="bottom"/>
            <w:tcBorders>
              <w:bottom w:val="single" w:sz="8" w:color="010101"/>
            </w:tcBorders>
          </w:tcPr>
          <w:p>
            <w:pPr>
              <w:spacing w:after="0"/>
              <w:rPr>
                <w:sz w:val="16"/>
                <w:szCs w:val="16"/>
                <w:color w:val="auto"/>
              </w:rPr>
            </w:pPr>
          </w:p>
        </w:tc>
        <w:tc>
          <w:tcPr>
            <w:tcW w:w="680" w:type="dxa"/>
            <w:vAlign w:val="bottom"/>
            <w:tcBorders>
              <w:bottom w:val="single" w:sz="8" w:color="010101"/>
              <w:right w:val="single" w:sz="8" w:color="010101"/>
            </w:tcBorders>
          </w:tcPr>
          <w:p>
            <w:pPr>
              <w:spacing w:after="0"/>
              <w:rPr>
                <w:sz w:val="16"/>
                <w:szCs w:val="16"/>
                <w:color w:val="auto"/>
              </w:rPr>
            </w:pPr>
          </w:p>
        </w:tc>
        <w:tc>
          <w:tcPr>
            <w:tcW w:w="460" w:type="dxa"/>
            <w:vAlign w:val="bottom"/>
            <w:tcBorders>
              <w:bottom w:val="single" w:sz="8" w:color="010101"/>
            </w:tcBorders>
          </w:tcPr>
          <w:p>
            <w:pPr>
              <w:spacing w:after="0"/>
              <w:rPr>
                <w:sz w:val="16"/>
                <w:szCs w:val="16"/>
                <w:color w:val="auto"/>
              </w:rPr>
            </w:pPr>
          </w:p>
        </w:tc>
        <w:tc>
          <w:tcPr>
            <w:tcW w:w="280" w:type="dxa"/>
            <w:vAlign w:val="bottom"/>
            <w:tcBorders>
              <w:bottom w:val="single" w:sz="8" w:color="010101"/>
            </w:tcBorders>
          </w:tcPr>
          <w:p>
            <w:pPr>
              <w:spacing w:after="0"/>
              <w:rPr>
                <w:sz w:val="16"/>
                <w:szCs w:val="16"/>
                <w:color w:val="auto"/>
              </w:rPr>
            </w:pPr>
          </w:p>
        </w:tc>
        <w:tc>
          <w:tcPr>
            <w:tcW w:w="120" w:type="dxa"/>
            <w:vAlign w:val="bottom"/>
            <w:tcBorders>
              <w:bottom w:val="single" w:sz="8" w:color="010101"/>
            </w:tcBorders>
          </w:tcPr>
          <w:p>
            <w:pPr>
              <w:spacing w:after="0"/>
              <w:rPr>
                <w:sz w:val="16"/>
                <w:szCs w:val="16"/>
                <w:color w:val="auto"/>
              </w:rPr>
            </w:pPr>
          </w:p>
        </w:tc>
        <w:tc>
          <w:tcPr>
            <w:tcW w:w="100" w:type="dxa"/>
            <w:vAlign w:val="bottom"/>
            <w:tcBorders>
              <w:bottom w:val="single" w:sz="8" w:color="010101"/>
            </w:tcBorders>
          </w:tcPr>
          <w:p>
            <w:pPr>
              <w:spacing w:after="0"/>
              <w:rPr>
                <w:sz w:val="16"/>
                <w:szCs w:val="16"/>
                <w:color w:val="auto"/>
              </w:rPr>
            </w:pPr>
          </w:p>
        </w:tc>
        <w:tc>
          <w:tcPr>
            <w:tcW w:w="140" w:type="dxa"/>
            <w:vAlign w:val="bottom"/>
            <w:tcBorders>
              <w:bottom w:val="single" w:sz="8" w:color="010101"/>
            </w:tcBorders>
          </w:tcPr>
          <w:p>
            <w:pPr>
              <w:spacing w:after="0"/>
              <w:rPr>
                <w:sz w:val="16"/>
                <w:szCs w:val="16"/>
                <w:color w:val="auto"/>
              </w:rPr>
            </w:pPr>
          </w:p>
        </w:tc>
        <w:tc>
          <w:tcPr>
            <w:tcW w:w="60" w:type="dxa"/>
            <w:vAlign w:val="bottom"/>
            <w:tcBorders>
              <w:bottom w:val="single" w:sz="8" w:color="010101"/>
            </w:tcBorders>
          </w:tcPr>
          <w:p>
            <w:pPr>
              <w:spacing w:after="0"/>
              <w:rPr>
                <w:sz w:val="16"/>
                <w:szCs w:val="16"/>
                <w:color w:val="auto"/>
              </w:rPr>
            </w:pPr>
          </w:p>
        </w:tc>
        <w:tc>
          <w:tcPr>
            <w:tcW w:w="420" w:type="dxa"/>
            <w:vAlign w:val="bottom"/>
            <w:tcBorders>
              <w:bottom w:val="single" w:sz="8" w:color="010101"/>
            </w:tcBorders>
          </w:tcPr>
          <w:p>
            <w:pPr>
              <w:spacing w:after="0"/>
              <w:rPr>
                <w:sz w:val="16"/>
                <w:szCs w:val="16"/>
                <w:color w:val="auto"/>
              </w:rPr>
            </w:pPr>
          </w:p>
        </w:tc>
        <w:tc>
          <w:tcPr>
            <w:tcW w:w="120" w:type="dxa"/>
            <w:vAlign w:val="bottom"/>
            <w:tcBorders>
              <w:bottom w:val="single" w:sz="8" w:color="010101"/>
            </w:tcBorders>
          </w:tcPr>
          <w:p>
            <w:pPr>
              <w:spacing w:after="0"/>
              <w:rPr>
                <w:sz w:val="16"/>
                <w:szCs w:val="16"/>
                <w:color w:val="auto"/>
              </w:rPr>
            </w:pPr>
          </w:p>
        </w:tc>
        <w:tc>
          <w:tcPr>
            <w:tcW w:w="280" w:type="dxa"/>
            <w:vAlign w:val="bottom"/>
            <w:tcBorders>
              <w:bottom w:val="single" w:sz="8" w:color="010101"/>
            </w:tcBorders>
          </w:tcPr>
          <w:p>
            <w:pPr>
              <w:spacing w:after="0"/>
              <w:rPr>
                <w:sz w:val="16"/>
                <w:szCs w:val="16"/>
                <w:color w:val="auto"/>
              </w:rPr>
            </w:pPr>
          </w:p>
        </w:tc>
        <w:tc>
          <w:tcPr>
            <w:tcW w:w="480" w:type="dxa"/>
            <w:vAlign w:val="bottom"/>
            <w:tcBorders>
              <w:bottom w:val="single" w:sz="8" w:color="010101"/>
              <w:right w:val="single" w:sz="8" w:color="010101"/>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010101"/>
            </w:tcBorders>
          </w:tcPr>
          <w:p>
            <w:pPr>
              <w:spacing w:after="0"/>
              <w:rPr>
                <w:sz w:val="17"/>
                <w:szCs w:val="17"/>
                <w:color w:val="auto"/>
              </w:rPr>
            </w:pPr>
          </w:p>
        </w:tc>
        <w:tc>
          <w:tcPr>
            <w:tcW w:w="4100" w:type="dxa"/>
            <w:vAlign w:val="bottom"/>
            <w:gridSpan w:val="8"/>
          </w:tcPr>
          <w:p>
            <w:pPr>
              <w:spacing w:after="0" w:line="196" w:lineRule="exact"/>
              <w:rPr>
                <w:sz w:val="20"/>
                <w:szCs w:val="20"/>
                <w:color w:val="auto"/>
              </w:rPr>
            </w:pPr>
            <w:r>
              <w:rPr>
                <w:rFonts w:ascii="Arial" w:cs="Arial" w:eastAsia="Arial" w:hAnsi="Arial"/>
                <w:sz w:val="20"/>
                <w:szCs w:val="20"/>
                <w:color w:val="auto"/>
              </w:rPr>
              <w:t>Category 2</w:t>
            </w:r>
          </w:p>
        </w:tc>
        <w:tc>
          <w:tcPr>
            <w:tcW w:w="1700" w:type="dxa"/>
            <w:vAlign w:val="bottom"/>
            <w:tcBorders>
              <w:left w:val="single" w:sz="8" w:color="010101"/>
            </w:tcBorders>
            <w:gridSpan w:val="2"/>
          </w:tcPr>
          <w:p>
            <w:pPr>
              <w:jc w:val="center"/>
              <w:ind w:left="581"/>
              <w:spacing w:after="0" w:line="196" w:lineRule="exact"/>
              <w:rPr>
                <w:sz w:val="20"/>
                <w:szCs w:val="20"/>
                <w:color w:val="auto"/>
              </w:rPr>
            </w:pPr>
            <w:r>
              <w:rPr>
                <w:rFonts w:ascii="Arial" w:cs="Arial" w:eastAsia="Arial" w:hAnsi="Arial"/>
                <w:sz w:val="20"/>
                <w:szCs w:val="20"/>
                <w:color w:val="auto"/>
                <w:w w:val="88"/>
              </w:rPr>
              <w:t>2.50%</w:t>
            </w:r>
          </w:p>
        </w:tc>
        <w:tc>
          <w:tcPr>
            <w:tcW w:w="680" w:type="dxa"/>
            <w:vAlign w:val="bottom"/>
            <w:tcBorders>
              <w:right w:val="single" w:sz="8" w:color="010101"/>
            </w:tcBorders>
          </w:tcPr>
          <w:p>
            <w:pPr>
              <w:spacing w:after="0"/>
              <w:rPr>
                <w:sz w:val="17"/>
                <w:szCs w:val="17"/>
                <w:color w:val="auto"/>
              </w:rPr>
            </w:pPr>
          </w:p>
        </w:tc>
        <w:tc>
          <w:tcPr>
            <w:tcW w:w="1580" w:type="dxa"/>
            <w:vAlign w:val="bottom"/>
            <w:gridSpan w:val="7"/>
          </w:tcPr>
          <w:p>
            <w:pPr>
              <w:jc w:val="center"/>
              <w:ind w:left="761"/>
              <w:spacing w:after="0" w:line="196" w:lineRule="exact"/>
              <w:rPr>
                <w:sz w:val="20"/>
                <w:szCs w:val="20"/>
                <w:color w:val="auto"/>
              </w:rPr>
            </w:pPr>
            <w:r>
              <w:rPr>
                <w:rFonts w:ascii="Arial" w:cs="Arial" w:eastAsia="Arial" w:hAnsi="Arial"/>
                <w:sz w:val="20"/>
                <w:szCs w:val="20"/>
                <w:color w:val="auto"/>
                <w:w w:val="91"/>
              </w:rPr>
              <w:t>3.50%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Borders>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010101"/>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700" w:type="dxa"/>
            <w:vAlign w:val="bottom"/>
            <w:tcBorders>
              <w:left w:val="single" w:sz="8" w:color="010101"/>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Borders>
              <w:left w:val="single" w:sz="8" w:color="010101"/>
            </w:tcBorders>
          </w:tcPr>
          <w:p>
            <w:pPr>
              <w:spacing w:after="0"/>
              <w:rPr>
                <w:sz w:val="20"/>
                <w:szCs w:val="20"/>
                <w:color w:val="auto"/>
              </w:rPr>
            </w:pPr>
          </w:p>
        </w:tc>
        <w:tc>
          <w:tcPr>
            <w:tcW w:w="4100" w:type="dxa"/>
            <w:vAlign w:val="bottom"/>
            <w:gridSpan w:val="8"/>
          </w:tcPr>
          <w:p>
            <w:pPr>
              <w:spacing w:after="0"/>
              <w:rPr>
                <w:sz w:val="20"/>
                <w:szCs w:val="20"/>
                <w:color w:val="auto"/>
              </w:rPr>
            </w:pPr>
            <w:r>
              <w:rPr>
                <w:rFonts w:ascii="Arial" w:cs="Arial" w:eastAsia="Arial" w:hAnsi="Arial"/>
                <w:sz w:val="20"/>
                <w:szCs w:val="20"/>
                <w:color w:val="auto"/>
                <w:w w:val="91"/>
              </w:rPr>
              <w:t>Less than 5.00 to 1.00 but greater than or equal to</w:t>
            </w:r>
          </w:p>
        </w:tc>
        <w:tc>
          <w:tcPr>
            <w:tcW w:w="700" w:type="dxa"/>
            <w:vAlign w:val="bottom"/>
            <w:tcBorders>
              <w:left w:val="single" w:sz="8" w:color="010101"/>
            </w:tcBorders>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Borders>
              <w:right w:val="single" w:sz="8" w:color="010101"/>
            </w:tcBorders>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Borders>
              <w:left w:val="single" w:sz="8" w:color="010101"/>
              <w:bottom w:val="single" w:sz="8" w:color="010101"/>
            </w:tcBorders>
          </w:tcPr>
          <w:p>
            <w:pPr>
              <w:spacing w:after="0"/>
              <w:rPr>
                <w:sz w:val="22"/>
                <w:szCs w:val="22"/>
                <w:color w:val="auto"/>
              </w:rPr>
            </w:pPr>
          </w:p>
        </w:tc>
        <w:tc>
          <w:tcPr>
            <w:tcW w:w="4100" w:type="dxa"/>
            <w:vAlign w:val="bottom"/>
            <w:tcBorders>
              <w:bottom w:val="single" w:sz="8" w:color="010101"/>
            </w:tcBorders>
            <w:gridSpan w:val="8"/>
          </w:tcPr>
          <w:p>
            <w:pPr>
              <w:spacing w:after="0"/>
              <w:rPr>
                <w:sz w:val="20"/>
                <w:szCs w:val="20"/>
                <w:color w:val="auto"/>
              </w:rPr>
            </w:pPr>
            <w:r>
              <w:rPr>
                <w:rFonts w:ascii="Arial" w:cs="Arial" w:eastAsia="Arial" w:hAnsi="Arial"/>
                <w:sz w:val="20"/>
                <w:szCs w:val="20"/>
                <w:color w:val="auto"/>
              </w:rPr>
              <w:t>4.00 to 1.00</w:t>
            </w:r>
          </w:p>
        </w:tc>
        <w:tc>
          <w:tcPr>
            <w:tcW w:w="700" w:type="dxa"/>
            <w:vAlign w:val="bottom"/>
            <w:tcBorders>
              <w:left w:val="single" w:sz="8" w:color="010101"/>
              <w:bottom w:val="single" w:sz="8" w:color="010101"/>
            </w:tcBorders>
          </w:tcPr>
          <w:p>
            <w:pPr>
              <w:spacing w:after="0"/>
              <w:rPr>
                <w:sz w:val="22"/>
                <w:szCs w:val="22"/>
                <w:color w:val="auto"/>
              </w:rPr>
            </w:pPr>
          </w:p>
        </w:tc>
        <w:tc>
          <w:tcPr>
            <w:tcW w:w="1000" w:type="dxa"/>
            <w:vAlign w:val="bottom"/>
            <w:tcBorders>
              <w:bottom w:val="single" w:sz="8" w:color="010101"/>
            </w:tcBorders>
          </w:tcPr>
          <w:p>
            <w:pPr>
              <w:spacing w:after="0"/>
              <w:rPr>
                <w:sz w:val="22"/>
                <w:szCs w:val="22"/>
                <w:color w:val="auto"/>
              </w:rPr>
            </w:pPr>
          </w:p>
        </w:tc>
        <w:tc>
          <w:tcPr>
            <w:tcW w:w="680" w:type="dxa"/>
            <w:vAlign w:val="bottom"/>
            <w:tcBorders>
              <w:bottom w:val="single" w:sz="8" w:color="010101"/>
              <w:right w:val="single" w:sz="8" w:color="010101"/>
            </w:tcBorders>
          </w:tcPr>
          <w:p>
            <w:pPr>
              <w:spacing w:after="0"/>
              <w:rPr>
                <w:sz w:val="22"/>
                <w:szCs w:val="22"/>
                <w:color w:val="auto"/>
              </w:rPr>
            </w:pPr>
          </w:p>
        </w:tc>
        <w:tc>
          <w:tcPr>
            <w:tcW w:w="460" w:type="dxa"/>
            <w:vAlign w:val="bottom"/>
            <w:tcBorders>
              <w:bottom w:val="single" w:sz="8" w:color="010101"/>
            </w:tcBorders>
          </w:tcPr>
          <w:p>
            <w:pPr>
              <w:spacing w:after="0"/>
              <w:rPr>
                <w:sz w:val="22"/>
                <w:szCs w:val="22"/>
                <w:color w:val="auto"/>
              </w:rPr>
            </w:pPr>
          </w:p>
        </w:tc>
        <w:tc>
          <w:tcPr>
            <w:tcW w:w="280" w:type="dxa"/>
            <w:vAlign w:val="bottom"/>
            <w:tcBorders>
              <w:bottom w:val="single" w:sz="8" w:color="010101"/>
            </w:tcBorders>
          </w:tcPr>
          <w:p>
            <w:pPr>
              <w:spacing w:after="0"/>
              <w:rPr>
                <w:sz w:val="22"/>
                <w:szCs w:val="22"/>
                <w:color w:val="auto"/>
              </w:rPr>
            </w:pPr>
          </w:p>
        </w:tc>
        <w:tc>
          <w:tcPr>
            <w:tcW w:w="120" w:type="dxa"/>
            <w:vAlign w:val="bottom"/>
            <w:tcBorders>
              <w:bottom w:val="single" w:sz="8" w:color="010101"/>
            </w:tcBorders>
          </w:tcPr>
          <w:p>
            <w:pPr>
              <w:spacing w:after="0"/>
              <w:rPr>
                <w:sz w:val="22"/>
                <w:szCs w:val="22"/>
                <w:color w:val="auto"/>
              </w:rPr>
            </w:pPr>
          </w:p>
        </w:tc>
        <w:tc>
          <w:tcPr>
            <w:tcW w:w="100" w:type="dxa"/>
            <w:vAlign w:val="bottom"/>
            <w:tcBorders>
              <w:bottom w:val="single" w:sz="8" w:color="010101"/>
            </w:tcBorders>
          </w:tcPr>
          <w:p>
            <w:pPr>
              <w:spacing w:after="0"/>
              <w:rPr>
                <w:sz w:val="22"/>
                <w:szCs w:val="22"/>
                <w:color w:val="auto"/>
              </w:rPr>
            </w:pPr>
          </w:p>
        </w:tc>
        <w:tc>
          <w:tcPr>
            <w:tcW w:w="140" w:type="dxa"/>
            <w:vAlign w:val="bottom"/>
            <w:tcBorders>
              <w:bottom w:val="single" w:sz="8" w:color="010101"/>
            </w:tcBorders>
          </w:tcPr>
          <w:p>
            <w:pPr>
              <w:spacing w:after="0"/>
              <w:rPr>
                <w:sz w:val="22"/>
                <w:szCs w:val="22"/>
                <w:color w:val="auto"/>
              </w:rPr>
            </w:pPr>
          </w:p>
        </w:tc>
        <w:tc>
          <w:tcPr>
            <w:tcW w:w="60" w:type="dxa"/>
            <w:vAlign w:val="bottom"/>
            <w:tcBorders>
              <w:bottom w:val="single" w:sz="8" w:color="010101"/>
            </w:tcBorders>
          </w:tcPr>
          <w:p>
            <w:pPr>
              <w:spacing w:after="0"/>
              <w:rPr>
                <w:sz w:val="22"/>
                <w:szCs w:val="22"/>
                <w:color w:val="auto"/>
              </w:rPr>
            </w:pPr>
          </w:p>
        </w:tc>
        <w:tc>
          <w:tcPr>
            <w:tcW w:w="420" w:type="dxa"/>
            <w:vAlign w:val="bottom"/>
            <w:tcBorders>
              <w:bottom w:val="single" w:sz="8" w:color="010101"/>
            </w:tcBorders>
          </w:tcPr>
          <w:p>
            <w:pPr>
              <w:spacing w:after="0"/>
              <w:rPr>
                <w:sz w:val="22"/>
                <w:szCs w:val="22"/>
                <w:color w:val="auto"/>
              </w:rPr>
            </w:pPr>
          </w:p>
        </w:tc>
        <w:tc>
          <w:tcPr>
            <w:tcW w:w="120" w:type="dxa"/>
            <w:vAlign w:val="bottom"/>
            <w:tcBorders>
              <w:bottom w:val="single" w:sz="8" w:color="010101"/>
            </w:tcBorders>
          </w:tcPr>
          <w:p>
            <w:pPr>
              <w:spacing w:after="0"/>
              <w:rPr>
                <w:sz w:val="22"/>
                <w:szCs w:val="22"/>
                <w:color w:val="auto"/>
              </w:rPr>
            </w:pPr>
          </w:p>
        </w:tc>
        <w:tc>
          <w:tcPr>
            <w:tcW w:w="280" w:type="dxa"/>
            <w:vAlign w:val="bottom"/>
            <w:tcBorders>
              <w:bottom w:val="single" w:sz="8" w:color="010101"/>
            </w:tcBorders>
          </w:tcPr>
          <w:p>
            <w:pPr>
              <w:spacing w:after="0"/>
              <w:rPr>
                <w:sz w:val="22"/>
                <w:szCs w:val="22"/>
                <w:color w:val="auto"/>
              </w:rPr>
            </w:pPr>
          </w:p>
        </w:tc>
        <w:tc>
          <w:tcPr>
            <w:tcW w:w="480" w:type="dxa"/>
            <w:vAlign w:val="bottom"/>
            <w:tcBorders>
              <w:bottom w:val="single" w:sz="8" w:color="010101"/>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010101"/>
            </w:tcBorders>
          </w:tcPr>
          <w:p>
            <w:pPr>
              <w:spacing w:after="0"/>
              <w:rPr>
                <w:sz w:val="17"/>
                <w:szCs w:val="17"/>
                <w:color w:val="auto"/>
              </w:rPr>
            </w:pPr>
          </w:p>
        </w:tc>
        <w:tc>
          <w:tcPr>
            <w:tcW w:w="4100" w:type="dxa"/>
            <w:vAlign w:val="bottom"/>
            <w:gridSpan w:val="8"/>
          </w:tcPr>
          <w:p>
            <w:pPr>
              <w:spacing w:after="0" w:line="201" w:lineRule="exact"/>
              <w:rPr>
                <w:sz w:val="20"/>
                <w:szCs w:val="20"/>
                <w:color w:val="auto"/>
              </w:rPr>
            </w:pPr>
            <w:r>
              <w:rPr>
                <w:rFonts w:ascii="Arial" w:cs="Arial" w:eastAsia="Arial" w:hAnsi="Arial"/>
                <w:sz w:val="20"/>
                <w:szCs w:val="20"/>
                <w:color w:val="auto"/>
              </w:rPr>
              <w:t>Category 3</w:t>
            </w:r>
          </w:p>
        </w:tc>
        <w:tc>
          <w:tcPr>
            <w:tcW w:w="1700" w:type="dxa"/>
            <w:vAlign w:val="bottom"/>
            <w:tcBorders>
              <w:left w:val="single" w:sz="8" w:color="010101"/>
            </w:tcBorders>
            <w:gridSpan w:val="2"/>
          </w:tcPr>
          <w:p>
            <w:pPr>
              <w:jc w:val="center"/>
              <w:ind w:left="581"/>
              <w:spacing w:after="0" w:line="201" w:lineRule="exact"/>
              <w:rPr>
                <w:sz w:val="20"/>
                <w:szCs w:val="20"/>
                <w:color w:val="auto"/>
              </w:rPr>
            </w:pPr>
            <w:r>
              <w:rPr>
                <w:rFonts w:ascii="Arial" w:cs="Arial" w:eastAsia="Arial" w:hAnsi="Arial"/>
                <w:sz w:val="20"/>
                <w:szCs w:val="20"/>
                <w:color w:val="auto"/>
                <w:w w:val="88"/>
              </w:rPr>
              <w:t>2.25%</w:t>
            </w:r>
          </w:p>
        </w:tc>
        <w:tc>
          <w:tcPr>
            <w:tcW w:w="680" w:type="dxa"/>
            <w:vAlign w:val="bottom"/>
            <w:tcBorders>
              <w:right w:val="single" w:sz="8" w:color="010101"/>
            </w:tcBorders>
          </w:tcPr>
          <w:p>
            <w:pPr>
              <w:spacing w:after="0"/>
              <w:rPr>
                <w:sz w:val="17"/>
                <w:szCs w:val="17"/>
                <w:color w:val="auto"/>
              </w:rPr>
            </w:pPr>
          </w:p>
        </w:tc>
        <w:tc>
          <w:tcPr>
            <w:tcW w:w="1580" w:type="dxa"/>
            <w:vAlign w:val="bottom"/>
            <w:gridSpan w:val="7"/>
          </w:tcPr>
          <w:p>
            <w:pPr>
              <w:jc w:val="center"/>
              <w:ind w:left="761"/>
              <w:spacing w:after="0" w:line="201" w:lineRule="exact"/>
              <w:rPr>
                <w:sz w:val="20"/>
                <w:szCs w:val="20"/>
                <w:color w:val="auto"/>
              </w:rPr>
            </w:pPr>
            <w:r>
              <w:rPr>
                <w:rFonts w:ascii="Arial" w:cs="Arial" w:eastAsia="Arial" w:hAnsi="Arial"/>
                <w:sz w:val="20"/>
                <w:szCs w:val="20"/>
                <w:color w:val="auto"/>
                <w:w w:val="91"/>
              </w:rPr>
              <w:t>3.25%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Borders>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010101"/>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700" w:type="dxa"/>
            <w:vAlign w:val="bottom"/>
            <w:tcBorders>
              <w:left w:val="single" w:sz="8" w:color="010101"/>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 w:type="dxa"/>
            <w:vAlign w:val="bottom"/>
            <w:tcBorders>
              <w:left w:val="single" w:sz="8" w:color="010101"/>
              <w:bottom w:val="single" w:sz="8" w:color="010101"/>
            </w:tcBorders>
          </w:tcPr>
          <w:p>
            <w:pPr>
              <w:spacing w:after="0"/>
              <w:rPr>
                <w:sz w:val="22"/>
                <w:szCs w:val="22"/>
                <w:color w:val="auto"/>
              </w:rPr>
            </w:pPr>
          </w:p>
        </w:tc>
        <w:tc>
          <w:tcPr>
            <w:tcW w:w="4100" w:type="dxa"/>
            <w:vAlign w:val="bottom"/>
            <w:tcBorders>
              <w:bottom w:val="single" w:sz="8" w:color="010101"/>
            </w:tcBorders>
            <w:gridSpan w:val="8"/>
          </w:tcPr>
          <w:p>
            <w:pPr>
              <w:spacing w:after="0"/>
              <w:rPr>
                <w:sz w:val="20"/>
                <w:szCs w:val="20"/>
                <w:color w:val="auto"/>
              </w:rPr>
            </w:pPr>
            <w:r>
              <w:rPr>
                <w:rFonts w:ascii="Arial" w:cs="Arial" w:eastAsia="Arial" w:hAnsi="Arial"/>
                <w:sz w:val="20"/>
                <w:szCs w:val="20"/>
                <w:color w:val="auto"/>
              </w:rPr>
              <w:t>Less than 4.00 to 1.00</w:t>
            </w:r>
          </w:p>
        </w:tc>
        <w:tc>
          <w:tcPr>
            <w:tcW w:w="700" w:type="dxa"/>
            <w:vAlign w:val="bottom"/>
            <w:tcBorders>
              <w:left w:val="single" w:sz="8" w:color="010101"/>
              <w:bottom w:val="single" w:sz="8" w:color="010101"/>
            </w:tcBorders>
          </w:tcPr>
          <w:p>
            <w:pPr>
              <w:spacing w:after="0"/>
              <w:rPr>
                <w:sz w:val="22"/>
                <w:szCs w:val="22"/>
                <w:color w:val="auto"/>
              </w:rPr>
            </w:pPr>
          </w:p>
        </w:tc>
        <w:tc>
          <w:tcPr>
            <w:tcW w:w="1000" w:type="dxa"/>
            <w:vAlign w:val="bottom"/>
            <w:tcBorders>
              <w:bottom w:val="single" w:sz="8" w:color="010101"/>
            </w:tcBorders>
          </w:tcPr>
          <w:p>
            <w:pPr>
              <w:spacing w:after="0"/>
              <w:rPr>
                <w:sz w:val="22"/>
                <w:szCs w:val="22"/>
                <w:color w:val="auto"/>
              </w:rPr>
            </w:pPr>
          </w:p>
        </w:tc>
        <w:tc>
          <w:tcPr>
            <w:tcW w:w="680" w:type="dxa"/>
            <w:vAlign w:val="bottom"/>
            <w:tcBorders>
              <w:bottom w:val="single" w:sz="8" w:color="010101"/>
              <w:right w:val="single" w:sz="8" w:color="010101"/>
            </w:tcBorders>
          </w:tcPr>
          <w:p>
            <w:pPr>
              <w:spacing w:after="0"/>
              <w:rPr>
                <w:sz w:val="22"/>
                <w:szCs w:val="22"/>
                <w:color w:val="auto"/>
              </w:rPr>
            </w:pPr>
          </w:p>
        </w:tc>
        <w:tc>
          <w:tcPr>
            <w:tcW w:w="460" w:type="dxa"/>
            <w:vAlign w:val="bottom"/>
            <w:tcBorders>
              <w:bottom w:val="single" w:sz="8" w:color="010101"/>
            </w:tcBorders>
          </w:tcPr>
          <w:p>
            <w:pPr>
              <w:spacing w:after="0"/>
              <w:rPr>
                <w:sz w:val="22"/>
                <w:szCs w:val="22"/>
                <w:color w:val="auto"/>
              </w:rPr>
            </w:pPr>
          </w:p>
        </w:tc>
        <w:tc>
          <w:tcPr>
            <w:tcW w:w="280" w:type="dxa"/>
            <w:vAlign w:val="bottom"/>
            <w:tcBorders>
              <w:bottom w:val="single" w:sz="8" w:color="010101"/>
            </w:tcBorders>
          </w:tcPr>
          <w:p>
            <w:pPr>
              <w:spacing w:after="0"/>
              <w:rPr>
                <w:sz w:val="22"/>
                <w:szCs w:val="22"/>
                <w:color w:val="auto"/>
              </w:rPr>
            </w:pPr>
          </w:p>
        </w:tc>
        <w:tc>
          <w:tcPr>
            <w:tcW w:w="120" w:type="dxa"/>
            <w:vAlign w:val="bottom"/>
            <w:tcBorders>
              <w:bottom w:val="single" w:sz="8" w:color="010101"/>
            </w:tcBorders>
          </w:tcPr>
          <w:p>
            <w:pPr>
              <w:spacing w:after="0"/>
              <w:rPr>
                <w:sz w:val="22"/>
                <w:szCs w:val="22"/>
                <w:color w:val="auto"/>
              </w:rPr>
            </w:pPr>
          </w:p>
        </w:tc>
        <w:tc>
          <w:tcPr>
            <w:tcW w:w="100" w:type="dxa"/>
            <w:vAlign w:val="bottom"/>
            <w:tcBorders>
              <w:bottom w:val="single" w:sz="8" w:color="010101"/>
            </w:tcBorders>
          </w:tcPr>
          <w:p>
            <w:pPr>
              <w:spacing w:after="0"/>
              <w:rPr>
                <w:sz w:val="22"/>
                <w:szCs w:val="22"/>
                <w:color w:val="auto"/>
              </w:rPr>
            </w:pPr>
          </w:p>
        </w:tc>
        <w:tc>
          <w:tcPr>
            <w:tcW w:w="140" w:type="dxa"/>
            <w:vAlign w:val="bottom"/>
            <w:tcBorders>
              <w:bottom w:val="single" w:sz="8" w:color="010101"/>
            </w:tcBorders>
          </w:tcPr>
          <w:p>
            <w:pPr>
              <w:spacing w:after="0"/>
              <w:rPr>
                <w:sz w:val="22"/>
                <w:szCs w:val="22"/>
                <w:color w:val="auto"/>
              </w:rPr>
            </w:pPr>
          </w:p>
        </w:tc>
        <w:tc>
          <w:tcPr>
            <w:tcW w:w="60" w:type="dxa"/>
            <w:vAlign w:val="bottom"/>
            <w:tcBorders>
              <w:bottom w:val="single" w:sz="8" w:color="010101"/>
            </w:tcBorders>
          </w:tcPr>
          <w:p>
            <w:pPr>
              <w:spacing w:after="0"/>
              <w:rPr>
                <w:sz w:val="22"/>
                <w:szCs w:val="22"/>
                <w:color w:val="auto"/>
              </w:rPr>
            </w:pPr>
          </w:p>
        </w:tc>
        <w:tc>
          <w:tcPr>
            <w:tcW w:w="420" w:type="dxa"/>
            <w:vAlign w:val="bottom"/>
            <w:tcBorders>
              <w:bottom w:val="single" w:sz="8" w:color="010101"/>
            </w:tcBorders>
          </w:tcPr>
          <w:p>
            <w:pPr>
              <w:spacing w:after="0"/>
              <w:rPr>
                <w:sz w:val="22"/>
                <w:szCs w:val="22"/>
                <w:color w:val="auto"/>
              </w:rPr>
            </w:pPr>
          </w:p>
        </w:tc>
        <w:tc>
          <w:tcPr>
            <w:tcW w:w="120" w:type="dxa"/>
            <w:vAlign w:val="bottom"/>
            <w:tcBorders>
              <w:bottom w:val="single" w:sz="8" w:color="010101"/>
            </w:tcBorders>
          </w:tcPr>
          <w:p>
            <w:pPr>
              <w:spacing w:after="0"/>
              <w:rPr>
                <w:sz w:val="22"/>
                <w:szCs w:val="22"/>
                <w:color w:val="auto"/>
              </w:rPr>
            </w:pPr>
          </w:p>
        </w:tc>
        <w:tc>
          <w:tcPr>
            <w:tcW w:w="280" w:type="dxa"/>
            <w:vAlign w:val="bottom"/>
            <w:tcBorders>
              <w:bottom w:val="single" w:sz="8" w:color="010101"/>
            </w:tcBorders>
          </w:tcPr>
          <w:p>
            <w:pPr>
              <w:spacing w:after="0"/>
              <w:rPr>
                <w:sz w:val="22"/>
                <w:szCs w:val="22"/>
                <w:color w:val="auto"/>
              </w:rPr>
            </w:pPr>
          </w:p>
        </w:tc>
        <w:tc>
          <w:tcPr>
            <w:tcW w:w="480" w:type="dxa"/>
            <w:vAlign w:val="bottom"/>
            <w:tcBorders>
              <w:bottom w:val="single" w:sz="8" w:color="010101"/>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left="8" w:firstLine="1499"/>
        <w:spacing w:after="0" w:line="268" w:lineRule="auto"/>
        <w:rPr>
          <w:sz w:val="20"/>
          <w:szCs w:val="20"/>
          <w:color w:val="auto"/>
        </w:rPr>
      </w:pPr>
      <w:r>
        <w:rPr>
          <w:rFonts w:ascii="Arial" w:cs="Arial" w:eastAsia="Arial" w:hAnsi="Arial"/>
          <w:sz w:val="18"/>
          <w:szCs w:val="18"/>
          <w:color w:val="auto"/>
        </w:rPr>
        <w:t>For purposes of the foregoing, each change in the Applicable Rate resulting from a change in the Senior Secured First Lien Net Leverage Ratio shall be effective during the period commencing on the date of delivery to the Administrative Agent pursuant to Section 5.01(a) or 5.01(b) of the consolidated financial statements and related Compliance Certificate indicating such change and ending on the date immediately preceding the effective date of the next such change. Notwithstanding the foregoing, the Applicable Rate, at the option of the Required Term Loan Lenders or the Required Revolving Lenders, with respect to their respective Loans, as applicable, shall be based on the rates per annum set forth in the next highest category if the Borrower fails to deliver the consolidated financial statements required to be delivered pursuant to Section 5.01(a) or 5.01(b) within thirty (30) days after the time periods specified herein for such delivery, during the period commencing on the date that is thirty</w:t>
      </w:r>
    </w:p>
    <w:p>
      <w:pPr>
        <w:spacing w:after="0" w:line="1" w:lineRule="exact"/>
        <w:rPr>
          <w:sz w:val="20"/>
          <w:szCs w:val="20"/>
          <w:color w:val="auto"/>
        </w:rPr>
      </w:pPr>
    </w:p>
    <w:p>
      <w:pPr>
        <w:ind w:left="8" w:right="40" w:hanging="8"/>
        <w:spacing w:after="0" w:line="243" w:lineRule="auto"/>
        <w:tabs>
          <w:tab w:leader="none" w:pos="478" w:val="left"/>
        </w:tabs>
        <w:numPr>
          <w:ilvl w:val="0"/>
          <w:numId w:val="85"/>
        </w:numPr>
        <w:rPr>
          <w:rFonts w:ascii="Arial" w:cs="Arial" w:eastAsia="Arial" w:hAnsi="Arial"/>
          <w:sz w:val="20"/>
          <w:szCs w:val="20"/>
          <w:color w:val="auto"/>
        </w:rPr>
      </w:pPr>
      <w:r>
        <w:rPr>
          <w:rFonts w:ascii="Arial" w:cs="Arial" w:eastAsia="Arial" w:hAnsi="Arial"/>
          <w:sz w:val="20"/>
          <w:szCs w:val="20"/>
          <w:color w:val="auto"/>
        </w:rPr>
        <w:t>days after the date such financial statements were required to be delivered pursuant to Section 5.01(a) or 5.01(b) until the date that such financial statements are so delivered.</w:t>
      </w:r>
    </w:p>
    <w:p>
      <w:pPr>
        <w:spacing w:after="0" w:line="206" w:lineRule="exact"/>
        <w:rPr>
          <w:sz w:val="20"/>
          <w:szCs w:val="20"/>
          <w:color w:val="auto"/>
        </w:rPr>
      </w:pPr>
    </w:p>
    <w:p>
      <w:pPr>
        <w:ind w:left="8" w:right="4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Appropriate Lender</w:t>
      </w:r>
      <w:r>
        <w:rPr>
          <w:rFonts w:ascii="Arial" w:cs="Arial" w:eastAsia="Arial" w:hAnsi="Arial"/>
          <w:sz w:val="20"/>
          <w:szCs w:val="20"/>
          <w:color w:val="auto"/>
        </w:rPr>
        <w:t>” means, at any time, (a) with respect to Loans of any Class, the Lenders of such Class and (b) with respect to Letters of Credit, (i) the relevant Issuing Banks and (ii) the Revolving Lenders.</w:t>
      </w:r>
    </w:p>
    <w:p>
      <w:pPr>
        <w:spacing w:after="0" w:line="203" w:lineRule="exact"/>
        <w:rPr>
          <w:sz w:val="20"/>
          <w:szCs w:val="20"/>
          <w:color w:val="auto"/>
        </w:rPr>
      </w:pPr>
    </w:p>
    <w:p>
      <w:pPr>
        <w:ind w:left="150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Bank</w:t>
      </w:r>
      <w:r>
        <w:rPr>
          <w:rFonts w:ascii="Arial" w:cs="Arial" w:eastAsia="Arial" w:hAnsi="Arial"/>
          <w:sz w:val="19"/>
          <w:szCs w:val="19"/>
          <w:color w:val="auto"/>
        </w:rPr>
        <w:t>” has the meaning assigned to such term in the definition of the term “Permitted Investments.”</w:t>
      </w:r>
    </w:p>
    <w:p>
      <w:pPr>
        <w:spacing w:after="0" w:line="253" w:lineRule="exact"/>
        <w:rPr>
          <w:sz w:val="20"/>
          <w:szCs w:val="20"/>
          <w:color w:val="auto"/>
        </w:rPr>
      </w:pPr>
    </w:p>
    <w:p>
      <w:pPr>
        <w:ind w:left="150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Foreign Bank</w:t>
      </w:r>
      <w:r>
        <w:rPr>
          <w:rFonts w:ascii="Arial" w:cs="Arial" w:eastAsia="Arial" w:hAnsi="Arial"/>
          <w:sz w:val="19"/>
          <w:szCs w:val="19"/>
          <w:color w:val="auto"/>
        </w:rPr>
        <w:t>” has the meaning assigned to such term in the definition of “Permitted Investments.”</w:t>
      </w:r>
    </w:p>
    <w:p>
      <w:pPr>
        <w:spacing w:after="0" w:line="240" w:lineRule="exact"/>
        <w:rPr>
          <w:sz w:val="20"/>
          <w:szCs w:val="20"/>
          <w:color w:val="auto"/>
        </w:rPr>
      </w:pPr>
    </w:p>
    <w:p>
      <w:pPr>
        <w:jc w:val="both"/>
        <w:ind w:left="8" w:right="20"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w:t>
      </w:r>
    </w:p>
    <w:p>
      <w:pPr>
        <w:spacing w:after="0" w:line="190"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492" w:top="122" w:right="519" w:bottom="1440" w:gutter="0" w:footer="0" w:header="0"/>
        </w:sectPr>
      </w:pPr>
    </w:p>
    <w:bookmarkStart w:id="151" w:name="page152"/>
    <w:bookmarkEnd w:id="151"/>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Disposition Prepayment Event</w:t>
      </w:r>
      <w:r>
        <w:rPr>
          <w:rFonts w:ascii="Arial" w:cs="Arial" w:eastAsia="Arial" w:hAnsi="Arial"/>
          <w:sz w:val="18"/>
          <w:szCs w:val="18"/>
          <w:color w:val="auto"/>
        </w:rPr>
        <w:t>” means any Prepayment Event pursuant to clause (a) of the definition thereof.</w:t>
      </w:r>
    </w:p>
    <w:p>
      <w:pPr>
        <w:spacing w:after="0" w:line="251" w:lineRule="exact"/>
        <w:rPr>
          <w:sz w:val="20"/>
          <w:szCs w:val="20"/>
          <w:color w:val="auto"/>
        </w:rPr>
      </w:pPr>
    </w:p>
    <w:p>
      <w:pPr>
        <w:jc w:val="both"/>
        <w:ind w:right="4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means an assignment and assumption entered into by a Lender and an Eligible Assignee (with the consent of any Person whose consent is required by Section 9.04(b)), substantially in the form of Exhibit A or any other form reasonably approved by the Administrative Agent.</w:t>
      </w:r>
    </w:p>
    <w:p>
      <w:pPr>
        <w:spacing w:after="0" w:line="215" w:lineRule="exact"/>
        <w:rPr>
          <w:sz w:val="20"/>
          <w:szCs w:val="20"/>
          <w:color w:val="auto"/>
        </w:rPr>
      </w:pPr>
    </w:p>
    <w:p>
      <w:pPr>
        <w:jc w:val="both"/>
        <w:ind w:right="60" w:firstLine="149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Auction Agent</w:t>
      </w:r>
      <w:r>
        <w:rPr>
          <w:rFonts w:ascii="Arial" w:cs="Arial" w:eastAsia="Arial" w:hAnsi="Arial"/>
          <w:sz w:val="20"/>
          <w:szCs w:val="20"/>
          <w:color w:val="auto"/>
        </w:rPr>
        <w:t xml:space="preserve">” means (a) the Administrative Agent or (b) any other financial institution or advisor employed by the Borrower (whether or not an Affiliate of the Administrative Agent) to act as an arranger in connection with any Discounted Term Loan Prepayment pursuant to Section 2.11(a)(ii)(A);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w:t>
      </w:r>
    </w:p>
    <w:p>
      <w:pPr>
        <w:spacing w:after="0" w:line="206" w:lineRule="exact"/>
        <w:rPr>
          <w:sz w:val="20"/>
          <w:szCs w:val="20"/>
          <w:color w:val="auto"/>
        </w:rPr>
      </w:pPr>
    </w:p>
    <w:p>
      <w:pPr>
        <w:jc w:val="both"/>
        <w:ind w:right="20" w:firstLine="149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Audited Financial Statements</w:t>
      </w:r>
      <w:r>
        <w:rPr>
          <w:rFonts w:ascii="Arial" w:cs="Arial" w:eastAsia="Arial" w:hAnsi="Arial"/>
          <w:sz w:val="19"/>
          <w:szCs w:val="19"/>
          <w:color w:val="auto"/>
        </w:rPr>
        <w:t>” means each of the audited consolidated balance sheets of Holdings and its Subsidiaries as of and for each of the Fiscal Years ended December 31, 2018, December 31, 2019 and December 31, 2020 and the related audited consolidated statements of operations, comprehensive income (loss), cash flows and stockholders’ equity.</w:t>
      </w:r>
    </w:p>
    <w:p>
      <w:pPr>
        <w:spacing w:after="0" w:line="15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Amount</w:t>
      </w:r>
      <w:r>
        <w:rPr>
          <w:rFonts w:ascii="Arial" w:cs="Arial" w:eastAsia="Arial" w:hAnsi="Arial"/>
          <w:sz w:val="19"/>
          <w:szCs w:val="19"/>
          <w:color w:val="auto"/>
        </w:rPr>
        <w:t>” means, as of any date of determination, a cumulative amount equal to (without duplication):</w:t>
      </w:r>
    </w:p>
    <w:p>
      <w:pPr>
        <w:spacing w:after="0" w:line="240" w:lineRule="exact"/>
        <w:rPr>
          <w:sz w:val="20"/>
          <w:szCs w:val="20"/>
          <w:color w:val="auto"/>
        </w:rPr>
      </w:pPr>
    </w:p>
    <w:p>
      <w:pPr>
        <w:ind w:right="420" w:firstLine="1467"/>
        <w:spacing w:after="0" w:line="260" w:lineRule="auto"/>
        <w:tabs>
          <w:tab w:leader="none" w:pos="2266"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the greater of $70,000,000 and 50.0% of Consolidated EBITDA computed on a Pro Forma Basis for the most recently ended Test Period as of such time, </w:t>
      </w:r>
      <w:r>
        <w:rPr>
          <w:rFonts w:ascii="Arial" w:cs="Arial" w:eastAsia="Arial" w:hAnsi="Arial"/>
          <w:sz w:val="20"/>
          <w:szCs w:val="20"/>
          <w:u w:val="single" w:color="auto"/>
          <w:color w:val="auto"/>
        </w:rPr>
        <w:t>plus</w:t>
      </w:r>
    </w:p>
    <w:p>
      <w:pPr>
        <w:spacing w:after="0" w:line="283" w:lineRule="exact"/>
        <w:rPr>
          <w:rFonts w:ascii="Arial" w:cs="Arial" w:eastAsia="Arial" w:hAnsi="Arial"/>
          <w:sz w:val="20"/>
          <w:szCs w:val="20"/>
          <w:color w:val="auto"/>
        </w:rPr>
      </w:pPr>
    </w:p>
    <w:p>
      <w:pPr>
        <w:jc w:val="both"/>
        <w:ind w:right="20" w:firstLine="1467"/>
        <w:spacing w:after="0" w:line="275" w:lineRule="auto"/>
        <w:tabs>
          <w:tab w:leader="none" w:pos="2266" w:val="left"/>
        </w:tabs>
        <w:numPr>
          <w:ilvl w:val="0"/>
          <w:numId w:val="86"/>
        </w:numPr>
        <w:rPr>
          <w:rFonts w:ascii="Arial" w:cs="Arial" w:eastAsia="Arial" w:hAnsi="Arial"/>
          <w:sz w:val="18"/>
          <w:szCs w:val="18"/>
          <w:color w:val="auto"/>
        </w:rPr>
      </w:pPr>
      <w:r>
        <w:rPr>
          <w:rFonts w:ascii="Arial" w:cs="Arial" w:eastAsia="Arial" w:hAnsi="Arial"/>
          <w:sz w:val="18"/>
          <w:szCs w:val="18"/>
          <w:color w:val="auto"/>
        </w:rPr>
        <w:t>(x) 100% of Consolidated EBITDA determined on a cumulative basis during the period beginning on the first day of the fiscal quarter in which the Closing Date occurs and ending on the last day of the last fiscal quarter preceding the date of</w:t>
      </w:r>
    </w:p>
    <w:p>
      <w:pPr>
        <w:jc w:val="both"/>
        <w:ind w:right="20"/>
        <w:spacing w:after="0"/>
        <w:rPr>
          <w:sz w:val="20"/>
          <w:szCs w:val="20"/>
          <w:color w:val="auto"/>
        </w:rPr>
      </w:pPr>
      <w:r>
        <w:rPr>
          <w:rFonts w:ascii="Arial" w:cs="Arial" w:eastAsia="Arial" w:hAnsi="Arial"/>
          <w:sz w:val="20"/>
          <w:szCs w:val="20"/>
          <w:color w:val="auto"/>
        </w:rPr>
        <w:t xml:space="preserve">determination for which financial statements of the Borrower have been or are required to have been delivered pursuant to Section 5.01(a) or 5.01(b) (which amount shall never be less than $0)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(y) an amount equal to 1.40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Consolidated Cash Interest Expense for such period (provided that if the deduction pursuant to this clause (y) would result in the amount this clause (b) to be less than $0, such amount shall be deemed to be $0), </w:t>
      </w:r>
      <w:r>
        <w:rPr>
          <w:rFonts w:ascii="Arial" w:cs="Arial" w:eastAsia="Arial" w:hAnsi="Arial"/>
          <w:sz w:val="20"/>
          <w:szCs w:val="20"/>
          <w:u w:val="single" w:color="auto"/>
          <w:color w:val="auto"/>
        </w:rPr>
        <w:t>plus</w:t>
      </w:r>
    </w:p>
    <w:p>
      <w:pPr>
        <w:spacing w:after="0" w:line="305" w:lineRule="exact"/>
        <w:rPr>
          <w:sz w:val="20"/>
          <w:szCs w:val="20"/>
          <w:color w:val="auto"/>
        </w:rPr>
      </w:pPr>
    </w:p>
    <w:p>
      <w:pPr>
        <w:jc w:val="both"/>
        <w:ind w:firstLine="1467"/>
        <w:spacing w:after="0" w:line="290" w:lineRule="auto"/>
        <w:tabs>
          <w:tab w:leader="none" w:pos="226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to the extent not included in Consolidated Net Income, returns, profits, distributions and similar amounts received in cash or Permitted Investments by the Borrower and its Restricted Subsidiaries on Investments made using the Available Amount and cash received from the sale of Investments made using the Available Amount or pursuant to Section 6.04(o) or (cc), </w:t>
      </w:r>
      <w:r>
        <w:rPr>
          <w:rFonts w:ascii="Arial" w:cs="Arial" w:eastAsia="Arial" w:hAnsi="Arial"/>
          <w:sz w:val="18"/>
          <w:szCs w:val="18"/>
          <w:u w:val="single" w:color="auto"/>
          <w:color w:val="auto"/>
        </w:rPr>
        <w:t>plus</w:t>
      </w:r>
    </w:p>
    <w:p>
      <w:pPr>
        <w:spacing w:after="0" w:line="260" w:lineRule="exact"/>
        <w:rPr>
          <w:rFonts w:ascii="Arial" w:cs="Arial" w:eastAsia="Arial" w:hAnsi="Arial"/>
          <w:sz w:val="18"/>
          <w:szCs w:val="18"/>
          <w:color w:val="auto"/>
        </w:rPr>
      </w:pPr>
    </w:p>
    <w:p>
      <w:pPr>
        <w:jc w:val="both"/>
        <w:ind w:firstLine="1467"/>
        <w:spacing w:after="0" w:line="243" w:lineRule="auto"/>
        <w:tabs>
          <w:tab w:leader="none" w:pos="2266"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Investments of the Borrower or any of the Restricted Subsidiaries in any Unrestricted Subsidiary, non-Subsidiary joint venture or minority investment made using the Available Amount that has been re-designated as a Restricted Subsidiary or that has been merged, amalgamated or consolidated with or into the Borrower or any Restricted Subsidiary, or the assets of which has been transferred to a Loan Party or any of its Restricted Subsidiaries (up to the fair market value determined in good faith by the Borrower of the Investments of the Borrower and the Restricted Subsidiaries in such Unrestricted Subsidiary at the time of such re-designation or merger or consolidation), </w:t>
      </w:r>
      <w:r>
        <w:rPr>
          <w:rFonts w:ascii="Arial" w:cs="Arial" w:eastAsia="Arial" w:hAnsi="Arial"/>
          <w:sz w:val="20"/>
          <w:szCs w:val="20"/>
          <w:u w:val="single" w:color="auto"/>
          <w:color w:val="auto"/>
        </w:rPr>
        <w:t>plus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65" w:right="499" w:bottom="1440" w:gutter="0" w:footer="0" w:header="0"/>
        </w:sectPr>
      </w:pPr>
    </w:p>
    <w:bookmarkStart w:id="152" w:name="page153"/>
    <w:bookmarkEnd w:id="152"/>
    <w:p>
      <w:pPr>
        <w:jc w:val="both"/>
        <w:ind w:firstLine="1467"/>
        <w:spacing w:after="0" w:line="246" w:lineRule="auto"/>
        <w:tabs>
          <w:tab w:leader="none" w:pos="2266"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to the extent not included in Consolidated Net Income, the Net Proceeds of a sale or other Disposition of any Unrestricted Subsidiary (including the issuance of stock of an Unrestricted Subsidiary), non-Subsidiary joint venture or minority investment received by the Borrower or any Restricted Subsidiary (or the fair market value of the assets thereof that have been transferred to the Borrower or any Restricted Subsidiary), </w:t>
      </w:r>
      <w:r>
        <w:rPr>
          <w:rFonts w:ascii="Arial" w:cs="Arial" w:eastAsia="Arial" w:hAnsi="Arial"/>
          <w:sz w:val="20"/>
          <w:szCs w:val="20"/>
          <w:u w:val="single" w:color="auto"/>
          <w:color w:val="auto"/>
        </w:rPr>
        <w:t>plus</w:t>
      </w:r>
    </w:p>
    <w:p>
      <w:pPr>
        <w:spacing w:after="0" w:line="297" w:lineRule="exact"/>
        <w:rPr>
          <w:rFonts w:ascii="Arial" w:cs="Arial" w:eastAsia="Arial" w:hAnsi="Arial"/>
          <w:sz w:val="20"/>
          <w:szCs w:val="20"/>
          <w:color w:val="auto"/>
        </w:rPr>
      </w:pPr>
    </w:p>
    <w:p>
      <w:pPr>
        <w:jc w:val="both"/>
        <w:ind w:firstLine="1467"/>
        <w:spacing w:after="0" w:line="249" w:lineRule="auto"/>
        <w:tabs>
          <w:tab w:leader="none" w:pos="2266"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to the extent not included in Consolidated Net Income, dividends, profits, or other distributions, returns on capital or similar amounts received by Holdings, the Borrower or any Restricted Subsidiary from an Unrestricted Subsidiary, non-Subsidiary joint venture or minority investment (or from the sale of the assets thereof), </w:t>
      </w:r>
      <w:r>
        <w:rPr>
          <w:rFonts w:ascii="Arial" w:cs="Arial" w:eastAsia="Arial" w:hAnsi="Arial"/>
          <w:sz w:val="20"/>
          <w:szCs w:val="20"/>
          <w:u w:val="single" w:color="auto"/>
          <w:color w:val="auto"/>
        </w:rPr>
        <w:t>plus</w:t>
      </w:r>
    </w:p>
    <w:p>
      <w:pPr>
        <w:spacing w:after="0" w:line="282" w:lineRule="exact"/>
        <w:rPr>
          <w:rFonts w:ascii="Arial" w:cs="Arial" w:eastAsia="Arial" w:hAnsi="Arial"/>
          <w:sz w:val="20"/>
          <w:szCs w:val="20"/>
          <w:color w:val="auto"/>
        </w:rPr>
      </w:pPr>
    </w:p>
    <w:p>
      <w:pPr>
        <w:jc w:val="both"/>
        <w:ind w:right="20" w:firstLine="1467"/>
        <w:spacing w:after="0" w:line="269" w:lineRule="auto"/>
        <w:tabs>
          <w:tab w:leader="none" w:pos="2266"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to the extent not included in Consolidated Net Income, the aggregate proceeds and the fair market value (as reasonably determined by the Borrower) of marketable securities or other property received by the Borrower or a Restricted Subsidiary since the Effective Date from any Person other than the Borrower or a Restricted Subsidiary, </w:t>
      </w:r>
      <w:r>
        <w:rPr>
          <w:rFonts w:ascii="Arial" w:cs="Arial" w:eastAsia="Arial" w:hAnsi="Arial"/>
          <w:sz w:val="19"/>
          <w:szCs w:val="19"/>
          <w:u w:val="single" w:color="auto"/>
          <w:color w:val="auto"/>
        </w:rPr>
        <w:t>plus</w:t>
      </w:r>
    </w:p>
    <w:p>
      <w:pPr>
        <w:spacing w:after="0" w:line="276" w:lineRule="exact"/>
        <w:rPr>
          <w:rFonts w:ascii="Arial" w:cs="Arial" w:eastAsia="Arial" w:hAnsi="Arial"/>
          <w:sz w:val="19"/>
          <w:szCs w:val="19"/>
          <w:color w:val="auto"/>
        </w:rPr>
      </w:pPr>
    </w:p>
    <w:p>
      <w:pPr>
        <w:jc w:val="both"/>
        <w:ind w:firstLine="1467"/>
        <w:spacing w:after="0" w:line="249" w:lineRule="auto"/>
        <w:tabs>
          <w:tab w:leader="none" w:pos="2266"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the aggregate amount of any Retained Declined Proceeds since the Effective Date, to the extent not applied to prepay any Permitted Junior Priority Refinancing Debt or pari passu Indebtedness as contemplated by Section 2.11(e) and Section 6.07(b), </w:t>
      </w:r>
      <w:r>
        <w:rPr>
          <w:rFonts w:ascii="Arial" w:cs="Arial" w:eastAsia="Arial" w:hAnsi="Arial"/>
          <w:sz w:val="20"/>
          <w:szCs w:val="20"/>
          <w:u w:val="single" w:color="auto"/>
          <w:color w:val="auto"/>
        </w:rPr>
        <w:t>plus</w:t>
      </w:r>
    </w:p>
    <w:p>
      <w:pPr>
        <w:spacing w:after="0" w:line="174" w:lineRule="exact"/>
        <w:rPr>
          <w:rFonts w:ascii="Arial" w:cs="Arial" w:eastAsia="Arial" w:hAnsi="Arial"/>
          <w:sz w:val="20"/>
          <w:szCs w:val="20"/>
          <w:color w:val="auto"/>
        </w:rPr>
      </w:pPr>
    </w:p>
    <w:p>
      <w:pPr>
        <w:ind w:left="2260" w:hanging="793"/>
        <w:spacing w:after="0"/>
        <w:tabs>
          <w:tab w:leader="none" w:pos="22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aggregate amount of any Retained Asset Sale Proceeds since the Effective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30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Equity Amount</w:t>
      </w:r>
      <w:r>
        <w:rPr>
          <w:rFonts w:ascii="Arial" w:cs="Arial" w:eastAsia="Arial" w:hAnsi="Arial"/>
          <w:sz w:val="20"/>
          <w:szCs w:val="20"/>
          <w:color w:val="auto"/>
        </w:rPr>
        <w:t>” means a cumulative amount equal to (without duplication):</w:t>
      </w:r>
    </w:p>
    <w:p>
      <w:pPr>
        <w:spacing w:after="0" w:line="228" w:lineRule="exact"/>
        <w:rPr>
          <w:sz w:val="20"/>
          <w:szCs w:val="20"/>
          <w:color w:val="auto"/>
        </w:rPr>
      </w:pPr>
    </w:p>
    <w:p>
      <w:pPr>
        <w:jc w:val="both"/>
        <w:ind w:right="20" w:firstLine="1467"/>
        <w:spacing w:after="0" w:line="249" w:lineRule="auto"/>
        <w:tabs>
          <w:tab w:leader="none" w:pos="2266"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the Net Proceeds of new public or private issuances of Qualified Equity Interests (excluding Qualified Equity Interests the proceeds of which will be applied as Cure Amounts) in the Borrower or any direct or indirect parent of the Borrower which are contributed to the Borrower, </w:t>
      </w:r>
      <w:r>
        <w:rPr>
          <w:rFonts w:ascii="Arial" w:cs="Arial" w:eastAsia="Arial" w:hAnsi="Arial"/>
          <w:sz w:val="20"/>
          <w:szCs w:val="20"/>
          <w:u w:val="single" w:color="auto"/>
          <w:color w:val="auto"/>
        </w:rPr>
        <w:t>plus</w:t>
      </w:r>
    </w:p>
    <w:p>
      <w:pPr>
        <w:spacing w:after="0" w:line="295" w:lineRule="exact"/>
        <w:rPr>
          <w:rFonts w:ascii="Arial" w:cs="Arial" w:eastAsia="Arial" w:hAnsi="Arial"/>
          <w:sz w:val="20"/>
          <w:szCs w:val="20"/>
          <w:color w:val="auto"/>
        </w:rPr>
      </w:pPr>
    </w:p>
    <w:p>
      <w:pPr>
        <w:ind w:right="420" w:firstLine="1467"/>
        <w:spacing w:after="0" w:line="260" w:lineRule="auto"/>
        <w:tabs>
          <w:tab w:leader="none" w:pos="2266"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capital contributions received by the Borrower after the Effective Date in cash or Permitted Investments (other than in respect of any Disqualified Equity Interest), </w:t>
      </w:r>
      <w:r>
        <w:rPr>
          <w:rFonts w:ascii="Arial" w:cs="Arial" w:eastAsia="Arial" w:hAnsi="Arial"/>
          <w:sz w:val="20"/>
          <w:szCs w:val="20"/>
          <w:u w:val="single" w:color="auto"/>
          <w:color w:val="auto"/>
        </w:rPr>
        <w:t>plus</w:t>
      </w:r>
    </w:p>
    <w:p>
      <w:pPr>
        <w:spacing w:after="0" w:line="283" w:lineRule="exact"/>
        <w:rPr>
          <w:rFonts w:ascii="Arial" w:cs="Arial" w:eastAsia="Arial" w:hAnsi="Arial"/>
          <w:sz w:val="20"/>
          <w:szCs w:val="20"/>
          <w:color w:val="auto"/>
        </w:rPr>
      </w:pPr>
    </w:p>
    <w:p>
      <w:pPr>
        <w:jc w:val="both"/>
        <w:ind w:firstLine="1467"/>
        <w:spacing w:after="0" w:line="249" w:lineRule="auto"/>
        <w:tabs>
          <w:tab w:leader="none" w:pos="2266"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the net cash proceeds received by the Borrower or any Restricted Subsidiary from Indebtedness and Disqualified Equity Interest issuances issued after the Effective Date and which have been exchanged or converted into Qualified Equity Interests, </w:t>
      </w:r>
      <w:r>
        <w:rPr>
          <w:rFonts w:ascii="Arial" w:cs="Arial" w:eastAsia="Arial" w:hAnsi="Arial"/>
          <w:sz w:val="20"/>
          <w:szCs w:val="20"/>
          <w:u w:val="single" w:color="auto"/>
          <w:color w:val="auto"/>
        </w:rPr>
        <w:t>plus</w:t>
      </w:r>
    </w:p>
    <w:p>
      <w:pPr>
        <w:spacing w:after="0" w:line="282" w:lineRule="exact"/>
        <w:rPr>
          <w:rFonts w:ascii="Arial" w:cs="Arial" w:eastAsia="Arial" w:hAnsi="Arial"/>
          <w:sz w:val="20"/>
          <w:szCs w:val="20"/>
          <w:color w:val="auto"/>
        </w:rPr>
      </w:pPr>
    </w:p>
    <w:p>
      <w:pPr>
        <w:ind w:firstLine="1467"/>
        <w:spacing w:after="0" w:line="260" w:lineRule="auto"/>
        <w:tabs>
          <w:tab w:leader="none" w:pos="2266"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returns, profits, distributions and similar amounts received in cash or Permitted Investments by the Borrower or any Restricted Subsidiary on Investments made using the Available Equity Amount, </w:t>
      </w:r>
      <w:r>
        <w:rPr>
          <w:rFonts w:ascii="Arial" w:cs="Arial" w:eastAsia="Arial" w:hAnsi="Arial"/>
          <w:sz w:val="20"/>
          <w:szCs w:val="20"/>
          <w:u w:val="single" w:color="auto"/>
          <w:color w:val="auto"/>
        </w:rPr>
        <w:t>plus</w:t>
      </w:r>
    </w:p>
    <w:p>
      <w:pPr>
        <w:spacing w:after="0" w:line="283" w:lineRule="exact"/>
        <w:rPr>
          <w:rFonts w:ascii="Arial" w:cs="Arial" w:eastAsia="Arial" w:hAnsi="Arial"/>
          <w:sz w:val="20"/>
          <w:szCs w:val="20"/>
          <w:color w:val="auto"/>
        </w:rPr>
      </w:pPr>
    </w:p>
    <w:p>
      <w:pPr>
        <w:jc w:val="both"/>
        <w:ind w:right="20" w:firstLine="1467"/>
        <w:spacing w:after="0" w:line="246" w:lineRule="auto"/>
        <w:tabs>
          <w:tab w:leader="none" w:pos="2266" w:val="left"/>
        </w:tabs>
        <w:numPr>
          <w:ilvl w:val="0"/>
          <w:numId w:val="89"/>
        </w:numPr>
        <w:rPr>
          <w:rFonts w:ascii="Arial" w:cs="Arial" w:eastAsia="Arial" w:hAnsi="Arial"/>
          <w:sz w:val="20"/>
          <w:szCs w:val="20"/>
          <w:color w:val="auto"/>
        </w:rPr>
      </w:pPr>
      <w:r>
        <w:rPr>
          <w:rFonts w:ascii="Arial" w:cs="Arial" w:eastAsia="Arial" w:hAnsi="Arial"/>
          <w:sz w:val="20"/>
          <w:szCs w:val="20"/>
          <w:color w:val="auto"/>
        </w:rPr>
        <w:t>capital contributions in respect of Term Loans and Incremental Term Loans acquired by Affiliated Lenders (including Affiliated Debt Funds) that have been contributed to Holdings and subsequently contributed to the Borrower (other than in respect of any Disqualified Equity Interest and excluding amounts received from the Borrower or any Restricted Subsidiary) and cancelled after the Effective Date and on or prior to such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204" w:right="499" w:bottom="1440" w:gutter="0" w:footer="0" w:header="0"/>
        </w:sectPr>
      </w:pPr>
    </w:p>
    <w:bookmarkStart w:id="153" w:name="page154"/>
    <w:bookmarkEnd w:id="153"/>
    <w:p>
      <w:pPr>
        <w:jc w:val="both"/>
        <w:ind w:left="5" w:right="20" w:firstLine="149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Tenor</w:t>
      </w:r>
      <w:r>
        <w:rPr>
          <w:rFonts w:ascii="Arial" w:cs="Arial" w:eastAsia="Arial" w:hAnsi="Arial"/>
          <w:sz w:val="20"/>
          <w:szCs w:val="20"/>
          <w:color w:val="auto"/>
        </w:rPr>
        <w:t xml:space="preserve">” means, as of any date of determination and with respect to the then-current Benchmark, </w:t>
      </w:r>
      <w:r>
        <w:rPr>
          <w:rFonts w:ascii="Arial" w:cs="Arial" w:eastAsia="Arial" w:hAnsi="Arial"/>
          <w:sz w:val="20"/>
          <w:szCs w:val="20"/>
          <w:b w:val="1"/>
          <w:bCs w:val="1"/>
          <w:u w:val="single" w:color="auto"/>
          <w:color w:val="0000FF"/>
        </w:rPr>
        <w:t>as</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applicable, (x) if such Benchmark is a term rate,</w:t>
      </w:r>
      <w:r>
        <w:rPr>
          <w:rFonts w:ascii="Arial" w:cs="Arial" w:eastAsia="Arial" w:hAnsi="Arial"/>
          <w:sz w:val="20"/>
          <w:szCs w:val="20"/>
          <w:b w:val="1"/>
          <w:bCs w:val="1"/>
          <w:color w:val="0000FF"/>
        </w:rPr>
        <w:t xml:space="preserve"> </w:t>
      </w:r>
      <w:r>
        <w:rPr>
          <w:rFonts w:ascii="Arial" w:cs="Arial" w:eastAsia="Arial" w:hAnsi="Arial"/>
          <w:sz w:val="20"/>
          <w:szCs w:val="20"/>
          <w:color w:val="000000"/>
        </w:rPr>
        <w:t>any tenor for such Benchmark</w:t>
      </w:r>
      <w:r>
        <w:rPr>
          <w:rFonts w:ascii="Arial" w:cs="Arial" w:eastAsia="Arial" w:hAnsi="Arial"/>
          <w:sz w:val="20"/>
          <w:szCs w:val="20"/>
          <w:b w:val="1"/>
          <w:bCs w:val="1"/>
          <w:color w:val="0000FF"/>
        </w:rPr>
        <w:t xml:space="preserve"> (</w:t>
      </w:r>
      <w:r>
        <w:rPr>
          <w:rFonts w:ascii="Arial" w:cs="Arial" w:eastAsia="Arial" w:hAnsi="Arial"/>
          <w:sz w:val="20"/>
          <w:szCs w:val="20"/>
          <w:color w:val="000000"/>
        </w:rPr>
        <w:t>or</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payment period for interest calculated with</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reference to such Benchmark, as applicable,</w:t>
      </w:r>
      <w:r>
        <w:rPr>
          <w:rFonts w:ascii="Arial" w:cs="Arial" w:eastAsia="Arial" w:hAnsi="Arial"/>
          <w:sz w:val="20"/>
          <w:szCs w:val="20"/>
          <w:b w:val="1"/>
          <w:bCs w:val="1"/>
          <w:u w:val="single" w:color="auto"/>
          <w:color w:val="0000FF"/>
        </w:rPr>
        <w:t>component thereof)</w:t>
      </w:r>
      <w:r>
        <w:rPr>
          <w:rFonts w:ascii="Arial" w:cs="Arial" w:eastAsia="Arial" w:hAnsi="Arial"/>
          <w:sz w:val="20"/>
          <w:szCs w:val="20"/>
          <w:b w:val="1"/>
          <w:bCs w:val="1"/>
          <w:color w:val="FF0000"/>
        </w:rPr>
        <w:t xml:space="preserve"> </w:t>
      </w:r>
      <w:r>
        <w:rPr>
          <w:rFonts w:ascii="Arial" w:cs="Arial" w:eastAsia="Arial" w:hAnsi="Arial"/>
          <w:sz w:val="20"/>
          <w:szCs w:val="20"/>
          <w:color w:val="000000"/>
        </w:rPr>
        <w:t>that is or may be used for determining the length of an</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Interest</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Period</w:t>
      </w:r>
      <w:r>
        <w:rPr>
          <w:rFonts w:ascii="Arial" w:cs="Arial" w:eastAsia="Arial" w:hAnsi="Arial"/>
          <w:sz w:val="20"/>
          <w:szCs w:val="20"/>
          <w:b w:val="1"/>
          <w:bCs w:val="1"/>
          <w:u w:val="single" w:color="auto"/>
          <w:color w:val="0000FF"/>
        </w:rPr>
        <w:t>interest period</w:t>
      </w:r>
      <w:r>
        <w:rPr>
          <w:rFonts w:ascii="Arial" w:cs="Arial" w:eastAsia="Arial" w:hAnsi="Arial"/>
          <w:sz w:val="20"/>
          <w:szCs w:val="20"/>
          <w:b w:val="1"/>
          <w:bCs w:val="1"/>
          <w:color w:val="FF0000"/>
        </w:rPr>
        <w:t xml:space="preserve"> </w:t>
      </w:r>
      <w:r>
        <w:rPr>
          <w:rFonts w:ascii="Arial" w:cs="Arial" w:eastAsia="Arial" w:hAnsi="Arial"/>
          <w:sz w:val="20"/>
          <w:szCs w:val="20"/>
          <w:color w:val="000000"/>
        </w:rPr>
        <w:t>pursuant to this Agreement</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or (y) otherwise, any payment period for interest calculated with reference to</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such Benchmark (or component thereof) that is or may be used for determining any frequency of making payments of interest calculated with reference to such Benchmark pursuant to this Agreement, in each case,</w:t>
      </w:r>
      <w:r>
        <w:rPr>
          <w:rFonts w:ascii="Arial" w:cs="Arial" w:eastAsia="Arial" w:hAnsi="Arial"/>
          <w:sz w:val="20"/>
          <w:szCs w:val="20"/>
          <w:b w:val="1"/>
          <w:bCs w:val="1"/>
          <w:color w:val="0000FF"/>
        </w:rPr>
        <w:t xml:space="preserve"> </w:t>
      </w:r>
      <w:r>
        <w:rPr>
          <w:rFonts w:ascii="Arial" w:cs="Arial" w:eastAsia="Arial" w:hAnsi="Arial"/>
          <w:sz w:val="20"/>
          <w:szCs w:val="20"/>
          <w:color w:val="000000"/>
        </w:rPr>
        <w:t>as of such date and</w:t>
      </w:r>
      <w:r>
        <w:rPr>
          <w:rFonts w:ascii="Arial" w:cs="Arial" w:eastAsia="Arial" w:hAnsi="Arial"/>
          <w:sz w:val="20"/>
          <w:szCs w:val="20"/>
          <w:b w:val="1"/>
          <w:bCs w:val="1"/>
          <w:color w:val="0000FF"/>
        </w:rPr>
        <w:t xml:space="preserve"> not including</w:t>
      </w:r>
      <w:r>
        <w:rPr>
          <w:rFonts w:ascii="Arial" w:cs="Arial" w:eastAsia="Arial" w:hAnsi="Arial"/>
          <w:sz w:val="20"/>
          <w:szCs w:val="20"/>
          <w:color w:val="000000"/>
        </w:rPr>
        <w:t>, for the</w:t>
      </w:r>
      <w:r>
        <w:rPr>
          <w:rFonts w:ascii="Arial" w:cs="Arial" w:eastAsia="Arial" w:hAnsi="Arial"/>
          <w:sz w:val="20"/>
          <w:szCs w:val="20"/>
          <w:b w:val="1"/>
          <w:bCs w:val="1"/>
          <w:color w:val="0000FF"/>
        </w:rPr>
        <w:t xml:space="preserve"> </w:t>
      </w:r>
      <w:r>
        <w:rPr>
          <w:rFonts w:ascii="Arial" w:cs="Arial" w:eastAsia="Arial" w:hAnsi="Arial"/>
          <w:sz w:val="20"/>
          <w:szCs w:val="20"/>
          <w:color w:val="000000"/>
        </w:rPr>
        <w:t xml:space="preserve">avoidance of doubt, </w:t>
      </w:r>
      <w:r>
        <w:rPr>
          <w:rFonts w:ascii="Arial" w:cs="Arial" w:eastAsia="Arial" w:hAnsi="Arial"/>
          <w:sz w:val="20"/>
          <w:szCs w:val="20"/>
          <w:b w:val="1"/>
          <w:bCs w:val="1"/>
          <w:color w:val="FF0000"/>
          <w:strike w:val="1"/>
        </w:rPr>
        <w:t>shall exclude</w:t>
      </w:r>
      <w:r>
        <w:rPr>
          <w:rFonts w:ascii="Arial" w:cs="Arial" w:eastAsia="Arial" w:hAnsi="Arial"/>
          <w:sz w:val="20"/>
          <w:szCs w:val="20"/>
          <w:color w:val="000000"/>
        </w:rPr>
        <w:t xml:space="preserve"> any tenor for such Benchmark that is </w:t>
      </w:r>
      <w:r>
        <w:rPr>
          <w:rFonts w:ascii="Arial" w:cs="Arial" w:eastAsia="Arial" w:hAnsi="Arial"/>
          <w:sz w:val="20"/>
          <w:szCs w:val="20"/>
          <w:b w:val="1"/>
          <w:bCs w:val="1"/>
          <w:color w:val="FF0000"/>
          <w:strike w:val="1"/>
        </w:rPr>
        <w:t>removed</w:t>
      </w:r>
      <w:r>
        <w:rPr>
          <w:rFonts w:ascii="Arial" w:cs="Arial" w:eastAsia="Arial" w:hAnsi="Arial"/>
          <w:sz w:val="20"/>
          <w:szCs w:val="20"/>
          <w:b w:val="1"/>
          <w:bCs w:val="1"/>
          <w:u w:val="single" w:color="auto"/>
          <w:color w:val="0000FF"/>
        </w:rPr>
        <w:t>then-removed</w:t>
      </w:r>
      <w:r>
        <w:rPr>
          <w:rFonts w:ascii="Arial" w:cs="Arial" w:eastAsia="Arial" w:hAnsi="Arial"/>
          <w:sz w:val="20"/>
          <w:szCs w:val="20"/>
          <w:color w:val="000000"/>
        </w:rPr>
        <w:t xml:space="preserve"> from the definition of “Interest Period” pursuant to </w:t>
      </w:r>
      <w:r>
        <w:rPr>
          <w:rFonts w:ascii="Arial" w:cs="Arial" w:eastAsia="Arial" w:hAnsi="Arial"/>
          <w:sz w:val="20"/>
          <w:szCs w:val="20"/>
          <w:u w:val="single" w:color="auto"/>
          <w:color w:val="000000"/>
        </w:rPr>
        <w:t>Section</w:t>
      </w:r>
      <w:r>
        <w:rPr>
          <w:rFonts w:ascii="Arial" w:cs="Arial" w:eastAsia="Arial" w:hAnsi="Arial"/>
          <w:sz w:val="20"/>
          <w:szCs w:val="20"/>
          <w:color w:val="000000"/>
        </w:rPr>
        <w:t xml:space="preserve"> </w:t>
      </w:r>
      <w:r>
        <w:rPr>
          <w:rFonts w:ascii="Arial" w:cs="Arial" w:eastAsia="Arial" w:hAnsi="Arial"/>
          <w:sz w:val="20"/>
          <w:szCs w:val="20"/>
          <w:b w:val="1"/>
          <w:bCs w:val="1"/>
          <w:color w:val="FF0000"/>
          <w:strike w:val="1"/>
        </w:rPr>
        <w:t>1.10</w:t>
      </w:r>
      <w:r>
        <w:rPr>
          <w:rFonts w:ascii="Arial" w:cs="Arial" w:eastAsia="Arial" w:hAnsi="Arial"/>
          <w:sz w:val="20"/>
          <w:szCs w:val="20"/>
          <w:b w:val="1"/>
          <w:bCs w:val="1"/>
          <w:u w:val="single" w:color="auto"/>
          <w:color w:val="0000FF"/>
        </w:rPr>
        <w:t>2.25</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-315595</wp:posOffset>
            </wp:positionV>
            <wp:extent cx="75628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81">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193" w:lineRule="exact"/>
        <w:rPr>
          <w:sz w:val="20"/>
          <w:szCs w:val="20"/>
          <w:color w:val="auto"/>
        </w:rPr>
      </w:pPr>
    </w:p>
    <w:p>
      <w:pPr>
        <w:ind w:left="5"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xml:space="preserve"> means the exercise of any Write-Down and Conversion Powers by the applicable Resolution Authority in respect of any liability of an Affected Financial Institution.</w:t>
      </w:r>
    </w:p>
    <w:p>
      <w:pPr>
        <w:spacing w:after="0" w:line="203" w:lineRule="exact"/>
        <w:rPr>
          <w:sz w:val="20"/>
          <w:szCs w:val="20"/>
          <w:color w:val="auto"/>
        </w:rPr>
      </w:pPr>
    </w:p>
    <w:p>
      <w:pPr>
        <w:jc w:val="both"/>
        <w:ind w:left="5" w:firstLine="1499"/>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8" w:lineRule="exact"/>
        <w:rPr>
          <w:sz w:val="20"/>
          <w:szCs w:val="20"/>
          <w:color w:val="auto"/>
        </w:rPr>
      </w:pPr>
    </w:p>
    <w:p>
      <w:pPr>
        <w:ind w:left="150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amended, or any similar federal or state law for the</w:t>
      </w:r>
    </w:p>
    <w:p>
      <w:pPr>
        <w:spacing w:after="0" w:line="38" w:lineRule="exact"/>
        <w:rPr>
          <w:sz w:val="20"/>
          <w:szCs w:val="20"/>
          <w:color w:val="auto"/>
        </w:rPr>
      </w:pPr>
    </w:p>
    <w:p>
      <w:pPr>
        <w:ind w:left="5"/>
        <w:spacing w:after="0"/>
        <w:rPr>
          <w:sz w:val="20"/>
          <w:szCs w:val="20"/>
          <w:color w:val="auto"/>
        </w:rPr>
      </w:pPr>
      <w:r>
        <w:rPr>
          <w:rFonts w:ascii="Arial" w:cs="Arial" w:eastAsia="Arial" w:hAnsi="Arial"/>
          <w:sz w:val="20"/>
          <w:szCs w:val="20"/>
          <w:color w:val="auto"/>
        </w:rPr>
        <w:t>relief of debtors.</w:t>
      </w:r>
    </w:p>
    <w:p>
      <w:pPr>
        <w:spacing w:after="0" w:line="212" w:lineRule="exact"/>
        <w:rPr>
          <w:sz w:val="20"/>
          <w:szCs w:val="20"/>
          <w:color w:val="auto"/>
        </w:rPr>
      </w:pPr>
    </w:p>
    <w:p>
      <w:pPr>
        <w:ind w:left="150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 III</w:t>
      </w:r>
      <w:r>
        <w:rPr>
          <w:rFonts w:ascii="Arial" w:cs="Arial" w:eastAsia="Arial" w:hAnsi="Arial"/>
          <w:sz w:val="18"/>
          <w:szCs w:val="18"/>
          <w:color w:val="auto"/>
        </w:rPr>
        <w:t>” means: (A) the agreements on capital requirements, a leverage ratio and liquidity standards contained in</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9"/>
          <w:szCs w:val="19"/>
          <w:color w:val="auto"/>
        </w:rPr>
        <w:t>“Basel III: A global regulatory framework for more resilient banks and banking systems”, “Basel III: International framework for</w:t>
      </w:r>
    </w:p>
    <w:p>
      <w:pPr>
        <w:spacing w:after="0" w:line="11" w:lineRule="exact"/>
        <w:rPr>
          <w:sz w:val="20"/>
          <w:szCs w:val="20"/>
          <w:color w:val="auto"/>
        </w:rPr>
      </w:pPr>
    </w:p>
    <w:p>
      <w:pPr>
        <w:ind w:left="5"/>
        <w:spacing w:after="0"/>
        <w:rPr>
          <w:sz w:val="20"/>
          <w:szCs w:val="20"/>
          <w:color w:val="auto"/>
        </w:rPr>
      </w:pPr>
      <w:r>
        <w:rPr>
          <w:rFonts w:ascii="Arial" w:cs="Arial" w:eastAsia="Arial" w:hAnsi="Arial"/>
          <w:sz w:val="19"/>
          <w:szCs w:val="19"/>
          <w:color w:val="auto"/>
        </w:rPr>
        <w:t>liquidity risk measurement, standards and monitoring” and “Guidance for national authorities operating the countercyclical capital</w:t>
      </w:r>
    </w:p>
    <w:p>
      <w:pPr>
        <w:spacing w:after="0" w:line="11" w:lineRule="exact"/>
        <w:rPr>
          <w:sz w:val="20"/>
          <w:szCs w:val="20"/>
          <w:color w:val="auto"/>
        </w:rPr>
      </w:pPr>
    </w:p>
    <w:p>
      <w:pPr>
        <w:ind w:left="5"/>
        <w:spacing w:after="0"/>
        <w:rPr>
          <w:sz w:val="20"/>
          <w:szCs w:val="20"/>
          <w:color w:val="auto"/>
        </w:rPr>
      </w:pPr>
      <w:r>
        <w:rPr>
          <w:rFonts w:ascii="Arial" w:cs="Arial" w:eastAsia="Arial" w:hAnsi="Arial"/>
          <w:sz w:val="18"/>
          <w:szCs w:val="18"/>
          <w:color w:val="auto"/>
        </w:rPr>
        <w:t>buffer” published by the Basel Committee on Banking Supervision in December 2010, each as amended, supplemented or restated; and</w:t>
      </w:r>
    </w:p>
    <w:p>
      <w:pPr>
        <w:spacing w:after="0" w:line="22" w:lineRule="exact"/>
        <w:rPr>
          <w:sz w:val="20"/>
          <w:szCs w:val="20"/>
          <w:color w:val="auto"/>
        </w:rPr>
      </w:pPr>
    </w:p>
    <w:p>
      <w:pPr>
        <w:jc w:val="both"/>
        <w:ind w:left="5" w:right="60" w:hanging="5"/>
        <w:spacing w:after="0"/>
        <w:tabs>
          <w:tab w:leader="none" w:pos="33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any further guidance or standards published by the Basel Committee on Banking Supervision relating to “Basel III”.</w:t>
      </w:r>
    </w:p>
    <w:p>
      <w:pPr>
        <w:spacing w:after="0" w:line="218" w:lineRule="exact"/>
        <w:rPr>
          <w:sz w:val="20"/>
          <w:szCs w:val="20"/>
          <w:color w:val="auto"/>
        </w:rPr>
      </w:pPr>
    </w:p>
    <w:p>
      <w:pPr>
        <w:jc w:val="both"/>
        <w:ind w:left="5" w:right="20" w:firstLine="1499"/>
        <w:spacing w:after="0" w:line="266"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BHC Act Affiliate</w:t>
      </w:r>
      <w:r>
        <w:rPr>
          <w:rFonts w:ascii="Arial" w:cs="Arial" w:eastAsia="Arial" w:hAnsi="Arial"/>
          <w:sz w:val="20"/>
          <w:szCs w:val="20"/>
          <w:b w:val="1"/>
          <w:bCs w:val="1"/>
          <w:color w:val="FF0000"/>
          <w:strike w:val="1"/>
        </w:rPr>
        <w:t>” of a party means an “affiliate” (as such term is defined under, and interpreted in accordance with, 12 U.S.C. 1841(k)) of such party.</w:t>
      </w:r>
    </w:p>
    <w:p>
      <w:pPr>
        <w:spacing w:after="0" w:line="178" w:lineRule="exact"/>
        <w:rPr>
          <w:sz w:val="20"/>
          <w:szCs w:val="20"/>
          <w:color w:val="auto"/>
        </w:rPr>
      </w:pPr>
    </w:p>
    <w:p>
      <w:pPr>
        <w:jc w:val="both"/>
        <w:ind w:left="5" w:right="40" w:firstLine="1498"/>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the </w:t>
      </w:r>
      <w:r>
        <w:rPr>
          <w:rFonts w:ascii="Arial" w:cs="Arial" w:eastAsia="Arial" w:hAnsi="Arial"/>
          <w:sz w:val="18"/>
          <w:szCs w:val="18"/>
          <w:b w:val="1"/>
          <w:bCs w:val="1"/>
          <w:color w:val="FF0000"/>
          <w:strike w:val="1"/>
        </w:rPr>
        <w:t>Screen</w:t>
      </w:r>
      <w:r>
        <w:rPr>
          <w:rFonts w:ascii="Arial" w:cs="Arial" w:eastAsia="Arial" w:hAnsi="Arial"/>
          <w:sz w:val="18"/>
          <w:szCs w:val="18"/>
          <w:b w:val="1"/>
          <w:bCs w:val="1"/>
          <w:u w:val="single" w:color="auto"/>
          <w:color w:val="0000FF"/>
        </w:rPr>
        <w:t>Term SOFR Reference</w:t>
      </w:r>
      <w:r>
        <w:rPr>
          <w:rFonts w:ascii="Arial" w:cs="Arial" w:eastAsia="Arial" w:hAnsi="Arial"/>
          <w:sz w:val="18"/>
          <w:szCs w:val="18"/>
          <w:color w:val="auto"/>
        </w:rPr>
        <w:t xml:space="preser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w:t>
      </w:r>
      <w:r>
        <w:rPr>
          <w:rFonts w:ascii="Arial" w:cs="Arial" w:eastAsia="Arial" w:hAnsi="Arial"/>
          <w:sz w:val="18"/>
          <w:szCs w:val="18"/>
          <w:b w:val="1"/>
          <w:bCs w:val="1"/>
          <w:color w:val="FF0000"/>
          <w:strike w:val="1"/>
        </w:rPr>
        <w:t>or an Early Opt-in Election, as applicable, and its related Benchmark Replacement Date have</w:t>
      </w:r>
      <w:r>
        <w:rPr>
          <w:rFonts w:ascii="Arial" w:cs="Arial" w:eastAsia="Arial" w:hAnsi="Arial"/>
          <w:sz w:val="18"/>
          <w:szCs w:val="18"/>
          <w:b w:val="1"/>
          <w:bCs w:val="1"/>
          <w:u w:val="single" w:color="auto"/>
          <w:color w:val="0000FF"/>
        </w:rPr>
        <w:t>has</w:t>
      </w:r>
      <w:r>
        <w:rPr>
          <w:rFonts w:ascii="Arial" w:cs="Arial" w:eastAsia="Arial" w:hAnsi="Arial"/>
          <w:sz w:val="18"/>
          <w:szCs w:val="18"/>
          <w:color w:val="auto"/>
        </w:rPr>
        <w:t xml:space="preserve"> occurred with respect to the </w:t>
      </w:r>
      <w:r>
        <w:rPr>
          <w:rFonts w:ascii="Arial" w:cs="Arial" w:eastAsia="Arial" w:hAnsi="Arial"/>
          <w:sz w:val="18"/>
          <w:szCs w:val="18"/>
          <w:b w:val="1"/>
          <w:bCs w:val="1"/>
          <w:color w:val="FF0000"/>
          <w:strike w:val="1"/>
        </w:rPr>
        <w:t>Screen</w:t>
      </w:r>
      <w:r>
        <w:rPr>
          <w:rFonts w:ascii="Arial" w:cs="Arial" w:eastAsia="Arial" w:hAnsi="Arial"/>
          <w:sz w:val="18"/>
          <w:szCs w:val="18"/>
          <w:b w:val="1"/>
          <w:bCs w:val="1"/>
          <w:u w:val="single" w:color="auto"/>
          <w:color w:val="0000FF"/>
        </w:rPr>
        <w:t>Term SOFR Reference</w:t>
      </w:r>
      <w:r>
        <w:rPr>
          <w:rFonts w:ascii="Arial" w:cs="Arial" w:eastAsia="Arial" w:hAnsi="Arial"/>
          <w:sz w:val="18"/>
          <w:szCs w:val="18"/>
          <w:color w:val="auto"/>
        </w:rPr>
        <w:t xml:space="preserve"> Rate or the then-current Benchmark, then “Benchmark” means the applicable Benchmark Replacement to the extent that such Benchmark Replacement has replaced such prior benchmark rate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1.10</w:t>
      </w:r>
      <w:r>
        <w:rPr>
          <w:rFonts w:ascii="Arial" w:cs="Arial" w:eastAsia="Arial" w:hAnsi="Arial"/>
          <w:sz w:val="18"/>
          <w:szCs w:val="18"/>
          <w:b w:val="1"/>
          <w:bCs w:val="1"/>
          <w:u w:val="single" w:color="auto"/>
          <w:color w:val="0000FF"/>
        </w:rPr>
        <w:t>2.25</w:t>
      </w:r>
      <w:r>
        <w:rPr>
          <w:rFonts w:ascii="Arial" w:cs="Arial" w:eastAsia="Arial" w:hAnsi="Arial"/>
          <w:sz w:val="18"/>
          <w:szCs w:val="18"/>
          <w:color w:val="auto"/>
        </w:rPr>
        <w:t>.</w:t>
      </w:r>
    </w:p>
    <w:p>
      <w:pPr>
        <w:spacing w:after="0" w:line="166" w:lineRule="exact"/>
        <w:rPr>
          <w:sz w:val="20"/>
          <w:szCs w:val="20"/>
          <w:color w:val="auto"/>
        </w:rPr>
      </w:pPr>
    </w:p>
    <w:p>
      <w:pPr>
        <w:jc w:val="both"/>
        <w:ind w:left="5" w:right="40" w:firstLine="1614"/>
        <w:spacing w:after="0" w:line="322" w:lineRule="auto"/>
        <w:rPr>
          <w:sz w:val="20"/>
          <w:szCs w:val="20"/>
          <w:color w:val="auto"/>
        </w:rPr>
      </w:pPr>
      <w:r>
        <w:rPr>
          <w:rFonts w:ascii="Arial" w:cs="Arial" w:eastAsia="Arial" w:hAnsi="Arial"/>
          <w:sz w:val="18"/>
          <w:szCs w:val="18"/>
          <w:b w:val="1"/>
          <w:bCs w:val="1"/>
          <w:u w:val="single" w:color="auto"/>
          <w:color w:val="0000FF"/>
        </w:rPr>
        <w:t>“Benchmark Replacement” means, with respect to any Benchmark Transition Event, the first alternative set forth in the order below that can be determined by the Administrative Agent for the applicable Benchmark Replacement Date:</w:t>
      </w:r>
    </w:p>
    <w:p>
      <w:pPr>
        <w:spacing w:after="0" w:line="354"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66040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5"/>
          </w:cols>
          <w:pgMar w:left="495" w:top="118" w:right="499" w:bottom="1440" w:gutter="0" w:footer="0" w:header="0"/>
        </w:sectPr>
      </w:pPr>
    </w:p>
    <w:bookmarkStart w:id="154" w:name="page155"/>
    <w:bookmarkEnd w:id="154"/>
    <w:p>
      <w:pPr>
        <w:ind w:left="1500"/>
        <w:spacing w:after="0"/>
        <w:tabs>
          <w:tab w:leader="none" w:pos="1860" w:val="left"/>
        </w:tabs>
        <w:rPr>
          <w:sz w:val="20"/>
          <w:szCs w:val="20"/>
          <w:color w:val="auto"/>
        </w:rPr>
      </w:pPr>
      <w:r>
        <w:rPr>
          <w:rFonts w:ascii="Arial" w:cs="Arial" w:eastAsia="Arial" w:hAnsi="Arial"/>
          <w:sz w:val="20"/>
          <w:szCs w:val="20"/>
          <w:b w:val="1"/>
          <w:bCs w:val="1"/>
          <w:u w:val="single" w:color="auto"/>
          <w:color w:val="0000FF"/>
        </w:rPr>
        <w:t>(a)</w:t>
      </w:r>
      <w:r>
        <w:rPr>
          <w:sz w:val="20"/>
          <w:szCs w:val="20"/>
          <w:color w:val="auto"/>
        </w:rPr>
        <w:tab/>
      </w:r>
      <w:r>
        <w:rPr>
          <w:rFonts w:ascii="Arial" w:cs="Arial" w:eastAsia="Arial" w:hAnsi="Arial"/>
          <w:sz w:val="18"/>
          <w:szCs w:val="18"/>
          <w:b w:val="1"/>
          <w:bCs w:val="1"/>
          <w:u w:val="single" w:color="auto"/>
          <w:color w:val="0000FF"/>
        </w:rPr>
        <w:t>the Adjusted Daily Simple SOFR; or</w:t>
      </w:r>
    </w:p>
    <w:p>
      <w:pPr>
        <w:spacing w:after="0" w:line="228" w:lineRule="exact"/>
        <w:rPr>
          <w:sz w:val="20"/>
          <w:szCs w:val="20"/>
          <w:color w:val="auto"/>
        </w:rPr>
      </w:pPr>
    </w:p>
    <w:p>
      <w:pPr>
        <w:jc w:val="both"/>
        <w:ind w:right="20" w:firstLine="1562"/>
        <w:spacing w:after="0" w:line="244"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Benchmark Replacement</w:t>
      </w:r>
      <w:r>
        <w:rPr>
          <w:rFonts w:ascii="Arial" w:cs="Arial" w:eastAsia="Arial" w:hAnsi="Arial"/>
          <w:sz w:val="20"/>
          <w:szCs w:val="20"/>
          <w:b w:val="1"/>
          <w:bCs w:val="1"/>
          <w:color w:val="FF0000"/>
          <w:strike w:val="1"/>
        </w:rPr>
        <w:t>” means</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(b)</w:t>
      </w:r>
      <w:r>
        <w:rPr>
          <w:rFonts w:ascii="Arial" w:cs="Arial" w:eastAsia="Arial" w:hAnsi="Arial"/>
          <w:sz w:val="20"/>
          <w:szCs w:val="20"/>
          <w:b w:val="1"/>
          <w:bCs w:val="1"/>
          <w:color w:val="FF0000"/>
        </w:rPr>
        <w:t xml:space="preserve"> </w:t>
      </w:r>
      <w:r>
        <w:rPr>
          <w:rFonts w:ascii="Arial" w:cs="Arial" w:eastAsia="Arial" w:hAnsi="Arial"/>
          <w:sz w:val="20"/>
          <w:szCs w:val="20"/>
          <w:color w:val="000000"/>
        </w:rPr>
        <w:t>the sum of: (</w:t>
      </w:r>
      <w:r>
        <w:rPr>
          <w:rFonts w:ascii="Arial" w:cs="Arial" w:eastAsia="Arial" w:hAnsi="Arial"/>
          <w:sz w:val="20"/>
          <w:szCs w:val="20"/>
          <w:b w:val="1"/>
          <w:bCs w:val="1"/>
          <w:color w:val="FF0000"/>
          <w:strike w:val="1"/>
        </w:rPr>
        <w:t>a</w:t>
      </w:r>
      <w:r>
        <w:rPr>
          <w:rFonts w:ascii="Arial" w:cs="Arial" w:eastAsia="Arial" w:hAnsi="Arial"/>
          <w:sz w:val="20"/>
          <w:szCs w:val="20"/>
          <w:b w:val="1"/>
          <w:bCs w:val="1"/>
          <w:color w:val="0000FF"/>
        </w:rPr>
        <w:t>i</w:t>
      </w:r>
      <w:r>
        <w:rPr>
          <w:rFonts w:ascii="Arial" w:cs="Arial" w:eastAsia="Arial" w:hAnsi="Arial"/>
          <w:sz w:val="20"/>
          <w:szCs w:val="20"/>
          <w:color w:val="000000"/>
        </w:rPr>
        <w:t>) the alternate benchmark rate</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(which may be a SOFR-Based Rate)</w:t>
      </w:r>
      <w:r>
        <w:rPr>
          <w:rFonts w:ascii="Arial" w:cs="Arial" w:eastAsia="Arial" w:hAnsi="Arial"/>
          <w:sz w:val="20"/>
          <w:szCs w:val="20"/>
          <w:b w:val="1"/>
          <w:bCs w:val="1"/>
          <w:color w:val="FF0000"/>
        </w:rPr>
        <w:t xml:space="preserve"> </w:t>
      </w:r>
      <w:r>
        <w:rPr>
          <w:rFonts w:ascii="Arial" w:cs="Arial" w:eastAsia="Arial" w:hAnsi="Arial"/>
          <w:sz w:val="20"/>
          <w:szCs w:val="20"/>
          <w:color w:val="000000"/>
        </w:rPr>
        <w:t>that has been selected by the Administrative Agent and the Borrower giving due consideration to (</w:t>
      </w:r>
      <w:r>
        <w:rPr>
          <w:rFonts w:ascii="Arial" w:cs="Arial" w:eastAsia="Arial" w:hAnsi="Arial"/>
          <w:sz w:val="20"/>
          <w:szCs w:val="20"/>
          <w:b w:val="1"/>
          <w:bCs w:val="1"/>
          <w:color w:val="FF0000"/>
        </w:rPr>
        <w:t>i</w:t>
      </w:r>
      <w:r>
        <w:rPr>
          <w:rFonts w:ascii="Arial" w:cs="Arial" w:eastAsia="Arial" w:hAnsi="Arial"/>
          <w:sz w:val="20"/>
          <w:szCs w:val="20"/>
          <w:b w:val="1"/>
          <w:bCs w:val="1"/>
          <w:u w:val="single" w:color="auto"/>
          <w:color w:val="0000FF"/>
        </w:rPr>
        <w:t>A</w:t>
      </w:r>
      <w:r>
        <w:rPr>
          <w:rFonts w:ascii="Arial" w:cs="Arial" w:eastAsia="Arial" w:hAnsi="Arial"/>
          <w:sz w:val="20"/>
          <w:szCs w:val="20"/>
          <w:color w:val="000000"/>
        </w:rPr>
        <w:t>) any selection or</w:t>
      </w:r>
      <w:r>
        <w:rPr>
          <w:rFonts w:ascii="Arial" w:cs="Arial" w:eastAsia="Arial" w:hAnsi="Arial"/>
          <w:sz w:val="20"/>
          <w:szCs w:val="20"/>
          <w:b w:val="1"/>
          <w:bCs w:val="1"/>
          <w:color w:val="FF0000"/>
        </w:rPr>
        <w:t xml:space="preserve"> </w:t>
      </w:r>
      <w:r>
        <w:rPr>
          <w:rFonts w:ascii="Arial" w:cs="Arial" w:eastAsia="Arial" w:hAnsi="Arial"/>
          <w:sz w:val="20"/>
          <w:szCs w:val="20"/>
          <w:color w:val="000000"/>
        </w:rPr>
        <w:t xml:space="preserve">recommendation of a replacement </w:t>
      </w:r>
      <w:r>
        <w:rPr>
          <w:rFonts w:ascii="Arial" w:cs="Arial" w:eastAsia="Arial" w:hAnsi="Arial"/>
          <w:sz w:val="20"/>
          <w:szCs w:val="20"/>
          <w:b w:val="1"/>
          <w:bCs w:val="1"/>
          <w:u w:val="single" w:color="auto"/>
          <w:color w:val="0000FF"/>
        </w:rPr>
        <w:t>benchmark</w:t>
      </w:r>
      <w:r>
        <w:rPr>
          <w:rFonts w:ascii="Arial" w:cs="Arial" w:eastAsia="Arial" w:hAnsi="Arial"/>
          <w:sz w:val="20"/>
          <w:szCs w:val="20"/>
          <w:color w:val="000000"/>
        </w:rPr>
        <w:t xml:space="preserve"> rate or the mechanism for determining such a rate by the Relevant Governmental Body or (</w:t>
      </w:r>
      <w:r>
        <w:rPr>
          <w:rFonts w:ascii="Arial" w:cs="Arial" w:eastAsia="Arial" w:hAnsi="Arial"/>
          <w:sz w:val="20"/>
          <w:szCs w:val="20"/>
          <w:b w:val="1"/>
          <w:bCs w:val="1"/>
          <w:color w:val="FF0000"/>
          <w:strike w:val="1"/>
        </w:rPr>
        <w:t>ii</w:t>
      </w:r>
      <w:r>
        <w:rPr>
          <w:rFonts w:ascii="Arial" w:cs="Arial" w:eastAsia="Arial" w:hAnsi="Arial"/>
          <w:sz w:val="20"/>
          <w:szCs w:val="20"/>
          <w:b w:val="1"/>
          <w:bCs w:val="1"/>
          <w:u w:val="single" w:color="auto"/>
          <w:color w:val="0000FF"/>
        </w:rPr>
        <w:t>B</w:t>
      </w:r>
      <w:r>
        <w:rPr>
          <w:rFonts w:ascii="Arial" w:cs="Arial" w:eastAsia="Arial" w:hAnsi="Arial"/>
          <w:sz w:val="20"/>
          <w:szCs w:val="20"/>
          <w:color w:val="000000"/>
        </w:rPr>
        <w:t xml:space="preserve">) any evolving or then-prevailing market convention for determining a </w:t>
      </w:r>
      <w:r>
        <w:rPr>
          <w:rFonts w:ascii="Arial" w:cs="Arial" w:eastAsia="Arial" w:hAnsi="Arial"/>
          <w:sz w:val="20"/>
          <w:szCs w:val="20"/>
          <w:b w:val="1"/>
          <w:bCs w:val="1"/>
          <w:u w:val="single" w:color="auto"/>
          <w:color w:val="0000FF"/>
        </w:rPr>
        <w:t>benchmark</w:t>
      </w:r>
      <w:r>
        <w:rPr>
          <w:rFonts w:ascii="Arial" w:cs="Arial" w:eastAsia="Arial" w:hAnsi="Arial"/>
          <w:sz w:val="20"/>
          <w:szCs w:val="20"/>
          <w:color w:val="000000"/>
        </w:rPr>
        <w:t xml:space="preserve"> rate </w:t>
      </w:r>
      <w:r>
        <w:rPr>
          <w:rFonts w:ascii="Arial" w:cs="Arial" w:eastAsia="Arial" w:hAnsi="Arial"/>
          <w:sz w:val="20"/>
          <w:szCs w:val="20"/>
          <w:b w:val="1"/>
          <w:bCs w:val="1"/>
          <w:color w:val="FF0000"/>
          <w:strike w:val="1"/>
        </w:rPr>
        <w:t>of interest</w:t>
      </w:r>
      <w:r>
        <w:rPr>
          <w:rFonts w:ascii="Arial" w:cs="Arial" w:eastAsia="Arial" w:hAnsi="Arial"/>
          <w:sz w:val="20"/>
          <w:szCs w:val="20"/>
          <w:color w:val="000000"/>
        </w:rPr>
        <w:t xml:space="preserve"> as a replacement to the </w:t>
      </w:r>
      <w:r>
        <w:rPr>
          <w:rFonts w:ascii="Arial" w:cs="Arial" w:eastAsia="Arial" w:hAnsi="Arial"/>
          <w:sz w:val="20"/>
          <w:szCs w:val="20"/>
          <w:b w:val="1"/>
          <w:bCs w:val="1"/>
          <w:u w:val="single" w:color="auto"/>
          <w:color w:val="0000FF"/>
        </w:rPr>
        <w:t>then-current</w:t>
      </w:r>
      <w:r>
        <w:rPr>
          <w:rFonts w:ascii="Arial" w:cs="Arial" w:eastAsia="Arial" w:hAnsi="Arial"/>
          <w:sz w:val="20"/>
          <w:szCs w:val="20"/>
          <w:b w:val="1"/>
          <w:bCs w:val="1"/>
          <w:color w:val="0000FF"/>
        </w:rPr>
        <w:t xml:space="preserve"> </w:t>
      </w:r>
      <w:r>
        <w:rPr>
          <w:rFonts w:ascii="Arial" w:cs="Arial" w:eastAsia="Arial" w:hAnsi="Arial"/>
          <w:sz w:val="20"/>
          <w:szCs w:val="20"/>
          <w:color w:val="000000"/>
        </w:rPr>
        <w:t>Benchmark for U.S. dollar-denominated syndicated credit facilities and (</w:t>
      </w:r>
      <w:r>
        <w:rPr>
          <w:rFonts w:ascii="Arial" w:cs="Arial" w:eastAsia="Arial" w:hAnsi="Arial"/>
          <w:sz w:val="20"/>
          <w:szCs w:val="20"/>
          <w:b w:val="1"/>
          <w:bCs w:val="1"/>
          <w:color w:val="FF0000"/>
          <w:strike w:val="1"/>
        </w:rPr>
        <w:t>b</w:t>
      </w:r>
      <w:r>
        <w:rPr>
          <w:rFonts w:ascii="Arial" w:cs="Arial" w:eastAsia="Arial" w:hAnsi="Arial"/>
          <w:sz w:val="20"/>
          <w:szCs w:val="20"/>
          <w:b w:val="1"/>
          <w:bCs w:val="1"/>
          <w:u w:val="single" w:color="auto"/>
          <w:color w:val="0000FF"/>
        </w:rPr>
        <w:t>ii</w:t>
      </w:r>
      <w:r>
        <w:rPr>
          <w:rFonts w:ascii="Arial" w:cs="Arial" w:eastAsia="Arial" w:hAnsi="Arial"/>
          <w:sz w:val="20"/>
          <w:szCs w:val="20"/>
          <w:color w:val="000000"/>
        </w:rPr>
        <w:t>) the</w:t>
      </w:r>
      <w:r>
        <w:rPr>
          <w:rFonts w:ascii="Arial" w:cs="Arial" w:eastAsia="Arial" w:hAnsi="Arial"/>
          <w:sz w:val="20"/>
          <w:szCs w:val="20"/>
          <w:b w:val="1"/>
          <w:bCs w:val="1"/>
          <w:color w:val="0000FF"/>
        </w:rPr>
        <w:t xml:space="preserve"> </w:t>
      </w:r>
      <w:r>
        <w:rPr>
          <w:rFonts w:ascii="Arial" w:cs="Arial" w:eastAsia="Arial" w:hAnsi="Arial"/>
          <w:sz w:val="20"/>
          <w:szCs w:val="20"/>
          <w:b w:val="1"/>
          <w:bCs w:val="1"/>
          <w:u w:val="single" w:color="auto"/>
          <w:color w:val="0000FF"/>
        </w:rPr>
        <w:t>related</w:t>
      </w:r>
      <w:r>
        <w:rPr>
          <w:rFonts w:ascii="Arial" w:cs="Arial" w:eastAsia="Arial" w:hAnsi="Arial"/>
          <w:sz w:val="20"/>
          <w:szCs w:val="20"/>
          <w:b w:val="1"/>
          <w:bCs w:val="1"/>
          <w:color w:val="0000FF"/>
        </w:rPr>
        <w:t xml:space="preserve"> </w:t>
      </w:r>
      <w:r>
        <w:rPr>
          <w:rFonts w:ascii="Arial" w:cs="Arial" w:eastAsia="Arial" w:hAnsi="Arial"/>
          <w:sz w:val="20"/>
          <w:szCs w:val="20"/>
          <w:color w:val="000000"/>
        </w:rPr>
        <w:t>Benchmark Replacement Adjustment</w:t>
      </w:r>
      <w:r>
        <w:rPr>
          <w:rFonts w:ascii="Arial" w:cs="Arial" w:eastAsia="Arial" w:hAnsi="Arial"/>
          <w:sz w:val="20"/>
          <w:szCs w:val="20"/>
          <w:b w:val="1"/>
          <w:bCs w:val="1"/>
          <w:color w:val="FF0000"/>
          <w:strike w:val="1"/>
        </w:rPr>
        <w:t>;</w:t>
      </w:r>
      <w:r>
        <w:rPr>
          <w:rFonts w:ascii="Arial" w:cs="Arial" w:eastAsia="Arial" w:hAnsi="Arial"/>
          <w:sz w:val="20"/>
          <w:szCs w:val="20"/>
          <w:b w:val="1"/>
          <w:bCs w:val="1"/>
          <w:color w:val="0000FF"/>
        </w:rPr>
        <w:t xml:space="preserve"> </w:t>
      </w:r>
      <w:r>
        <w:rPr>
          <w:rFonts w:ascii="Arial" w:cs="Arial" w:eastAsia="Arial" w:hAnsi="Arial"/>
          <w:sz w:val="20"/>
          <w:szCs w:val="20"/>
          <w:b w:val="1"/>
          <w:bCs w:val="1"/>
          <w:i w:val="1"/>
          <w:iCs w:val="1"/>
          <w:color w:val="FF0000"/>
          <w:strike w:val="1"/>
        </w:rPr>
        <w:t>provided</w:t>
      </w:r>
      <w:r>
        <w:rPr>
          <w:rFonts w:ascii="Arial" w:cs="Arial" w:eastAsia="Arial" w:hAnsi="Arial"/>
          <w:sz w:val="20"/>
          <w:szCs w:val="20"/>
          <w:b w:val="1"/>
          <w:bCs w:val="1"/>
          <w:i w:val="1"/>
          <w:iCs w:val="1"/>
          <w:color w:val="FF0000"/>
        </w:rPr>
        <w:t xml:space="preserve"> </w:t>
      </w:r>
      <w:r>
        <w:rPr>
          <w:rFonts w:ascii="Arial" w:cs="Arial" w:eastAsia="Arial" w:hAnsi="Arial"/>
          <w:sz w:val="20"/>
          <w:szCs w:val="20"/>
          <w:b w:val="1"/>
          <w:bCs w:val="1"/>
          <w:color w:val="FF0000"/>
          <w:strike w:val="1"/>
        </w:rPr>
        <w:t>that, if</w:t>
      </w:r>
      <w:r>
        <w:rPr>
          <w:rFonts w:ascii="Arial" w:cs="Arial" w:eastAsia="Arial" w:hAnsi="Arial"/>
          <w:sz w:val="20"/>
          <w:szCs w:val="20"/>
          <w:b w:val="1"/>
          <w:bCs w:val="1"/>
          <w:i w:val="1"/>
          <w:iCs w:val="1"/>
          <w:color w:val="FF0000"/>
        </w:rPr>
        <w:t xml:space="preserve"> </w:t>
      </w:r>
      <w:r>
        <w:rPr>
          <w:rFonts w:ascii="Arial" w:cs="Arial" w:eastAsia="Arial" w:hAnsi="Arial"/>
          <w:sz w:val="20"/>
          <w:szCs w:val="20"/>
          <w:b w:val="1"/>
          <w:bCs w:val="1"/>
          <w:color w:val="0000FF"/>
        </w:rPr>
        <w:t>.</w:t>
      </w:r>
    </w:p>
    <w:p>
      <w:pPr>
        <w:spacing w:after="0" w:line="215" w:lineRule="exact"/>
        <w:rPr>
          <w:sz w:val="20"/>
          <w:szCs w:val="20"/>
          <w:color w:val="auto"/>
        </w:rPr>
      </w:pPr>
    </w:p>
    <w:p>
      <w:pPr>
        <w:jc w:val="both"/>
        <w:ind w:firstLine="1499"/>
        <w:spacing w:after="0" w:line="248" w:lineRule="auto"/>
        <w:rPr>
          <w:sz w:val="20"/>
          <w:szCs w:val="20"/>
          <w:color w:val="auto"/>
        </w:rPr>
      </w:pPr>
      <w:r>
        <w:rPr>
          <w:rFonts w:ascii="Arial" w:cs="Arial" w:eastAsia="Arial" w:hAnsi="Arial"/>
          <w:sz w:val="20"/>
          <w:szCs w:val="20"/>
          <w:b w:val="1"/>
          <w:bCs w:val="1"/>
          <w:u w:val="single" w:color="auto"/>
          <w:color w:val="0000FF"/>
        </w:rPr>
        <w:t>If</w:t>
      </w:r>
      <w:r>
        <w:rPr>
          <w:rFonts w:ascii="Arial" w:cs="Arial" w:eastAsia="Arial" w:hAnsi="Arial"/>
          <w:sz w:val="20"/>
          <w:szCs w:val="20"/>
          <w:b w:val="1"/>
          <w:bCs w:val="1"/>
          <w:color w:val="0000FF"/>
        </w:rPr>
        <w:t xml:space="preserve"> </w:t>
      </w:r>
      <w:r>
        <w:rPr>
          <w:rFonts w:ascii="Arial" w:cs="Arial" w:eastAsia="Arial" w:hAnsi="Arial"/>
          <w:sz w:val="20"/>
          <w:szCs w:val="20"/>
          <w:color w:val="000000"/>
        </w:rPr>
        <w:t>the Benchmark Replacement as</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so</w:t>
      </w:r>
      <w:r>
        <w:rPr>
          <w:rFonts w:ascii="Arial" w:cs="Arial" w:eastAsia="Arial" w:hAnsi="Arial"/>
          <w:sz w:val="20"/>
          <w:szCs w:val="20"/>
          <w:b w:val="1"/>
          <w:bCs w:val="1"/>
          <w:color w:val="0000FF"/>
        </w:rPr>
        <w:t xml:space="preserve"> </w:t>
      </w:r>
      <w:r>
        <w:rPr>
          <w:rFonts w:ascii="Arial" w:cs="Arial" w:eastAsia="Arial" w:hAnsi="Arial"/>
          <w:sz w:val="20"/>
          <w:szCs w:val="20"/>
          <w:color w:val="000000"/>
        </w:rPr>
        <w:t>determined</w:t>
      </w:r>
      <w:r>
        <w:rPr>
          <w:rFonts w:ascii="Arial" w:cs="Arial" w:eastAsia="Arial" w:hAnsi="Arial"/>
          <w:sz w:val="20"/>
          <w:szCs w:val="20"/>
          <w:b w:val="1"/>
          <w:bCs w:val="1"/>
          <w:color w:val="0000FF"/>
        </w:rPr>
        <w:t xml:space="preserve"> </w:t>
      </w:r>
      <w:r>
        <w:rPr>
          <w:rFonts w:ascii="Arial" w:cs="Arial" w:eastAsia="Arial" w:hAnsi="Arial"/>
          <w:sz w:val="20"/>
          <w:szCs w:val="20"/>
          <w:b w:val="1"/>
          <w:bCs w:val="1"/>
          <w:u w:val="single" w:color="auto"/>
          <w:color w:val="0000FF"/>
        </w:rPr>
        <w:t>pursuant to clause (a) or (b) above</w:t>
      </w:r>
      <w:r>
        <w:rPr>
          <w:rFonts w:ascii="Arial" w:cs="Arial" w:eastAsia="Arial" w:hAnsi="Arial"/>
          <w:sz w:val="20"/>
          <w:szCs w:val="20"/>
          <w:b w:val="1"/>
          <w:bCs w:val="1"/>
          <w:color w:val="0000FF"/>
        </w:rPr>
        <w:t xml:space="preserve"> </w:t>
      </w:r>
      <w:r>
        <w:rPr>
          <w:rFonts w:ascii="Arial" w:cs="Arial" w:eastAsia="Arial" w:hAnsi="Arial"/>
          <w:sz w:val="20"/>
          <w:szCs w:val="20"/>
          <w:color w:val="000000"/>
        </w:rPr>
        <w:t>would be less than</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(i) in the</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case of the Initial Term Loans, 0.75%</w:t>
      </w:r>
      <w:r>
        <w:rPr>
          <w:rFonts w:ascii="Arial" w:cs="Arial" w:eastAsia="Arial" w:hAnsi="Arial"/>
          <w:sz w:val="20"/>
          <w:szCs w:val="20"/>
          <w:b w:val="1"/>
          <w:bCs w:val="1"/>
          <w:u w:val="single" w:color="auto"/>
          <w:color w:val="0000FF"/>
        </w:rPr>
        <w:t>the Floor</w:t>
      </w:r>
      <w:r>
        <w:rPr>
          <w:rFonts w:ascii="Arial" w:cs="Arial" w:eastAsia="Arial" w:hAnsi="Arial"/>
          <w:sz w:val="20"/>
          <w:szCs w:val="20"/>
          <w:color w:val="000000"/>
        </w:rPr>
        <w:t>, the Benchmark Replacement will be deemed to be</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0.75%</w:t>
      </w:r>
      <w:r>
        <w:rPr>
          <w:rFonts w:ascii="Arial" w:cs="Arial" w:eastAsia="Arial" w:hAnsi="Arial"/>
          <w:sz w:val="20"/>
          <w:szCs w:val="20"/>
          <w:b w:val="1"/>
          <w:bCs w:val="1"/>
          <w:u w:val="single" w:color="auto"/>
          <w:color w:val="0000FF"/>
        </w:rPr>
        <w:t>the Floor</w:t>
      </w:r>
      <w:r>
        <w:rPr>
          <w:rFonts w:ascii="Arial" w:cs="Arial" w:eastAsia="Arial" w:hAnsi="Arial"/>
          <w:sz w:val="20"/>
          <w:szCs w:val="20"/>
          <w:b w:val="1"/>
          <w:bCs w:val="1"/>
          <w:color w:val="FF0000"/>
        </w:rPr>
        <w:t xml:space="preserve"> </w:t>
      </w:r>
      <w:r>
        <w:rPr>
          <w:rFonts w:ascii="Arial" w:cs="Arial" w:eastAsia="Arial" w:hAnsi="Arial"/>
          <w:sz w:val="20"/>
          <w:szCs w:val="20"/>
          <w:color w:val="000000"/>
        </w:rPr>
        <w:t>for the purposes</w:t>
      </w:r>
      <w:r>
        <w:rPr>
          <w:rFonts w:ascii="Arial" w:cs="Arial" w:eastAsia="Arial" w:hAnsi="Arial"/>
          <w:sz w:val="20"/>
          <w:szCs w:val="20"/>
          <w:b w:val="1"/>
          <w:bCs w:val="1"/>
          <w:color w:val="FF0000"/>
        </w:rPr>
        <w:t xml:space="preserve"> </w:t>
      </w:r>
      <w:r>
        <w:rPr>
          <w:rFonts w:ascii="Arial" w:cs="Arial" w:eastAsia="Arial" w:hAnsi="Arial"/>
          <w:sz w:val="20"/>
          <w:szCs w:val="20"/>
          <w:color w:val="000000"/>
        </w:rPr>
        <w:t xml:space="preserve">of this Agreement and </w:t>
      </w:r>
      <w:r>
        <w:rPr>
          <w:rFonts w:ascii="Arial" w:cs="Arial" w:eastAsia="Arial" w:hAnsi="Arial"/>
          <w:sz w:val="20"/>
          <w:szCs w:val="20"/>
          <w:b w:val="1"/>
          <w:bCs w:val="1"/>
          <w:color w:val="FF0000"/>
          <w:strike w:val="1"/>
        </w:rPr>
        <w:t>(ii) otherwise, 0.00%, the Benchmark Replacement will be deemed to be 0.00% for the purposes of this</w:t>
      </w:r>
      <w:r>
        <w:rPr>
          <w:rFonts w:ascii="Arial" w:cs="Arial" w:eastAsia="Arial" w:hAnsi="Arial"/>
          <w:sz w:val="20"/>
          <w:szCs w:val="20"/>
          <w:color w:val="000000"/>
        </w:rPr>
        <w:t xml:space="preserve"> </w:t>
      </w:r>
      <w:r>
        <w:rPr>
          <w:rFonts w:ascii="Arial" w:cs="Arial" w:eastAsia="Arial" w:hAnsi="Arial"/>
          <w:sz w:val="20"/>
          <w:szCs w:val="20"/>
          <w:b w:val="1"/>
          <w:bCs w:val="1"/>
          <w:color w:val="FF0000"/>
          <w:strike w:val="1"/>
        </w:rPr>
        <w:t>Agreement</w:t>
      </w:r>
      <w:r>
        <w:rPr>
          <w:rFonts w:ascii="Arial" w:cs="Arial" w:eastAsia="Arial" w:hAnsi="Arial"/>
          <w:sz w:val="20"/>
          <w:szCs w:val="20"/>
          <w:b w:val="1"/>
          <w:bCs w:val="1"/>
          <w:u w:val="single" w:color="auto"/>
          <w:color w:val="0000FF"/>
        </w:rPr>
        <w:t>the other Loan Documents</w:t>
      </w:r>
      <w:r>
        <w:rPr>
          <w:rFonts w:ascii="Arial" w:cs="Arial" w:eastAsia="Arial" w:hAnsi="Arial"/>
          <w:sz w:val="20"/>
          <w:szCs w:val="20"/>
          <w:color w:val="000000"/>
        </w:rPr>
        <w:t>.</w:t>
      </w:r>
    </w:p>
    <w:p>
      <w:pPr>
        <w:spacing w:after="0" w:line="196" w:lineRule="exact"/>
        <w:rPr>
          <w:sz w:val="20"/>
          <w:szCs w:val="20"/>
          <w:color w:val="auto"/>
        </w:rPr>
      </w:pPr>
    </w:p>
    <w:p>
      <w:pPr>
        <w:jc w:val="both"/>
        <w:ind w:firstLine="149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Adjustment</w:t>
      </w:r>
      <w:r>
        <w:rPr>
          <w:rFonts w:ascii="Arial" w:cs="Arial" w:eastAsia="Arial" w:hAnsi="Arial"/>
          <w:sz w:val="20"/>
          <w:szCs w:val="20"/>
          <w:color w:val="auto"/>
        </w:rPr>
        <w:t xml:space="preserve">” means, with respect to any replacement of the </w:t>
      </w:r>
      <w:r>
        <w:rPr>
          <w:rFonts w:ascii="Arial" w:cs="Arial" w:eastAsia="Arial" w:hAnsi="Arial"/>
          <w:sz w:val="20"/>
          <w:szCs w:val="20"/>
          <w:b w:val="1"/>
          <w:bCs w:val="1"/>
          <w:color w:val="FF0000"/>
          <w:strike w:val="1"/>
        </w:rPr>
        <w:t>Adjusted LIBO Rate</w:t>
      </w:r>
      <w:r>
        <w:rPr>
          <w:rFonts w:ascii="Arial" w:cs="Arial" w:eastAsia="Arial" w:hAnsi="Arial"/>
          <w:sz w:val="20"/>
          <w:szCs w:val="20"/>
          <w:b w:val="1"/>
          <w:bCs w:val="1"/>
          <w:u w:val="single" w:color="auto"/>
          <w:color w:val="0000FF"/>
        </w:rPr>
        <w:t>then-current Benchmark</w:t>
      </w:r>
      <w:r>
        <w:rPr>
          <w:rFonts w:ascii="Arial" w:cs="Arial" w:eastAsia="Arial" w:hAnsi="Arial"/>
          <w:sz w:val="20"/>
          <w:szCs w:val="20"/>
          <w:b w:val="1"/>
          <w:bCs w:val="1"/>
          <w:color w:val="0000FF"/>
        </w:rPr>
        <w:t xml:space="preserve"> </w:t>
      </w:r>
      <w:r>
        <w:rPr>
          <w:rFonts w:ascii="Arial" w:cs="Arial" w:eastAsia="Arial" w:hAnsi="Arial"/>
          <w:sz w:val="20"/>
          <w:szCs w:val="20"/>
          <w:color w:val="000000"/>
        </w:rPr>
        <w:t>with an Unadjusted Benchmark Replacement</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rPr>
        <w:t>for each</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applicable Interest Period</w:t>
      </w:r>
      <w:r>
        <w:rPr>
          <w:rFonts w:ascii="Arial" w:cs="Arial" w:eastAsia="Arial" w:hAnsi="Arial"/>
          <w:sz w:val="20"/>
          <w:szCs w:val="20"/>
          <w:color w:val="000000"/>
        </w:rPr>
        <w:t>, the spread adjustment, or</w:t>
      </w:r>
      <w:r>
        <w:rPr>
          <w:rFonts w:ascii="Arial" w:cs="Arial" w:eastAsia="Arial" w:hAnsi="Arial"/>
          <w:sz w:val="20"/>
          <w:szCs w:val="20"/>
          <w:b w:val="1"/>
          <w:bCs w:val="1"/>
          <w:color w:val="0000FF"/>
        </w:rPr>
        <w:t xml:space="preserve"> </w:t>
      </w:r>
      <w:r>
        <w:rPr>
          <w:rFonts w:ascii="Arial" w:cs="Arial" w:eastAsia="Arial" w:hAnsi="Arial"/>
          <w:sz w:val="20"/>
          <w:szCs w:val="20"/>
          <w:color w:val="000000"/>
        </w:rPr>
        <w:t>method for calculating or determining such spread adjustment, (which may be a positive or negative value or zero) that has been selected by the Administrative Agent and the Borrower giving due consideration to (</w:t>
      </w:r>
      <w:r>
        <w:rPr>
          <w:rFonts w:ascii="Arial" w:cs="Arial" w:eastAsia="Arial" w:hAnsi="Arial"/>
          <w:sz w:val="20"/>
          <w:szCs w:val="20"/>
          <w:b w:val="1"/>
          <w:bCs w:val="1"/>
          <w:color w:val="FF0000"/>
        </w:rPr>
        <w:t>i</w:t>
      </w:r>
      <w:r>
        <w:rPr>
          <w:rFonts w:ascii="Arial" w:cs="Arial" w:eastAsia="Arial" w:hAnsi="Arial"/>
          <w:sz w:val="20"/>
          <w:szCs w:val="20"/>
          <w:b w:val="1"/>
          <w:bCs w:val="1"/>
          <w:u w:val="single" w:color="auto"/>
          <w:color w:val="0000FF"/>
        </w:rPr>
        <w:t>a</w:t>
      </w:r>
      <w:r>
        <w:rPr>
          <w:rFonts w:ascii="Arial" w:cs="Arial" w:eastAsia="Arial" w:hAnsi="Arial"/>
          <w:sz w:val="20"/>
          <w:szCs w:val="20"/>
          <w:color w:val="000000"/>
        </w:rPr>
        <w:t xml:space="preserve">) any selection or recommendation of a spread adjustment, or method for calculating or determining such spread adjustment, for the replacement of </w:t>
      </w:r>
      <w:r>
        <w:rPr>
          <w:rFonts w:ascii="Arial" w:cs="Arial" w:eastAsia="Arial" w:hAnsi="Arial"/>
          <w:sz w:val="20"/>
          <w:szCs w:val="20"/>
          <w:b w:val="1"/>
          <w:bCs w:val="1"/>
          <w:color w:val="FF0000"/>
          <w:strike w:val="1"/>
        </w:rPr>
        <w:t>the</w:t>
      </w:r>
      <w:r>
        <w:rPr>
          <w:rFonts w:ascii="Arial" w:cs="Arial" w:eastAsia="Arial" w:hAnsi="Arial"/>
          <w:sz w:val="20"/>
          <w:szCs w:val="20"/>
          <w:b w:val="1"/>
          <w:bCs w:val="1"/>
          <w:u w:val="single" w:color="auto"/>
          <w:color w:val="0000FF"/>
        </w:rPr>
        <w:t>such</w:t>
      </w:r>
      <w:r>
        <w:rPr>
          <w:rFonts w:ascii="Arial" w:cs="Arial" w:eastAsia="Arial" w:hAnsi="Arial"/>
          <w:sz w:val="20"/>
          <w:szCs w:val="20"/>
          <w:color w:val="000000"/>
        </w:rPr>
        <w:t xml:space="preserve"> Benchmark with the applicable Unadjusted Benchmark Replacement by the Relevant Governmental Body or (</w:t>
      </w:r>
      <w:r>
        <w:rPr>
          <w:rFonts w:ascii="Arial" w:cs="Arial" w:eastAsia="Arial" w:hAnsi="Arial"/>
          <w:sz w:val="20"/>
          <w:szCs w:val="20"/>
          <w:b w:val="1"/>
          <w:bCs w:val="1"/>
          <w:color w:val="FF0000"/>
          <w:strike w:val="1"/>
        </w:rPr>
        <w:t>ii</w:t>
      </w:r>
      <w:r>
        <w:rPr>
          <w:rFonts w:ascii="Arial" w:cs="Arial" w:eastAsia="Arial" w:hAnsi="Arial"/>
          <w:sz w:val="20"/>
          <w:szCs w:val="20"/>
          <w:b w:val="1"/>
          <w:bCs w:val="1"/>
          <w:u w:val="single" w:color="auto"/>
          <w:color w:val="0000FF"/>
        </w:rPr>
        <w:t>b</w:t>
      </w:r>
      <w:r>
        <w:rPr>
          <w:rFonts w:ascii="Arial" w:cs="Arial" w:eastAsia="Arial" w:hAnsi="Arial"/>
          <w:sz w:val="20"/>
          <w:szCs w:val="20"/>
          <w:color w:val="000000"/>
        </w:rPr>
        <w:t>) any evolving or then-prevailing market convention for determining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-805815</wp:posOffset>
            </wp:positionV>
            <wp:extent cx="50990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3">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9" w:lineRule="exact"/>
        <w:rPr>
          <w:sz w:val="20"/>
          <w:szCs w:val="20"/>
          <w:color w:val="auto"/>
        </w:rPr>
      </w:pPr>
    </w:p>
    <w:p>
      <w:pPr>
        <w:ind w:right="60"/>
        <w:spacing w:after="0" w:line="322" w:lineRule="auto"/>
        <w:rPr>
          <w:sz w:val="20"/>
          <w:szCs w:val="20"/>
          <w:color w:val="auto"/>
        </w:rPr>
      </w:pPr>
      <w:r>
        <w:rPr>
          <w:rFonts w:ascii="Arial" w:cs="Arial" w:eastAsia="Arial" w:hAnsi="Arial"/>
          <w:sz w:val="18"/>
          <w:szCs w:val="18"/>
          <w:color w:val="auto"/>
        </w:rPr>
        <w:t xml:space="preserve">a spread adjustment, or method for calculating or determining such spread adjustment, for the replacement of </w:t>
      </w:r>
      <w:r>
        <w:rPr>
          <w:rFonts w:ascii="Arial" w:cs="Arial" w:eastAsia="Arial" w:hAnsi="Arial"/>
          <w:sz w:val="18"/>
          <w:szCs w:val="18"/>
          <w:b w:val="1"/>
          <w:bCs w:val="1"/>
          <w:color w:val="FF0000"/>
          <w:strike w:val="1"/>
        </w:rPr>
        <w:t>the</w:t>
      </w:r>
      <w:r>
        <w:rPr>
          <w:rFonts w:ascii="Arial" w:cs="Arial" w:eastAsia="Arial" w:hAnsi="Arial"/>
          <w:sz w:val="18"/>
          <w:szCs w:val="18"/>
          <w:b w:val="1"/>
          <w:bCs w:val="1"/>
          <w:u w:val="single" w:color="auto"/>
          <w:color w:val="0000FF"/>
        </w:rPr>
        <w:t>such</w:t>
      </w:r>
      <w:r>
        <w:rPr>
          <w:rFonts w:ascii="Arial" w:cs="Arial" w:eastAsia="Arial" w:hAnsi="Arial"/>
          <w:sz w:val="18"/>
          <w:szCs w:val="18"/>
          <w:color w:val="auto"/>
        </w:rPr>
        <w:t xml:space="preserve"> Benchmark with the applicable Unadjusted Benchmark Replacement for U.S. dollar-denominated syndicated credit facilities at such time.</w:t>
      </w:r>
    </w:p>
    <w:p>
      <w:pPr>
        <w:spacing w:after="0" w:line="146" w:lineRule="exact"/>
        <w:rPr>
          <w:sz w:val="20"/>
          <w:szCs w:val="20"/>
          <w:color w:val="auto"/>
        </w:rPr>
      </w:pPr>
    </w:p>
    <w:p>
      <w:pPr>
        <w:jc w:val="both"/>
        <w:ind w:right="20" w:firstLine="1499"/>
        <w:spacing w:after="0" w:line="27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Benchmark Replacement Conforming Changes</w:t>
      </w:r>
      <w:r>
        <w:rPr>
          <w:rFonts w:ascii="Arial" w:cs="Arial" w:eastAsia="Arial" w:hAnsi="Arial"/>
          <w:sz w:val="18"/>
          <w:szCs w:val="18"/>
          <w:b w:val="1"/>
          <w:bCs w:val="1"/>
          <w:color w:val="FF0000"/>
          <w:strike w:val="1"/>
        </w:rPr>
        <w:t>” means, with respect to any Benchmark Replacement, any technical, administrative or operational changes (including changes to the definition of “Alternate Base Rate,”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in consultation with the Borrower, is reasonably necessary in connection with the administration of this Agreement).</w:t>
      </w:r>
    </w:p>
    <w:p>
      <w:pPr>
        <w:spacing w:after="0" w:line="181" w:lineRule="exact"/>
        <w:rPr>
          <w:sz w:val="20"/>
          <w:szCs w:val="20"/>
          <w:color w:val="auto"/>
        </w:rPr>
      </w:pPr>
    </w:p>
    <w:p>
      <w:pPr>
        <w:ind w:right="80" w:firstLine="1499"/>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xml:space="preserve">” means the </w:t>
      </w:r>
      <w:r>
        <w:rPr>
          <w:rFonts w:ascii="Arial" w:cs="Arial" w:eastAsia="Arial" w:hAnsi="Arial"/>
          <w:sz w:val="20"/>
          <w:szCs w:val="20"/>
          <w:b w:val="1"/>
          <w:bCs w:val="1"/>
          <w:color w:val="FF0000"/>
          <w:strike w:val="1"/>
        </w:rPr>
        <w:t>earlier</w:t>
      </w:r>
      <w:r>
        <w:rPr>
          <w:rFonts w:ascii="Arial" w:cs="Arial" w:eastAsia="Arial" w:hAnsi="Arial"/>
          <w:sz w:val="20"/>
          <w:szCs w:val="20"/>
          <w:b w:val="1"/>
          <w:bCs w:val="1"/>
          <w:u w:val="single" w:color="auto"/>
          <w:color w:val="0000FF"/>
        </w:rPr>
        <w:t>earliest</w:t>
      </w:r>
      <w:r>
        <w:rPr>
          <w:rFonts w:ascii="Arial" w:cs="Arial" w:eastAsia="Arial" w:hAnsi="Arial"/>
          <w:sz w:val="20"/>
          <w:szCs w:val="20"/>
          <w:color w:val="auto"/>
        </w:rPr>
        <w:t xml:space="preserve"> to occur of the following events with respect to the </w:t>
      </w:r>
      <w:r>
        <w:rPr>
          <w:rFonts w:ascii="Arial" w:cs="Arial" w:eastAsia="Arial" w:hAnsi="Arial"/>
          <w:sz w:val="20"/>
          <w:szCs w:val="20"/>
          <w:b w:val="1"/>
          <w:bCs w:val="1"/>
          <w:u w:val="single" w:color="auto"/>
          <w:color w:val="0000FF"/>
        </w:rPr>
        <w:t>then-current</w:t>
      </w:r>
      <w:r>
        <w:rPr>
          <w:rFonts w:ascii="Arial" w:cs="Arial" w:eastAsia="Arial" w:hAnsi="Arial"/>
          <w:sz w:val="20"/>
          <w:szCs w:val="20"/>
          <w:b w:val="1"/>
          <w:bCs w:val="1"/>
          <w:color w:val="0000FF"/>
        </w:rPr>
        <w:t xml:space="preserve"> </w:t>
      </w:r>
      <w:r>
        <w:rPr>
          <w:rFonts w:ascii="Arial" w:cs="Arial" w:eastAsia="Arial" w:hAnsi="Arial"/>
          <w:sz w:val="20"/>
          <w:szCs w:val="20"/>
          <w:color w:val="000000"/>
        </w:rPr>
        <w:t>Benchmark:</w:t>
      </w:r>
    </w:p>
    <w:p>
      <w:pPr>
        <w:spacing w:after="0" w:line="191" w:lineRule="exact"/>
        <w:rPr>
          <w:sz w:val="20"/>
          <w:szCs w:val="20"/>
          <w:color w:val="auto"/>
        </w:rPr>
      </w:pPr>
    </w:p>
    <w:p>
      <w:pPr>
        <w:jc w:val="both"/>
        <w:ind w:right="40" w:firstLine="149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FF0000"/>
          <w:strike w:val="1"/>
        </w:rPr>
        <w:t>1</w:t>
      </w:r>
      <w:r>
        <w:rPr>
          <w:rFonts w:ascii="Arial" w:cs="Arial" w:eastAsia="Arial" w:hAnsi="Arial"/>
          <w:sz w:val="20"/>
          <w:szCs w:val="20"/>
          <w:b w:val="1"/>
          <w:bCs w:val="1"/>
          <w:u w:val="single" w:color="auto"/>
          <w:color w:val="0000FF"/>
        </w:rPr>
        <w:t>a</w:t>
      </w:r>
      <w:r>
        <w:rPr>
          <w:rFonts w:ascii="Arial" w:cs="Arial" w:eastAsia="Arial" w:hAnsi="Arial"/>
          <w:sz w:val="20"/>
          <w:szCs w:val="20"/>
          <w:color w:val="auto"/>
        </w:rPr>
        <w:t>) in the case of clause (</w:t>
      </w:r>
      <w:r>
        <w:rPr>
          <w:rFonts w:ascii="Arial" w:cs="Arial" w:eastAsia="Arial" w:hAnsi="Arial"/>
          <w:sz w:val="20"/>
          <w:szCs w:val="20"/>
          <w:b w:val="1"/>
          <w:bCs w:val="1"/>
          <w:color w:val="FF0000"/>
          <w:strike w:val="1"/>
        </w:rPr>
        <w:t>1</w:t>
      </w:r>
      <w:r>
        <w:rPr>
          <w:rFonts w:ascii="Arial" w:cs="Arial" w:eastAsia="Arial" w:hAnsi="Arial"/>
          <w:sz w:val="20"/>
          <w:szCs w:val="20"/>
          <w:b w:val="1"/>
          <w:bCs w:val="1"/>
          <w:u w:val="single" w:color="auto"/>
          <w:color w:val="0000FF"/>
        </w:rPr>
        <w:t>a</w:t>
      </w:r>
      <w:r>
        <w:rPr>
          <w:rFonts w:ascii="Arial" w:cs="Arial" w:eastAsia="Arial" w:hAnsi="Arial"/>
          <w:sz w:val="20"/>
          <w:szCs w:val="20"/>
          <w:color w:val="auto"/>
        </w:rPr>
        <w:t>) or (</w:t>
      </w:r>
      <w:r>
        <w:rPr>
          <w:rFonts w:ascii="Arial" w:cs="Arial" w:eastAsia="Arial" w:hAnsi="Arial"/>
          <w:sz w:val="20"/>
          <w:szCs w:val="20"/>
          <w:b w:val="1"/>
          <w:bCs w:val="1"/>
          <w:color w:val="FF0000"/>
          <w:strike w:val="1"/>
        </w:rPr>
        <w:t>2</w:t>
      </w:r>
      <w:r>
        <w:rPr>
          <w:rFonts w:ascii="Arial" w:cs="Arial" w:eastAsia="Arial" w:hAnsi="Arial"/>
          <w:sz w:val="20"/>
          <w:szCs w:val="20"/>
          <w:b w:val="1"/>
          <w:bCs w:val="1"/>
          <w:u w:val="single" w:color="auto"/>
          <w:color w:val="0000FF"/>
        </w:rPr>
        <w:t>b</w:t>
      </w:r>
      <w:r>
        <w:rPr>
          <w:rFonts w:ascii="Arial" w:cs="Arial" w:eastAsia="Arial" w:hAnsi="Arial"/>
          <w:sz w:val="20"/>
          <w:szCs w:val="20"/>
          <w:color w:val="auto"/>
        </w:rPr>
        <w:t>) of the definition of “Benchmark Transition Event,” the later of (</w:t>
      </w:r>
      <w:r>
        <w:rPr>
          <w:rFonts w:ascii="Arial" w:cs="Arial" w:eastAsia="Arial" w:hAnsi="Arial"/>
          <w:sz w:val="20"/>
          <w:szCs w:val="20"/>
          <w:b w:val="1"/>
          <w:bCs w:val="1"/>
          <w:color w:val="FF0000"/>
          <w:strike w:val="1"/>
        </w:rPr>
        <w:t>a</w:t>
      </w:r>
      <w:r>
        <w:rPr>
          <w:rFonts w:ascii="Arial" w:cs="Arial" w:eastAsia="Arial" w:hAnsi="Arial"/>
          <w:sz w:val="20"/>
          <w:szCs w:val="20"/>
          <w:b w:val="1"/>
          <w:bCs w:val="1"/>
          <w:color w:val="0000FF"/>
        </w:rPr>
        <w:t>i</w:t>
      </w:r>
      <w:r>
        <w:rPr>
          <w:rFonts w:ascii="Arial" w:cs="Arial" w:eastAsia="Arial" w:hAnsi="Arial"/>
          <w:sz w:val="20"/>
          <w:szCs w:val="20"/>
          <w:color w:val="auto"/>
        </w:rPr>
        <w:t>) the date of the public statement or publication of information referenced therein and (</w:t>
      </w:r>
      <w:r>
        <w:rPr>
          <w:rFonts w:ascii="Arial" w:cs="Arial" w:eastAsia="Arial" w:hAnsi="Arial"/>
          <w:sz w:val="20"/>
          <w:szCs w:val="20"/>
          <w:b w:val="1"/>
          <w:bCs w:val="1"/>
          <w:color w:val="FF0000"/>
          <w:strike w:val="1"/>
        </w:rPr>
        <w:t>b</w:t>
      </w:r>
      <w:r>
        <w:rPr>
          <w:rFonts w:ascii="Arial" w:cs="Arial" w:eastAsia="Arial" w:hAnsi="Arial"/>
          <w:sz w:val="20"/>
          <w:szCs w:val="20"/>
          <w:b w:val="1"/>
          <w:bCs w:val="1"/>
          <w:u w:val="single" w:color="auto"/>
          <w:color w:val="0000FF"/>
        </w:rPr>
        <w:t>ii</w:t>
      </w:r>
      <w:r>
        <w:rPr>
          <w:rFonts w:ascii="Arial" w:cs="Arial" w:eastAsia="Arial" w:hAnsi="Arial"/>
          <w:sz w:val="20"/>
          <w:szCs w:val="20"/>
          <w:color w:val="auto"/>
        </w:rPr>
        <w:t xml:space="preserve">) the date on which the administrator of </w:t>
      </w:r>
      <w:r>
        <w:rPr>
          <w:rFonts w:ascii="Arial" w:cs="Arial" w:eastAsia="Arial" w:hAnsi="Arial"/>
          <w:sz w:val="20"/>
          <w:szCs w:val="20"/>
          <w:b w:val="1"/>
          <w:bCs w:val="1"/>
          <w:color w:val="FF0000"/>
          <w:strike w:val="1"/>
        </w:rPr>
        <w:t>the</w:t>
      </w:r>
      <w:r>
        <w:rPr>
          <w:rFonts w:ascii="Arial" w:cs="Arial" w:eastAsia="Arial" w:hAnsi="Arial"/>
          <w:sz w:val="20"/>
          <w:szCs w:val="20"/>
          <w:b w:val="1"/>
          <w:bCs w:val="1"/>
          <w:u w:val="single" w:color="auto"/>
          <w:color w:val="0000FF"/>
        </w:rPr>
        <w:t>such</w:t>
      </w:r>
      <w:r>
        <w:rPr>
          <w:rFonts w:ascii="Arial" w:cs="Arial" w:eastAsia="Arial" w:hAnsi="Arial"/>
          <w:sz w:val="20"/>
          <w:szCs w:val="20"/>
          <w:color w:val="auto"/>
        </w:rPr>
        <w:t xml:space="preserve"> Benchmark </w:t>
      </w:r>
      <w:r>
        <w:rPr>
          <w:rFonts w:ascii="Arial" w:cs="Arial" w:eastAsia="Arial" w:hAnsi="Arial"/>
          <w:sz w:val="20"/>
          <w:szCs w:val="20"/>
          <w:b w:val="1"/>
          <w:bCs w:val="1"/>
          <w:u w:val="single" w:color="auto"/>
          <w:color w:val="0000FF"/>
        </w:rPr>
        <w:t>(or the published component used in the calculation thereof)</w:t>
      </w:r>
      <w:r>
        <w:rPr>
          <w:rFonts w:ascii="Arial" w:cs="Arial" w:eastAsia="Arial" w:hAnsi="Arial"/>
          <w:sz w:val="20"/>
          <w:szCs w:val="20"/>
          <w:color w:val="auto"/>
        </w:rPr>
        <w:t xml:space="preserve"> permanently or indefinitely ceases to provide </w:t>
      </w:r>
      <w:r>
        <w:rPr>
          <w:rFonts w:ascii="Arial" w:cs="Arial" w:eastAsia="Arial" w:hAnsi="Arial"/>
          <w:sz w:val="20"/>
          <w:szCs w:val="20"/>
          <w:b w:val="1"/>
          <w:bCs w:val="1"/>
          <w:color w:val="FF0000"/>
          <w:strike w:val="1"/>
        </w:rPr>
        <w:t>the</w:t>
      </w:r>
      <w:r>
        <w:rPr>
          <w:rFonts w:ascii="Arial" w:cs="Arial" w:eastAsia="Arial" w:hAnsi="Arial"/>
          <w:sz w:val="20"/>
          <w:szCs w:val="20"/>
          <w:b w:val="1"/>
          <w:bCs w:val="1"/>
          <w:u w:val="single" w:color="auto"/>
          <w:color w:val="0000FF"/>
        </w:rPr>
        <w:t>all</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Available Tenors of such</w:t>
      </w:r>
      <w:r>
        <w:rPr>
          <w:rFonts w:ascii="Arial" w:cs="Arial" w:eastAsia="Arial" w:hAnsi="Arial"/>
          <w:sz w:val="20"/>
          <w:szCs w:val="20"/>
          <w:b w:val="1"/>
          <w:bCs w:val="1"/>
          <w:color w:val="0000FF"/>
        </w:rPr>
        <w:t xml:space="preserve"> </w:t>
      </w:r>
      <w:r>
        <w:rPr>
          <w:rFonts w:ascii="Arial" w:cs="Arial" w:eastAsia="Arial" w:hAnsi="Arial"/>
          <w:sz w:val="20"/>
          <w:szCs w:val="20"/>
          <w:color w:val="000000"/>
        </w:rPr>
        <w:t>Benchmark</w:t>
      </w:r>
      <w:r>
        <w:rPr>
          <w:rFonts w:ascii="Arial" w:cs="Arial" w:eastAsia="Arial" w:hAnsi="Arial"/>
          <w:sz w:val="20"/>
          <w:szCs w:val="20"/>
          <w:b w:val="1"/>
          <w:bCs w:val="1"/>
          <w:color w:val="0000FF"/>
        </w:rPr>
        <w:t xml:space="preserve"> (or such component thereof)</w:t>
      </w:r>
      <w:r>
        <w:rPr>
          <w:rFonts w:ascii="Arial" w:cs="Arial" w:eastAsia="Arial" w:hAnsi="Arial"/>
          <w:sz w:val="20"/>
          <w:szCs w:val="20"/>
          <w:color w:val="000000"/>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1913890</wp:posOffset>
            </wp:positionH>
            <wp:positionV relativeFrom="paragraph">
              <wp:posOffset>-31750</wp:posOffset>
            </wp:positionV>
            <wp:extent cx="15449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84">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98" w:right="499" w:bottom="1440" w:gutter="0" w:footer="0" w:header="0"/>
        </w:sectPr>
      </w:pPr>
    </w:p>
    <w:bookmarkStart w:id="155" w:name="page156"/>
    <w:bookmarkEnd w:id="155"/>
    <w:p>
      <w:pPr>
        <w:jc w:val="both"/>
        <w:ind w:right="40" w:firstLine="149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FF0000"/>
          <w:strike w:val="1"/>
        </w:rPr>
        <w:t>2</w:t>
      </w:r>
      <w:r>
        <w:rPr>
          <w:rFonts w:ascii="Arial" w:cs="Arial" w:eastAsia="Arial" w:hAnsi="Arial"/>
          <w:sz w:val="20"/>
          <w:szCs w:val="20"/>
          <w:b w:val="1"/>
          <w:bCs w:val="1"/>
          <w:u w:val="single" w:color="auto"/>
          <w:color w:val="0000FF"/>
        </w:rPr>
        <w:t>b</w:t>
      </w:r>
      <w:r>
        <w:rPr>
          <w:rFonts w:ascii="Arial" w:cs="Arial" w:eastAsia="Arial" w:hAnsi="Arial"/>
          <w:sz w:val="20"/>
          <w:szCs w:val="20"/>
          <w:color w:val="auto"/>
        </w:rPr>
        <w:t>) in the case of clause (</w:t>
      </w:r>
      <w:r>
        <w:rPr>
          <w:rFonts w:ascii="Arial" w:cs="Arial" w:eastAsia="Arial" w:hAnsi="Arial"/>
          <w:sz w:val="20"/>
          <w:szCs w:val="20"/>
          <w:b w:val="1"/>
          <w:bCs w:val="1"/>
          <w:color w:val="FF0000"/>
          <w:strike w:val="1"/>
        </w:rPr>
        <w:t>3</w:t>
      </w:r>
      <w:r>
        <w:rPr>
          <w:rFonts w:ascii="Arial" w:cs="Arial" w:eastAsia="Arial" w:hAnsi="Arial"/>
          <w:sz w:val="20"/>
          <w:szCs w:val="20"/>
          <w:b w:val="1"/>
          <w:bCs w:val="1"/>
          <w:u w:val="single" w:color="auto"/>
          <w:color w:val="0000FF"/>
        </w:rPr>
        <w:t>c</w:t>
      </w:r>
      <w:r>
        <w:rPr>
          <w:rFonts w:ascii="Arial" w:cs="Arial" w:eastAsia="Arial" w:hAnsi="Arial"/>
          <w:sz w:val="20"/>
          <w:szCs w:val="20"/>
          <w:color w:val="auto"/>
        </w:rPr>
        <w:t xml:space="preserve">) of the definition of “Benchmark Transition Event,” the </w:t>
      </w:r>
      <w:r>
        <w:rPr>
          <w:rFonts w:ascii="Arial" w:cs="Arial" w:eastAsia="Arial" w:hAnsi="Arial"/>
          <w:sz w:val="20"/>
          <w:szCs w:val="20"/>
          <w:b w:val="1"/>
          <w:bCs w:val="1"/>
          <w:u w:val="single" w:color="auto"/>
          <w:color w:val="0000FF"/>
        </w:rPr>
        <w:t>first</w:t>
      </w:r>
      <w:r>
        <w:rPr>
          <w:rFonts w:ascii="Arial" w:cs="Arial" w:eastAsia="Arial" w:hAnsi="Arial"/>
          <w:sz w:val="20"/>
          <w:szCs w:val="20"/>
          <w:color w:val="auto"/>
        </w:rPr>
        <w:t xml:space="preserve"> date </w:t>
      </w:r>
      <w:r>
        <w:rPr>
          <w:rFonts w:ascii="Arial" w:cs="Arial" w:eastAsia="Arial" w:hAnsi="Arial"/>
          <w:sz w:val="20"/>
          <w:szCs w:val="20"/>
          <w:b w:val="1"/>
          <w:bCs w:val="1"/>
          <w:color w:val="FF0000"/>
          <w:strike w:val="1"/>
        </w:rPr>
        <w:t>of the public</w:t>
      </w:r>
      <w:r>
        <w:rPr>
          <w:rFonts w:ascii="Arial" w:cs="Arial" w:eastAsia="Arial" w:hAnsi="Arial"/>
          <w:sz w:val="20"/>
          <w:szCs w:val="20"/>
          <w:b w:val="1"/>
          <w:bCs w:val="1"/>
          <w:u w:val="single" w:color="auto"/>
          <w:color w:val="0000FF"/>
        </w:rPr>
        <w:t>on</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which such Benchmark (or the published component used in the</w:t>
      </w:r>
      <w:r>
        <w:rPr>
          <w:rFonts w:ascii="Arial" w:cs="Arial" w:eastAsia="Arial" w:hAnsi="Arial"/>
          <w:sz w:val="20"/>
          <w:szCs w:val="20"/>
          <w:b w:val="1"/>
          <w:bCs w:val="1"/>
          <w:color w:val="0000FF"/>
        </w:rPr>
        <w:t xml:space="preserve"> calculation thereof) has been determined and announced by the regulatory supervisor for the administrator of such Benchmark (or such component thereof) to be non-representative; provided </w:t>
      </w:r>
      <w:r>
        <w:rPr>
          <w:rFonts w:ascii="Arial" w:cs="Arial" w:eastAsia="Arial" w:hAnsi="Arial"/>
          <w:sz w:val="20"/>
          <w:szCs w:val="20"/>
          <w:b w:val="1"/>
          <w:bCs w:val="1"/>
          <w:u w:val="single" w:color="auto"/>
          <w:color w:val="0000FF"/>
        </w:rPr>
        <w:t>that such non-representativeness will be determined by reference to the most recent</w:t>
      </w:r>
      <w:r>
        <w:rPr>
          <w:rFonts w:ascii="Arial" w:cs="Arial" w:eastAsia="Arial" w:hAnsi="Arial"/>
          <w:sz w:val="20"/>
          <w:szCs w:val="20"/>
          <w:b w:val="1"/>
          <w:bCs w:val="1"/>
          <w:color w:val="0000FF"/>
        </w:rPr>
        <w:t xml:space="preserve"> </w:t>
      </w:r>
      <w:r>
        <w:rPr>
          <w:rFonts w:ascii="Arial" w:cs="Arial" w:eastAsia="Arial" w:hAnsi="Arial"/>
          <w:sz w:val="20"/>
          <w:szCs w:val="20"/>
          <w:color w:val="000000"/>
        </w:rPr>
        <w:t>statement or publication</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of information</w:t>
      </w:r>
      <w:r>
        <w:rPr>
          <w:rFonts w:ascii="Arial" w:cs="Arial" w:eastAsia="Arial" w:hAnsi="Arial"/>
          <w:sz w:val="20"/>
          <w:szCs w:val="20"/>
          <w:b w:val="1"/>
          <w:bCs w:val="1"/>
          <w:color w:val="0000FF"/>
        </w:rPr>
        <w:t xml:space="preserve"> </w:t>
      </w:r>
      <w:r>
        <w:rPr>
          <w:rFonts w:ascii="Arial" w:cs="Arial" w:eastAsia="Arial" w:hAnsi="Arial"/>
          <w:sz w:val="20"/>
          <w:szCs w:val="20"/>
          <w:color w:val="000000"/>
        </w:rPr>
        <w:t xml:space="preserve">referenced </w:t>
      </w:r>
      <w:r>
        <w:rPr>
          <w:rFonts w:ascii="Arial" w:cs="Arial" w:eastAsia="Arial" w:hAnsi="Arial"/>
          <w:sz w:val="20"/>
          <w:szCs w:val="20"/>
          <w:b w:val="1"/>
          <w:bCs w:val="1"/>
          <w:color w:val="FF0000"/>
          <w:strike w:val="1"/>
        </w:rPr>
        <w:t>therein</w:t>
      </w:r>
      <w:r>
        <w:rPr>
          <w:rFonts w:ascii="Arial" w:cs="Arial" w:eastAsia="Arial" w:hAnsi="Arial"/>
          <w:sz w:val="20"/>
          <w:szCs w:val="20"/>
          <w:b w:val="1"/>
          <w:bCs w:val="1"/>
          <w:u w:val="single" w:color="auto"/>
          <w:color w:val="0000FF"/>
        </w:rPr>
        <w:t>in such clause (c) and even if any Available Tenor of such Benchmark (or such component thereof) continues to</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FF"/>
        </w:rPr>
        <w:t>be provided on such date</w:t>
      </w:r>
      <w:r>
        <w:rPr>
          <w:rFonts w:ascii="Arial" w:cs="Arial" w:eastAsia="Arial" w:hAnsi="Arial"/>
          <w:sz w:val="20"/>
          <w:szCs w:val="20"/>
          <w:color w:val="000000"/>
        </w:rPr>
        <w:t>.</w:t>
      </w:r>
    </w:p>
    <w:p>
      <w:pPr>
        <w:spacing w:after="0" w:line="203" w:lineRule="exact"/>
        <w:rPr>
          <w:sz w:val="20"/>
          <w:szCs w:val="20"/>
          <w:color w:val="auto"/>
        </w:rPr>
      </w:pPr>
    </w:p>
    <w:p>
      <w:pPr>
        <w:jc w:val="both"/>
        <w:ind w:right="40" w:firstLine="1499"/>
        <w:spacing w:after="0" w:line="294" w:lineRule="auto"/>
        <w:rPr>
          <w:sz w:val="20"/>
          <w:szCs w:val="20"/>
          <w:color w:val="auto"/>
        </w:rPr>
      </w:pPr>
      <w:r>
        <w:rPr>
          <w:rFonts w:ascii="Arial" w:cs="Arial" w:eastAsia="Arial" w:hAnsi="Arial"/>
          <w:sz w:val="18"/>
          <w:szCs w:val="18"/>
          <w:b w:val="1"/>
          <w:bCs w:val="1"/>
          <w:u w:val="single" w:color="auto"/>
          <w:color w:val="0000FF"/>
        </w:rPr>
        <w:t>For the avoidance of doubt, the “Benchmark Replacement Date” will be deemed to</w:t>
      </w:r>
      <w:r>
        <w:rPr>
          <w:rFonts w:ascii="Arial" w:cs="Arial" w:eastAsia="Arial" w:hAnsi="Arial"/>
          <w:sz w:val="18"/>
          <w:szCs w:val="18"/>
          <w:b w:val="1"/>
          <w:bCs w:val="1"/>
          <w:color w:val="0000FF"/>
        </w:rPr>
        <w:t xml:space="preserve"> have occurred in the case of clause (a) or (b) with respect to any Benchmark upon the occurrence of the applicable event or events set forth therein with respect to all then-current Available Tenors </w:t>
      </w:r>
      <w:r>
        <w:rPr>
          <w:rFonts w:ascii="Arial" w:cs="Arial" w:eastAsia="Arial" w:hAnsi="Arial"/>
          <w:sz w:val="18"/>
          <w:szCs w:val="18"/>
          <w:b w:val="1"/>
          <w:bCs w:val="1"/>
          <w:u w:val="single" w:color="auto"/>
          <w:color w:val="0000FF"/>
        </w:rPr>
        <w:t>of such Benchmark (or the published component used in the calculation thereof).</w:t>
      </w:r>
    </w:p>
    <w:p>
      <w:pPr>
        <w:spacing w:after="0" w:line="251" w:lineRule="exact"/>
        <w:rPr>
          <w:sz w:val="20"/>
          <w:szCs w:val="20"/>
          <w:color w:val="auto"/>
        </w:rPr>
      </w:pPr>
    </w:p>
    <w:p>
      <w:pPr>
        <w:ind w:right="80" w:firstLine="1499"/>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xml:space="preserve">” means the occurrence of one or more of the following events with respect to the </w:t>
      </w:r>
      <w:r>
        <w:rPr>
          <w:rFonts w:ascii="Arial" w:cs="Arial" w:eastAsia="Arial" w:hAnsi="Arial"/>
          <w:sz w:val="20"/>
          <w:szCs w:val="20"/>
          <w:b w:val="1"/>
          <w:bCs w:val="1"/>
          <w:u w:val="single" w:color="auto"/>
          <w:color w:val="0000FF"/>
        </w:rPr>
        <w:t>then-current</w:t>
      </w:r>
      <w:r>
        <w:rPr>
          <w:rFonts w:ascii="Arial" w:cs="Arial" w:eastAsia="Arial" w:hAnsi="Arial"/>
          <w:sz w:val="20"/>
          <w:szCs w:val="20"/>
          <w:b w:val="1"/>
          <w:bCs w:val="1"/>
          <w:color w:val="0000FF"/>
        </w:rPr>
        <w:t xml:space="preserve"> </w:t>
      </w:r>
      <w:r>
        <w:rPr>
          <w:rFonts w:ascii="Arial" w:cs="Arial" w:eastAsia="Arial" w:hAnsi="Arial"/>
          <w:sz w:val="20"/>
          <w:szCs w:val="20"/>
          <w:color w:val="000000"/>
        </w:rPr>
        <w:t>Benchmark:</w:t>
      </w:r>
    </w:p>
    <w:p>
      <w:pPr>
        <w:spacing w:after="0" w:line="178" w:lineRule="exact"/>
        <w:rPr>
          <w:sz w:val="20"/>
          <w:szCs w:val="20"/>
          <w:color w:val="auto"/>
        </w:rPr>
      </w:pPr>
    </w:p>
    <w:p>
      <w:pPr>
        <w:jc w:val="both"/>
        <w:ind w:right="60"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FF0000"/>
          <w:strike w:val="1"/>
        </w:rPr>
        <w:t>1</w:t>
      </w:r>
      <w:r>
        <w:rPr>
          <w:rFonts w:ascii="Arial" w:cs="Arial" w:eastAsia="Arial" w:hAnsi="Arial"/>
          <w:sz w:val="20"/>
          <w:szCs w:val="20"/>
          <w:b w:val="1"/>
          <w:bCs w:val="1"/>
          <w:u w:val="single" w:color="auto"/>
          <w:color w:val="0000FF"/>
        </w:rPr>
        <w:t>a</w:t>
      </w:r>
      <w:r>
        <w:rPr>
          <w:rFonts w:ascii="Arial" w:cs="Arial" w:eastAsia="Arial" w:hAnsi="Arial"/>
          <w:sz w:val="20"/>
          <w:szCs w:val="20"/>
          <w:color w:val="auto"/>
        </w:rPr>
        <w:t xml:space="preserve">) a public statement or publication of information by or on behalf of the administrator of </w:t>
      </w:r>
      <w:r>
        <w:rPr>
          <w:rFonts w:ascii="Arial" w:cs="Arial" w:eastAsia="Arial" w:hAnsi="Arial"/>
          <w:sz w:val="20"/>
          <w:szCs w:val="20"/>
          <w:b w:val="1"/>
          <w:bCs w:val="1"/>
          <w:color w:val="FF0000"/>
          <w:strike w:val="1"/>
        </w:rPr>
        <w:t>the</w:t>
      </w:r>
      <w:r>
        <w:rPr>
          <w:rFonts w:ascii="Arial" w:cs="Arial" w:eastAsia="Arial" w:hAnsi="Arial"/>
          <w:sz w:val="20"/>
          <w:szCs w:val="20"/>
          <w:b w:val="1"/>
          <w:bCs w:val="1"/>
          <w:u w:val="single" w:color="auto"/>
          <w:color w:val="0000FF"/>
        </w:rPr>
        <w:t>such</w:t>
      </w:r>
      <w:r>
        <w:rPr>
          <w:rFonts w:ascii="Arial" w:cs="Arial" w:eastAsia="Arial" w:hAnsi="Arial"/>
          <w:sz w:val="20"/>
          <w:szCs w:val="20"/>
          <w:color w:val="auto"/>
        </w:rPr>
        <w:t xml:space="preserve"> Benchmark </w:t>
      </w:r>
      <w:r>
        <w:rPr>
          <w:rFonts w:ascii="Arial" w:cs="Arial" w:eastAsia="Arial" w:hAnsi="Arial"/>
          <w:sz w:val="20"/>
          <w:szCs w:val="20"/>
          <w:b w:val="1"/>
          <w:bCs w:val="1"/>
          <w:u w:val="single" w:color="auto"/>
          <w:color w:val="0000FF"/>
        </w:rPr>
        <w:t>(or</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the published component used in the calculation thereof)</w:t>
      </w:r>
      <w:r>
        <w:rPr>
          <w:rFonts w:ascii="Arial" w:cs="Arial" w:eastAsia="Arial" w:hAnsi="Arial"/>
          <w:sz w:val="20"/>
          <w:szCs w:val="20"/>
          <w:b w:val="1"/>
          <w:bCs w:val="1"/>
          <w:color w:val="0000FF"/>
        </w:rPr>
        <w:t xml:space="preserve"> </w:t>
      </w:r>
      <w:r>
        <w:rPr>
          <w:rFonts w:ascii="Arial" w:cs="Arial" w:eastAsia="Arial" w:hAnsi="Arial"/>
          <w:sz w:val="20"/>
          <w:szCs w:val="20"/>
          <w:color w:val="000000"/>
        </w:rPr>
        <w:t>announcing that such administrator has ceased or will cease to provide</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the</w:t>
      </w:r>
      <w:r>
        <w:rPr>
          <w:rFonts w:ascii="Arial" w:cs="Arial" w:eastAsia="Arial" w:hAnsi="Arial"/>
          <w:sz w:val="20"/>
          <w:szCs w:val="20"/>
          <w:b w:val="1"/>
          <w:bCs w:val="1"/>
          <w:u w:val="single" w:color="auto"/>
          <w:color w:val="0000FF"/>
        </w:rPr>
        <w:t>all Available Tenors of such</w:t>
      </w:r>
      <w:r>
        <w:rPr>
          <w:rFonts w:ascii="Arial" w:cs="Arial" w:eastAsia="Arial" w:hAnsi="Arial"/>
          <w:sz w:val="20"/>
          <w:szCs w:val="20"/>
          <w:b w:val="1"/>
          <w:bCs w:val="1"/>
          <w:color w:val="FF0000"/>
        </w:rPr>
        <w:t xml:space="preserve"> </w:t>
      </w:r>
      <w:r>
        <w:rPr>
          <w:rFonts w:ascii="Arial" w:cs="Arial" w:eastAsia="Arial" w:hAnsi="Arial"/>
          <w:sz w:val="20"/>
          <w:szCs w:val="20"/>
          <w:color w:val="000000"/>
        </w:rPr>
        <w:t>Benchmark</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FF"/>
        </w:rPr>
        <w:t>(or such component thereof)</w:t>
      </w:r>
      <w:r>
        <w:rPr>
          <w:rFonts w:ascii="Arial" w:cs="Arial" w:eastAsia="Arial" w:hAnsi="Arial"/>
          <w:sz w:val="20"/>
          <w:szCs w:val="20"/>
          <w:color w:val="000000"/>
        </w:rPr>
        <w:t>, permanently or indefinitely</w:t>
      </w:r>
      <w:r>
        <w:rPr>
          <w:rFonts w:ascii="Arial" w:cs="Arial" w:eastAsia="Arial" w:hAnsi="Arial"/>
          <w:sz w:val="20"/>
          <w:szCs w:val="20"/>
          <w:b w:val="1"/>
          <w:bCs w:val="1"/>
          <w:color w:val="FF0000"/>
        </w:rPr>
        <w:t>,</w:t>
      </w:r>
      <w:r>
        <w:rPr>
          <w:rFonts w:ascii="Arial" w:cs="Arial" w:eastAsia="Arial" w:hAnsi="Arial"/>
          <w:sz w:val="20"/>
          <w:szCs w:val="20"/>
          <w:b w:val="1"/>
          <w:bCs w:val="1"/>
          <w:color w:val="0000FF"/>
        </w:rPr>
        <w:t>;</w:t>
      </w:r>
      <w:r>
        <w:rPr>
          <w:rFonts w:ascii="Arial" w:cs="Arial" w:eastAsia="Arial" w:hAnsi="Arial"/>
          <w:sz w:val="20"/>
          <w:szCs w:val="20"/>
          <w:b w:val="1"/>
          <w:bCs w:val="1"/>
          <w:color w:val="FF0000"/>
        </w:rPr>
        <w:t xml:space="preserve"> </w:t>
      </w:r>
      <w:r>
        <w:rPr>
          <w:rFonts w:ascii="Arial" w:cs="Arial" w:eastAsia="Arial" w:hAnsi="Arial"/>
          <w:sz w:val="20"/>
          <w:szCs w:val="20"/>
          <w:u w:val="single" w:color="auto"/>
          <w:color w:val="000000"/>
        </w:rPr>
        <w:t>provided</w:t>
      </w:r>
      <w:r>
        <w:rPr>
          <w:rFonts w:ascii="Arial" w:cs="Arial" w:eastAsia="Arial" w:hAnsi="Arial"/>
          <w:sz w:val="20"/>
          <w:szCs w:val="20"/>
          <w:b w:val="1"/>
          <w:bCs w:val="1"/>
          <w:color w:val="FF0000"/>
        </w:rPr>
        <w:t xml:space="preserve"> </w:t>
      </w:r>
      <w:r>
        <w:rPr>
          <w:rFonts w:ascii="Arial" w:cs="Arial" w:eastAsia="Arial" w:hAnsi="Arial"/>
          <w:sz w:val="20"/>
          <w:szCs w:val="20"/>
          <w:color w:val="000000"/>
        </w:rPr>
        <w:t>that, at the time of</w:t>
      </w:r>
      <w:r>
        <w:rPr>
          <w:rFonts w:ascii="Arial" w:cs="Arial" w:eastAsia="Arial" w:hAnsi="Arial"/>
          <w:sz w:val="20"/>
          <w:szCs w:val="20"/>
          <w:b w:val="1"/>
          <w:bCs w:val="1"/>
          <w:color w:val="FF0000"/>
        </w:rPr>
        <w:t xml:space="preserve"> </w:t>
      </w:r>
      <w:r>
        <w:rPr>
          <w:rFonts w:ascii="Arial" w:cs="Arial" w:eastAsia="Arial" w:hAnsi="Arial"/>
          <w:sz w:val="20"/>
          <w:szCs w:val="20"/>
          <w:color w:val="000000"/>
        </w:rPr>
        <w:t xml:space="preserve">such statement or publication, there is no successor administrator that will continue to provide </w:t>
      </w:r>
      <w:r>
        <w:rPr>
          <w:rFonts w:ascii="Arial" w:cs="Arial" w:eastAsia="Arial" w:hAnsi="Arial"/>
          <w:sz w:val="20"/>
          <w:szCs w:val="20"/>
          <w:b w:val="1"/>
          <w:bCs w:val="1"/>
          <w:color w:val="FF0000"/>
          <w:strike w:val="1"/>
        </w:rPr>
        <w:t>the</w:t>
      </w:r>
      <w:r>
        <w:rPr>
          <w:rFonts w:ascii="Arial" w:cs="Arial" w:eastAsia="Arial" w:hAnsi="Arial"/>
          <w:sz w:val="20"/>
          <w:szCs w:val="20"/>
          <w:b w:val="1"/>
          <w:bCs w:val="1"/>
          <w:u w:val="single" w:color="auto"/>
          <w:color w:val="0000FF"/>
        </w:rPr>
        <w:t>any Available Tenor of such</w:t>
      </w:r>
      <w:r>
        <w:rPr>
          <w:rFonts w:ascii="Arial" w:cs="Arial" w:eastAsia="Arial" w:hAnsi="Arial"/>
          <w:sz w:val="20"/>
          <w:szCs w:val="20"/>
          <w:color w:val="000000"/>
        </w:rPr>
        <w:t xml:space="preserve"> Benchmark </w:t>
      </w:r>
      <w:r>
        <w:rPr>
          <w:rFonts w:ascii="Arial" w:cs="Arial" w:eastAsia="Arial" w:hAnsi="Arial"/>
          <w:sz w:val="20"/>
          <w:szCs w:val="20"/>
          <w:b w:val="1"/>
          <w:bCs w:val="1"/>
          <w:color w:val="0000FF"/>
        </w:rPr>
        <w:t>(or such component thereof)</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-322580</wp:posOffset>
            </wp:positionV>
            <wp:extent cx="157924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86">
                      <a:extLst>
                        <a:ext uri="{28A0092B-C50C-407E-A947-70E740481C1C}"/>
                      </a:extLst>
                    </a:blip>
                    <a:srcRect/>
                    <a:stretch>
                      <a:fillRect/>
                    </a:stretch>
                  </pic:blipFill>
                  <pic:spPr bwMode="auto">
                    <a:xfrm>
                      <a:off x="0" y="0"/>
                      <a:ext cx="1579245" cy="8255"/>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-31115</wp:posOffset>
            </wp:positionV>
            <wp:extent cx="15449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87">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190" w:lineRule="exact"/>
        <w:rPr>
          <w:sz w:val="20"/>
          <w:szCs w:val="20"/>
          <w:color w:val="auto"/>
        </w:rPr>
      </w:pPr>
    </w:p>
    <w:p>
      <w:pPr>
        <w:jc w:val="both"/>
        <w:ind w:right="60" w:firstLine="1499"/>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FF0000"/>
          <w:strike w:val="1"/>
        </w:rPr>
        <w:t>2</w:t>
      </w:r>
      <w:r>
        <w:rPr>
          <w:rFonts w:ascii="Arial" w:cs="Arial" w:eastAsia="Arial" w:hAnsi="Arial"/>
          <w:sz w:val="20"/>
          <w:szCs w:val="20"/>
          <w:b w:val="1"/>
          <w:bCs w:val="1"/>
          <w:u w:val="single" w:color="auto"/>
          <w:color w:val="0000FF"/>
        </w:rPr>
        <w:t>b</w:t>
      </w:r>
      <w:r>
        <w:rPr>
          <w:rFonts w:ascii="Arial" w:cs="Arial" w:eastAsia="Arial" w:hAnsi="Arial"/>
          <w:sz w:val="20"/>
          <w:szCs w:val="20"/>
          <w:color w:val="auto"/>
        </w:rPr>
        <w:t xml:space="preserve">) a public statement or publication of information by the regulatory supervisor for the administrator of </w:t>
      </w:r>
      <w:r>
        <w:rPr>
          <w:rFonts w:ascii="Arial" w:cs="Arial" w:eastAsia="Arial" w:hAnsi="Arial"/>
          <w:sz w:val="20"/>
          <w:szCs w:val="20"/>
          <w:b w:val="1"/>
          <w:bCs w:val="1"/>
          <w:color w:val="FF0000"/>
          <w:strike w:val="1"/>
        </w:rPr>
        <w:t>the</w:t>
      </w:r>
      <w:r>
        <w:rPr>
          <w:rFonts w:ascii="Arial" w:cs="Arial" w:eastAsia="Arial" w:hAnsi="Arial"/>
          <w:sz w:val="20"/>
          <w:szCs w:val="20"/>
          <w:b w:val="1"/>
          <w:bCs w:val="1"/>
          <w:u w:val="single" w:color="auto"/>
          <w:color w:val="0000FF"/>
        </w:rPr>
        <w:t>such</w:t>
      </w:r>
      <w:r>
        <w:rPr>
          <w:rFonts w:ascii="Arial" w:cs="Arial" w:eastAsia="Arial" w:hAnsi="Arial"/>
          <w:sz w:val="20"/>
          <w:szCs w:val="20"/>
          <w:color w:val="auto"/>
        </w:rPr>
        <w:t xml:space="preserve"> Benchmark</w:t>
      </w:r>
      <w:r>
        <w:rPr>
          <w:rFonts w:ascii="Arial" w:cs="Arial" w:eastAsia="Arial" w:hAnsi="Arial"/>
          <w:sz w:val="20"/>
          <w:szCs w:val="20"/>
          <w:b w:val="1"/>
          <w:bCs w:val="1"/>
          <w:color w:val="FF0000"/>
          <w:strike w:val="1"/>
        </w:rPr>
        <w:t>, the U.S.</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(or the published component used in the</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u w:val="single" w:color="auto"/>
          <w:color w:val="0000FF"/>
        </w:rPr>
        <w:t>calculation thereof), the</w:t>
      </w:r>
      <w:r>
        <w:rPr>
          <w:rFonts w:ascii="Arial" w:cs="Arial" w:eastAsia="Arial" w:hAnsi="Arial"/>
          <w:sz w:val="19"/>
          <w:szCs w:val="19"/>
          <w:b w:val="1"/>
          <w:bCs w:val="1"/>
          <w:color w:val="0000FF"/>
        </w:rPr>
        <w:t xml:space="preserve"> </w:t>
      </w:r>
      <w:r>
        <w:rPr>
          <w:rFonts w:ascii="Arial" w:cs="Arial" w:eastAsia="Arial" w:hAnsi="Arial"/>
          <w:sz w:val="19"/>
          <w:szCs w:val="19"/>
          <w:color w:val="000000"/>
        </w:rPr>
        <w:t>Federal Reserve</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System</w:t>
      </w:r>
      <w:r>
        <w:rPr>
          <w:rFonts w:ascii="Arial" w:cs="Arial" w:eastAsia="Arial" w:hAnsi="Arial"/>
          <w:sz w:val="19"/>
          <w:szCs w:val="19"/>
          <w:b w:val="1"/>
          <w:bCs w:val="1"/>
          <w:u w:val="single" w:color="auto"/>
          <w:color w:val="0000FF"/>
        </w:rPr>
        <w:t>Board, the Federal Reserve Bank of New York</w:t>
      </w:r>
      <w:r>
        <w:rPr>
          <w:rFonts w:ascii="Arial" w:cs="Arial" w:eastAsia="Arial" w:hAnsi="Arial"/>
          <w:sz w:val="19"/>
          <w:szCs w:val="19"/>
          <w:color w:val="000000"/>
        </w:rPr>
        <w:t>, an insolvency official with</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jurisdiction over the administrator for </w:t>
      </w:r>
      <w:r>
        <w:rPr>
          <w:rFonts w:ascii="Arial" w:cs="Arial" w:eastAsia="Arial" w:hAnsi="Arial"/>
          <w:sz w:val="19"/>
          <w:szCs w:val="19"/>
          <w:b w:val="1"/>
          <w:bCs w:val="1"/>
          <w:color w:val="FF0000"/>
          <w:strike w:val="1"/>
        </w:rPr>
        <w:t>the</w:t>
      </w:r>
      <w:r>
        <w:rPr>
          <w:rFonts w:ascii="Arial" w:cs="Arial" w:eastAsia="Arial" w:hAnsi="Arial"/>
          <w:sz w:val="19"/>
          <w:szCs w:val="19"/>
          <w:b w:val="1"/>
          <w:bCs w:val="1"/>
          <w:u w:val="single" w:color="auto"/>
          <w:color w:val="0000FF"/>
        </w:rPr>
        <w:t>such</w:t>
      </w:r>
      <w:r>
        <w:rPr>
          <w:rFonts w:ascii="Arial" w:cs="Arial" w:eastAsia="Arial" w:hAnsi="Arial"/>
          <w:sz w:val="19"/>
          <w:szCs w:val="19"/>
          <w:color w:val="000000"/>
        </w:rPr>
        <w:t xml:space="preserve"> Benchmark </w:t>
      </w:r>
      <w:r>
        <w:rPr>
          <w:rFonts w:ascii="Arial" w:cs="Arial" w:eastAsia="Arial" w:hAnsi="Arial"/>
          <w:sz w:val="19"/>
          <w:szCs w:val="19"/>
          <w:b w:val="1"/>
          <w:bCs w:val="1"/>
          <w:color w:val="0000FF"/>
        </w:rPr>
        <w:t>(or such</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component)</w:t>
      </w:r>
      <w:r>
        <w:rPr>
          <w:rFonts w:ascii="Arial" w:cs="Arial" w:eastAsia="Arial" w:hAnsi="Arial"/>
          <w:sz w:val="19"/>
          <w:szCs w:val="19"/>
          <w:color w:val="000000"/>
        </w:rPr>
        <w:t xml:space="preserve">, a resolution authority with jurisdiction over the administrator for </w:t>
      </w:r>
      <w:r>
        <w:rPr>
          <w:rFonts w:ascii="Arial" w:cs="Arial" w:eastAsia="Arial" w:hAnsi="Arial"/>
          <w:sz w:val="19"/>
          <w:szCs w:val="19"/>
          <w:b w:val="1"/>
          <w:bCs w:val="1"/>
          <w:color w:val="FF0000"/>
          <w:strike w:val="1"/>
        </w:rPr>
        <w:t>the</w:t>
      </w:r>
      <w:r>
        <w:rPr>
          <w:rFonts w:ascii="Arial" w:cs="Arial" w:eastAsia="Arial" w:hAnsi="Arial"/>
          <w:sz w:val="19"/>
          <w:szCs w:val="19"/>
          <w:b w:val="1"/>
          <w:bCs w:val="1"/>
          <w:u w:val="single" w:color="auto"/>
          <w:color w:val="0000FF"/>
        </w:rPr>
        <w:t>such</w:t>
      </w:r>
      <w:r>
        <w:rPr>
          <w:rFonts w:ascii="Arial" w:cs="Arial" w:eastAsia="Arial" w:hAnsi="Arial"/>
          <w:sz w:val="19"/>
          <w:szCs w:val="19"/>
          <w:color w:val="000000"/>
        </w:rPr>
        <w:t xml:space="preserve"> Benchmark </w:t>
      </w:r>
      <w:r>
        <w:rPr>
          <w:rFonts w:ascii="Arial" w:cs="Arial" w:eastAsia="Arial" w:hAnsi="Arial"/>
          <w:sz w:val="19"/>
          <w:szCs w:val="19"/>
          <w:b w:val="1"/>
          <w:bCs w:val="1"/>
          <w:u w:val="single" w:color="auto"/>
          <w:color w:val="0000FF"/>
        </w:rPr>
        <w:t>(or such component)</w:t>
      </w:r>
      <w:r>
        <w:rPr>
          <w:rFonts w:ascii="Arial" w:cs="Arial" w:eastAsia="Arial" w:hAnsi="Arial"/>
          <w:sz w:val="19"/>
          <w:szCs w:val="19"/>
          <w:color w:val="000000"/>
        </w:rPr>
        <w:t xml:space="preserve"> or a court or an entity with similar insolvency or resolution authority over the administrator for </w:t>
      </w:r>
      <w:r>
        <w:rPr>
          <w:rFonts w:ascii="Arial" w:cs="Arial" w:eastAsia="Arial" w:hAnsi="Arial"/>
          <w:sz w:val="19"/>
          <w:szCs w:val="19"/>
          <w:b w:val="1"/>
          <w:bCs w:val="1"/>
          <w:color w:val="FF0000"/>
          <w:strike w:val="1"/>
        </w:rPr>
        <w:t>the</w:t>
      </w:r>
      <w:r>
        <w:rPr>
          <w:rFonts w:ascii="Arial" w:cs="Arial" w:eastAsia="Arial" w:hAnsi="Arial"/>
          <w:sz w:val="19"/>
          <w:szCs w:val="19"/>
          <w:b w:val="1"/>
          <w:bCs w:val="1"/>
          <w:u w:val="single" w:color="auto"/>
          <w:color w:val="0000FF"/>
        </w:rPr>
        <w:t>such</w:t>
      </w:r>
      <w:r>
        <w:rPr>
          <w:rFonts w:ascii="Arial" w:cs="Arial" w:eastAsia="Arial" w:hAnsi="Arial"/>
          <w:sz w:val="19"/>
          <w:szCs w:val="19"/>
          <w:color w:val="000000"/>
        </w:rPr>
        <w:t xml:space="preserve"> Benchmark </w:t>
      </w:r>
      <w:r>
        <w:rPr>
          <w:rFonts w:ascii="Arial" w:cs="Arial" w:eastAsia="Arial" w:hAnsi="Arial"/>
          <w:sz w:val="19"/>
          <w:szCs w:val="19"/>
          <w:b w:val="1"/>
          <w:bCs w:val="1"/>
          <w:color w:val="0000FF"/>
        </w:rPr>
        <w:t>(or such component)</w:t>
      </w:r>
      <w:r>
        <w:rPr>
          <w:rFonts w:ascii="Arial" w:cs="Arial" w:eastAsia="Arial" w:hAnsi="Arial"/>
          <w:sz w:val="19"/>
          <w:szCs w:val="19"/>
          <w:color w:val="000000"/>
        </w:rPr>
        <w:t xml:space="preserve">, which states that the administrator of </w:t>
      </w:r>
      <w:r>
        <w:rPr>
          <w:rFonts w:ascii="Arial" w:cs="Arial" w:eastAsia="Arial" w:hAnsi="Arial"/>
          <w:sz w:val="19"/>
          <w:szCs w:val="19"/>
          <w:b w:val="1"/>
          <w:bCs w:val="1"/>
          <w:color w:val="FF0000"/>
          <w:strike w:val="1"/>
        </w:rPr>
        <w:t>the</w:t>
      </w:r>
      <w:r>
        <w:rPr>
          <w:rFonts w:ascii="Arial" w:cs="Arial" w:eastAsia="Arial" w:hAnsi="Arial"/>
          <w:sz w:val="19"/>
          <w:szCs w:val="19"/>
          <w:b w:val="1"/>
          <w:bCs w:val="1"/>
          <w:u w:val="single" w:color="auto"/>
          <w:color w:val="0000FF"/>
        </w:rPr>
        <w:t>such</w:t>
      </w:r>
      <w:r>
        <w:rPr>
          <w:rFonts w:ascii="Arial" w:cs="Arial" w:eastAsia="Arial" w:hAnsi="Arial"/>
          <w:sz w:val="19"/>
          <w:szCs w:val="19"/>
          <w:color w:val="000000"/>
        </w:rPr>
        <w:t xml:space="preserve"> Benchmark </w:t>
      </w:r>
      <w:r>
        <w:rPr>
          <w:rFonts w:ascii="Arial" w:cs="Arial" w:eastAsia="Arial" w:hAnsi="Arial"/>
          <w:sz w:val="19"/>
          <w:szCs w:val="19"/>
          <w:b w:val="1"/>
          <w:bCs w:val="1"/>
          <w:u w:val="single" w:color="auto"/>
          <w:color w:val="0000FF"/>
        </w:rPr>
        <w:t>(or such</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component)</w:t>
      </w:r>
      <w:r>
        <w:rPr>
          <w:rFonts w:ascii="Arial" w:cs="Arial" w:eastAsia="Arial" w:hAnsi="Arial"/>
          <w:sz w:val="19"/>
          <w:szCs w:val="19"/>
          <w:b w:val="1"/>
          <w:bCs w:val="1"/>
          <w:color w:val="0000FF"/>
        </w:rPr>
        <w:t xml:space="preserve"> </w:t>
      </w:r>
      <w:r>
        <w:rPr>
          <w:rFonts w:ascii="Arial" w:cs="Arial" w:eastAsia="Arial" w:hAnsi="Arial"/>
          <w:sz w:val="19"/>
          <w:szCs w:val="19"/>
          <w:color w:val="000000"/>
        </w:rPr>
        <w:t>has ceased or will cease to provide</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the</w:t>
      </w:r>
      <w:r>
        <w:rPr>
          <w:rFonts w:ascii="Arial" w:cs="Arial" w:eastAsia="Arial" w:hAnsi="Arial"/>
          <w:sz w:val="19"/>
          <w:szCs w:val="19"/>
          <w:b w:val="1"/>
          <w:bCs w:val="1"/>
          <w:u w:val="single" w:color="auto"/>
          <w:color w:val="0000FF"/>
        </w:rPr>
        <w:t>all Available Tenors of such</w:t>
      </w:r>
      <w:r>
        <w:rPr>
          <w:rFonts w:ascii="Arial" w:cs="Arial" w:eastAsia="Arial" w:hAnsi="Arial"/>
          <w:sz w:val="19"/>
          <w:szCs w:val="19"/>
          <w:b w:val="1"/>
          <w:bCs w:val="1"/>
          <w:color w:val="0000FF"/>
        </w:rPr>
        <w:t xml:space="preserve"> </w:t>
      </w:r>
      <w:r>
        <w:rPr>
          <w:rFonts w:ascii="Arial" w:cs="Arial" w:eastAsia="Arial" w:hAnsi="Arial"/>
          <w:sz w:val="19"/>
          <w:szCs w:val="19"/>
          <w:color w:val="000000"/>
        </w:rPr>
        <w:t>Benchmark</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(or such component thereof)</w:t>
      </w:r>
      <w:r>
        <w:rPr>
          <w:rFonts w:ascii="Arial" w:cs="Arial" w:eastAsia="Arial" w:hAnsi="Arial"/>
          <w:sz w:val="19"/>
          <w:szCs w:val="19"/>
          <w:b w:val="1"/>
          <w:bCs w:val="1"/>
          <w:color w:val="0000FF"/>
        </w:rPr>
        <w:t xml:space="preserve"> </w:t>
      </w:r>
      <w:r>
        <w:rPr>
          <w:rFonts w:ascii="Arial" w:cs="Arial" w:eastAsia="Arial" w:hAnsi="Arial"/>
          <w:sz w:val="19"/>
          <w:szCs w:val="19"/>
          <w:color w:val="000000"/>
        </w:rPr>
        <w:t>permanently</w:t>
      </w:r>
      <w:r>
        <w:rPr>
          <w:rFonts w:ascii="Arial" w:cs="Arial" w:eastAsia="Arial" w:hAnsi="Arial"/>
          <w:sz w:val="19"/>
          <w:szCs w:val="19"/>
          <w:b w:val="1"/>
          <w:bCs w:val="1"/>
          <w:color w:val="0000FF"/>
        </w:rPr>
        <w:t xml:space="preserve"> </w:t>
      </w:r>
      <w:r>
        <w:rPr>
          <w:rFonts w:ascii="Arial" w:cs="Arial" w:eastAsia="Arial" w:hAnsi="Arial"/>
          <w:sz w:val="19"/>
          <w:szCs w:val="19"/>
          <w:color w:val="000000"/>
        </w:rPr>
        <w:t>or indefinitely</w:t>
      </w:r>
      <w:r>
        <w:rPr>
          <w:rFonts w:ascii="Arial" w:cs="Arial" w:eastAsia="Arial" w:hAnsi="Arial"/>
          <w:sz w:val="19"/>
          <w:szCs w:val="19"/>
          <w:b w:val="1"/>
          <w:bCs w:val="1"/>
          <w:color w:val="FF0000"/>
        </w:rPr>
        <w:t>,</w:t>
      </w:r>
      <w:r>
        <w:rPr>
          <w:rFonts w:ascii="Arial" w:cs="Arial" w:eastAsia="Arial" w:hAnsi="Arial"/>
          <w:sz w:val="19"/>
          <w:szCs w:val="19"/>
          <w:b w:val="1"/>
          <w:bCs w:val="1"/>
          <w:color w:val="0000FF"/>
        </w:rPr>
        <w: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at the time of such statement or publication, there is no successor administrator that will continue to provide </w:t>
      </w:r>
      <w:r>
        <w:rPr>
          <w:rFonts w:ascii="Arial" w:cs="Arial" w:eastAsia="Arial" w:hAnsi="Arial"/>
          <w:sz w:val="19"/>
          <w:szCs w:val="19"/>
          <w:b w:val="1"/>
          <w:bCs w:val="1"/>
          <w:color w:val="FF0000"/>
          <w:strike w:val="1"/>
        </w:rPr>
        <w:t>the</w:t>
      </w:r>
      <w:r>
        <w:rPr>
          <w:rFonts w:ascii="Arial" w:cs="Arial" w:eastAsia="Arial" w:hAnsi="Arial"/>
          <w:sz w:val="19"/>
          <w:szCs w:val="19"/>
          <w:b w:val="1"/>
          <w:bCs w:val="1"/>
          <w:u w:val="single" w:color="auto"/>
          <w:color w:val="0000FF"/>
        </w:rPr>
        <w:t>any Available Tenor of such</w:t>
      </w:r>
      <w:r>
        <w:rPr>
          <w:rFonts w:ascii="Arial" w:cs="Arial" w:eastAsia="Arial" w:hAnsi="Arial"/>
          <w:sz w:val="19"/>
          <w:szCs w:val="19"/>
          <w:color w:val="000000"/>
        </w:rPr>
        <w:t xml:space="preserve"> Benchmark </w:t>
      </w:r>
      <w:r>
        <w:rPr>
          <w:rFonts w:ascii="Arial" w:cs="Arial" w:eastAsia="Arial" w:hAnsi="Arial"/>
          <w:sz w:val="19"/>
          <w:szCs w:val="19"/>
          <w:b w:val="1"/>
          <w:bCs w:val="1"/>
          <w:color w:val="0000FF"/>
        </w:rPr>
        <w:t>(or such component thereof)</w:t>
      </w:r>
      <w:r>
        <w:rPr>
          <w:rFonts w:ascii="Arial" w:cs="Arial" w:eastAsia="Arial" w:hAnsi="Arial"/>
          <w:sz w:val="19"/>
          <w:szCs w:val="19"/>
          <w:color w:val="000000"/>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-763270</wp:posOffset>
            </wp:positionV>
            <wp:extent cx="518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8">
                      <a:extLst>
                        <a:ext uri="{28A0092B-C50C-407E-A947-70E740481C1C}"/>
                      </a:extLst>
                    </a:blip>
                    <a:srcRect/>
                    <a:stretch>
                      <a:fillRect/>
                    </a:stretch>
                  </pic:blipFill>
                  <pic:spPr bwMode="auto">
                    <a:xfrm>
                      <a:off x="0" y="0"/>
                      <a:ext cx="518160" cy="8255"/>
                    </a:xfrm>
                    <a:prstGeom prst="rect">
                      <a:avLst/>
                    </a:prstGeom>
                    <a:noFill/>
                  </pic:spPr>
                </pic:pic>
              </a:graphicData>
            </a:graphic>
          </wp:anchor>
        </w:drawing>
        <w:drawing>
          <wp:anchor simplePos="0" relativeHeight="251657728" behindDoc="1" locked="0" layoutInCell="0" allowOverlap="1">
            <wp:simplePos x="0" y="0"/>
            <wp:positionH relativeFrom="column">
              <wp:posOffset>2132330</wp:posOffset>
            </wp:positionH>
            <wp:positionV relativeFrom="paragraph">
              <wp:posOffset>-472440</wp:posOffset>
            </wp:positionV>
            <wp:extent cx="117538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89">
                      <a:extLst>
                        <a:ext uri="{28A0092B-C50C-407E-A947-70E740481C1C}"/>
                      </a:extLst>
                    </a:blip>
                    <a:srcRect/>
                    <a:stretch>
                      <a:fillRect/>
                    </a:stretch>
                  </pic:blipFill>
                  <pic:spPr bwMode="auto">
                    <a:xfrm>
                      <a:off x="0" y="0"/>
                      <a:ext cx="117538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2673350</wp:posOffset>
            </wp:positionH>
            <wp:positionV relativeFrom="paragraph">
              <wp:posOffset>-35560</wp:posOffset>
            </wp:positionV>
            <wp:extent cx="15449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90">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170" w:lineRule="exact"/>
        <w:rPr>
          <w:sz w:val="20"/>
          <w:szCs w:val="20"/>
          <w:color w:val="auto"/>
        </w:rPr>
      </w:pPr>
    </w:p>
    <w:p>
      <w:pPr>
        <w:jc w:val="both"/>
        <w:ind w:right="60" w:firstLine="149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FF0000"/>
          <w:strike w:val="1"/>
        </w:rPr>
        <w:t>3</w:t>
      </w:r>
      <w:r>
        <w:rPr>
          <w:rFonts w:ascii="Arial" w:cs="Arial" w:eastAsia="Arial" w:hAnsi="Arial"/>
          <w:sz w:val="20"/>
          <w:szCs w:val="20"/>
          <w:b w:val="1"/>
          <w:bCs w:val="1"/>
          <w:u w:val="single" w:color="auto"/>
          <w:color w:val="0000FF"/>
        </w:rPr>
        <w:t>c</w:t>
      </w:r>
      <w:r>
        <w:rPr>
          <w:rFonts w:ascii="Arial" w:cs="Arial" w:eastAsia="Arial" w:hAnsi="Arial"/>
          <w:sz w:val="20"/>
          <w:szCs w:val="20"/>
          <w:color w:val="auto"/>
        </w:rPr>
        <w:t xml:space="preserve">) a public statement or publication of information by the regulatory supervisor for the administrator of </w:t>
      </w:r>
      <w:r>
        <w:rPr>
          <w:rFonts w:ascii="Arial" w:cs="Arial" w:eastAsia="Arial" w:hAnsi="Arial"/>
          <w:sz w:val="20"/>
          <w:szCs w:val="20"/>
          <w:b w:val="1"/>
          <w:bCs w:val="1"/>
          <w:color w:val="FF0000"/>
          <w:strike w:val="1"/>
        </w:rPr>
        <w:t>the</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Benchmark announcing that the Benchmark is no longer</w:t>
      </w:r>
      <w:r>
        <w:rPr>
          <w:rFonts w:ascii="Arial" w:cs="Arial" w:eastAsia="Arial" w:hAnsi="Arial"/>
          <w:sz w:val="20"/>
          <w:szCs w:val="20"/>
          <w:b w:val="1"/>
          <w:bCs w:val="1"/>
          <w:u w:val="single" w:color="auto"/>
          <w:color w:val="0000FF"/>
          <w:strike w:val="1"/>
        </w:rPr>
        <w:t>such Benchmark (or the published component used in the calculation</w:t>
      </w:r>
      <w:r>
        <w:rPr>
          <w:rFonts w:ascii="Arial" w:cs="Arial" w:eastAsia="Arial" w:hAnsi="Arial"/>
          <w:sz w:val="20"/>
          <w:szCs w:val="20"/>
          <w:b w:val="1"/>
          <w:bCs w:val="1"/>
          <w:color w:val="FF0000"/>
          <w:strike w:val="1"/>
        </w:rPr>
        <w:t xml:space="preserve"> </w:t>
      </w:r>
      <w:r>
        <w:rPr>
          <w:rFonts w:ascii="Arial" w:cs="Arial" w:eastAsia="Arial" w:hAnsi="Arial"/>
          <w:sz w:val="20"/>
          <w:szCs w:val="20"/>
          <w:b w:val="1"/>
          <w:bCs w:val="1"/>
          <w:u w:val="single" w:color="auto"/>
          <w:color w:val="0000FF"/>
          <w:strike w:val="1"/>
        </w:rPr>
        <w:t>thereof) announcing that all Available Tenors of such Benchmark (or such component thereof) are not, or as of a specified future date will not be,</w:t>
      </w:r>
      <w:r>
        <w:rPr>
          <w:rFonts w:ascii="Arial" w:cs="Arial" w:eastAsia="Arial" w:hAnsi="Arial"/>
          <w:sz w:val="20"/>
          <w:szCs w:val="20"/>
          <w:b w:val="1"/>
          <w:bCs w:val="1"/>
          <w:color w:val="0000FF"/>
          <w:strike w:val="1"/>
        </w:rPr>
        <w:t xml:space="preserve"> </w:t>
      </w:r>
      <w:r>
        <w:rPr>
          <w:rFonts w:ascii="Arial" w:cs="Arial" w:eastAsia="Arial" w:hAnsi="Arial"/>
          <w:sz w:val="20"/>
          <w:szCs w:val="20"/>
          <w:color w:val="000000"/>
          <w:strike w:val="1"/>
        </w:rPr>
        <w:t>representative.</w:t>
      </w:r>
    </w:p>
    <w:p>
      <w:pPr>
        <w:spacing w:after="0" w:line="209" w:lineRule="exact"/>
        <w:rPr>
          <w:sz w:val="20"/>
          <w:szCs w:val="20"/>
          <w:color w:val="auto"/>
        </w:rPr>
      </w:pPr>
    </w:p>
    <w:p>
      <w:pPr>
        <w:jc w:val="both"/>
        <w:ind w:right="40" w:firstLine="1499"/>
        <w:spacing w:after="0" w:line="258" w:lineRule="auto"/>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Benchmark Transition Start Date</w:t>
      </w:r>
      <w:r>
        <w:rPr>
          <w:rFonts w:ascii="Arial" w:cs="Arial" w:eastAsia="Arial" w:hAnsi="Arial"/>
          <w:sz w:val="19"/>
          <w:szCs w:val="19"/>
          <w:b w:val="1"/>
          <w:bCs w:val="1"/>
          <w:color w:val="FF0000"/>
          <w:strike w:val="1"/>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16" w:right="499" w:bottom="1440" w:gutter="0" w:footer="0" w:header="0"/>
        </w:sectPr>
      </w:pPr>
    </w:p>
    <w:bookmarkStart w:id="156" w:name="page157"/>
    <w:bookmarkEnd w:id="156"/>
    <w:p>
      <w:pPr>
        <w:jc w:val="both"/>
        <w:ind w:right="120" w:firstLine="1499"/>
        <w:spacing w:after="0" w:line="272" w:lineRule="auto"/>
        <w:rPr>
          <w:sz w:val="20"/>
          <w:szCs w:val="20"/>
          <w:color w:val="auto"/>
        </w:rPr>
      </w:pPr>
      <w:r>
        <w:rPr>
          <w:rFonts w:ascii="Arial" w:cs="Arial" w:eastAsia="Arial" w:hAnsi="Arial"/>
          <w:sz w:val="19"/>
          <w:szCs w:val="19"/>
          <w:b w:val="1"/>
          <w:bCs w:val="1"/>
          <w:u w:val="single" w:color="auto"/>
          <w:color w:val="0000FF"/>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jc w:val="both"/>
        <w:ind w:right="160" w:firstLine="149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xml:space="preserve">” means, </w:t>
      </w:r>
      <w:r>
        <w:rPr>
          <w:rFonts w:ascii="Arial" w:cs="Arial" w:eastAsia="Arial" w:hAnsi="Arial"/>
          <w:sz w:val="20"/>
          <w:szCs w:val="20"/>
          <w:b w:val="1"/>
          <w:bCs w:val="1"/>
          <w:color w:val="FF0000"/>
          <w:strike w:val="1"/>
        </w:rPr>
        <w:t>if a Benchmark Transition Event and its related Benchmark</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 xml:space="preserve">Replacement Date have occurred with respect to the Benchmark and solely to the extent that the Benchmark has not been replaced with a Benchmark Replacement, </w:t>
      </w:r>
      <w:r>
        <w:rPr>
          <w:rFonts w:ascii="Arial" w:cs="Arial" w:eastAsia="Arial" w:hAnsi="Arial"/>
          <w:sz w:val="20"/>
          <w:szCs w:val="20"/>
          <w:color w:val="000000"/>
          <w:strike w:val="1"/>
        </w:rPr>
        <w:t>the period (</w:t>
      </w:r>
      <w:r>
        <w:rPr>
          <w:rFonts w:ascii="Arial" w:cs="Arial" w:eastAsia="Arial" w:hAnsi="Arial"/>
          <w:sz w:val="20"/>
          <w:szCs w:val="20"/>
          <w:b w:val="1"/>
          <w:bCs w:val="1"/>
          <w:color w:val="FF0000"/>
          <w:strike w:val="1"/>
        </w:rPr>
        <w:t>x</w:t>
      </w:r>
      <w:r>
        <w:rPr>
          <w:rFonts w:ascii="Arial" w:cs="Arial" w:eastAsia="Arial" w:hAnsi="Arial"/>
          <w:sz w:val="20"/>
          <w:szCs w:val="20"/>
          <w:b w:val="1"/>
          <w:bCs w:val="1"/>
          <w:u w:val="single" w:color="auto"/>
          <w:color w:val="0000FF"/>
          <w:strike w:val="1"/>
        </w:rPr>
        <w:t>if any) (a</w:t>
      </w:r>
      <w:r>
        <w:rPr>
          <w:rFonts w:ascii="Arial" w:cs="Arial" w:eastAsia="Arial" w:hAnsi="Arial"/>
          <w:sz w:val="20"/>
          <w:szCs w:val="20"/>
          <w:color w:val="000000"/>
          <w:strike w:val="1"/>
        </w:rPr>
        <w:t>) beginning at the time that</w:t>
      </w:r>
      <w:r>
        <w:rPr>
          <w:rFonts w:ascii="Arial" w:cs="Arial" w:eastAsia="Arial" w:hAnsi="Arial"/>
          <w:sz w:val="20"/>
          <w:szCs w:val="20"/>
          <w:b w:val="1"/>
          <w:bCs w:val="1"/>
          <w:color w:val="FF0000"/>
          <w:strike w:val="1"/>
        </w:rPr>
        <w:t xml:space="preserve"> such</w:t>
      </w:r>
      <w:r>
        <w:rPr>
          <w:rFonts w:ascii="Arial" w:cs="Arial" w:eastAsia="Arial" w:hAnsi="Arial"/>
          <w:sz w:val="20"/>
          <w:szCs w:val="20"/>
          <w:b w:val="1"/>
          <w:bCs w:val="1"/>
          <w:u w:val="single" w:color="auto"/>
          <w:color w:val="0000FF"/>
          <w:strike w:val="1"/>
        </w:rPr>
        <w:t>a</w:t>
      </w:r>
      <w:r>
        <w:rPr>
          <w:rFonts w:ascii="Arial" w:cs="Arial" w:eastAsia="Arial" w:hAnsi="Arial"/>
          <w:sz w:val="20"/>
          <w:szCs w:val="20"/>
          <w:b w:val="1"/>
          <w:bCs w:val="1"/>
          <w:color w:val="FF0000"/>
          <w:strike w:val="1"/>
        </w:rPr>
        <w:t xml:space="preserve"> </w:t>
      </w:r>
      <w:r>
        <w:rPr>
          <w:rFonts w:ascii="Arial" w:cs="Arial" w:eastAsia="Arial" w:hAnsi="Arial"/>
          <w:sz w:val="20"/>
          <w:szCs w:val="20"/>
          <w:color w:val="000000"/>
          <w:strike w:val="1"/>
        </w:rPr>
        <w:t>Benchmark Replacement Date has</w:t>
      </w:r>
      <w:r>
        <w:rPr>
          <w:rFonts w:ascii="Arial" w:cs="Arial" w:eastAsia="Arial" w:hAnsi="Arial"/>
          <w:sz w:val="20"/>
          <w:szCs w:val="20"/>
          <w:b w:val="1"/>
          <w:bCs w:val="1"/>
          <w:color w:val="FF0000"/>
          <w:strike w:val="1"/>
        </w:rPr>
        <w:t xml:space="preserve"> </w:t>
      </w:r>
      <w:r>
        <w:rPr>
          <w:rFonts w:ascii="Arial" w:cs="Arial" w:eastAsia="Arial" w:hAnsi="Arial"/>
          <w:sz w:val="20"/>
          <w:szCs w:val="20"/>
          <w:color w:val="000000"/>
          <w:strike w:val="1"/>
        </w:rPr>
        <w:t xml:space="preserve">occurred if, at such time, no Benchmark Replacement has replaced the </w:t>
      </w:r>
      <w:r>
        <w:rPr>
          <w:rFonts w:ascii="Arial" w:cs="Arial" w:eastAsia="Arial" w:hAnsi="Arial"/>
          <w:sz w:val="20"/>
          <w:szCs w:val="20"/>
          <w:b w:val="1"/>
          <w:bCs w:val="1"/>
          <w:u w:val="single" w:color="auto"/>
          <w:color w:val="0000FF"/>
          <w:strike w:val="1"/>
        </w:rPr>
        <w:t>then-current</w:t>
      </w:r>
      <w:r>
        <w:rPr>
          <w:rFonts w:ascii="Arial" w:cs="Arial" w:eastAsia="Arial" w:hAnsi="Arial"/>
          <w:sz w:val="20"/>
          <w:szCs w:val="20"/>
          <w:color w:val="000000"/>
          <w:strike w:val="1"/>
        </w:rPr>
        <w:t xml:space="preserve"> Benchmark for all purposes hereunder </w:t>
      </w:r>
      <w:r>
        <w:rPr>
          <w:rFonts w:ascii="Arial" w:cs="Arial" w:eastAsia="Arial" w:hAnsi="Arial"/>
          <w:sz w:val="20"/>
          <w:szCs w:val="20"/>
          <w:b w:val="1"/>
          <w:bCs w:val="1"/>
          <w:u w:val="single" w:color="auto"/>
          <w:color w:val="0000FF"/>
          <w:strike w:val="1"/>
        </w:rPr>
        <w:t>and under</w:t>
      </w:r>
      <w:r>
        <w:rPr>
          <w:rFonts w:ascii="Arial" w:cs="Arial" w:eastAsia="Arial" w:hAnsi="Arial"/>
          <w:sz w:val="20"/>
          <w:szCs w:val="20"/>
          <w:color w:val="000000"/>
          <w:strike w:val="1"/>
        </w:rPr>
        <w:t xml:space="preserve"> </w:t>
      </w:r>
      <w:r>
        <w:rPr>
          <w:rFonts w:ascii="Arial" w:cs="Arial" w:eastAsia="Arial" w:hAnsi="Arial"/>
          <w:sz w:val="20"/>
          <w:szCs w:val="20"/>
          <w:b w:val="1"/>
          <w:bCs w:val="1"/>
          <w:u w:val="single" w:color="auto"/>
          <w:color w:val="0000FF"/>
          <w:strike w:val="1"/>
        </w:rPr>
        <w:t>any Loan Document</w:t>
      </w:r>
      <w:r>
        <w:rPr>
          <w:rFonts w:ascii="Arial" w:cs="Arial" w:eastAsia="Arial" w:hAnsi="Arial"/>
          <w:sz w:val="20"/>
          <w:szCs w:val="20"/>
          <w:b w:val="1"/>
          <w:bCs w:val="1"/>
          <w:color w:val="0000FF"/>
          <w:strike w:val="1"/>
        </w:rPr>
        <w:t xml:space="preserve"> </w:t>
      </w:r>
      <w:r>
        <w:rPr>
          <w:rFonts w:ascii="Arial" w:cs="Arial" w:eastAsia="Arial" w:hAnsi="Arial"/>
          <w:sz w:val="20"/>
          <w:szCs w:val="20"/>
          <w:color w:val="000000"/>
          <w:strike w:val="1"/>
        </w:rPr>
        <w:t>in accordance with</w:t>
      </w:r>
      <w:r>
        <w:rPr>
          <w:rFonts w:ascii="Arial" w:cs="Arial" w:eastAsia="Arial" w:hAnsi="Arial"/>
          <w:sz w:val="20"/>
          <w:szCs w:val="20"/>
          <w:b w:val="1"/>
          <w:bCs w:val="1"/>
          <w:color w:val="0000FF"/>
          <w:strike w:val="1"/>
        </w:rPr>
        <w:t xml:space="preserve"> </w:t>
      </w:r>
      <w:r>
        <w:rPr>
          <w:rFonts w:ascii="Arial" w:cs="Arial" w:eastAsia="Arial" w:hAnsi="Arial"/>
          <w:sz w:val="20"/>
          <w:szCs w:val="20"/>
          <w:u w:val="single" w:color="auto"/>
          <w:color w:val="000000"/>
          <w:strike w:val="1"/>
        </w:rPr>
        <w:t>Section</w:t>
      </w:r>
      <w:r>
        <w:rPr>
          <w:rFonts w:ascii="Arial" w:cs="Arial" w:eastAsia="Arial" w:hAnsi="Arial"/>
          <w:sz w:val="20"/>
          <w:szCs w:val="20"/>
          <w:b w:val="1"/>
          <w:bCs w:val="1"/>
          <w:color w:val="0000FF"/>
          <w:strike w:val="1"/>
        </w:rPr>
        <w:t xml:space="preserve"> </w:t>
      </w:r>
      <w:r>
        <w:rPr>
          <w:rFonts w:ascii="Arial" w:cs="Arial" w:eastAsia="Arial" w:hAnsi="Arial"/>
          <w:sz w:val="20"/>
          <w:szCs w:val="20"/>
          <w:b w:val="1"/>
          <w:bCs w:val="1"/>
          <w:color w:val="FF0000"/>
          <w:strike w:val="1"/>
        </w:rPr>
        <w:t>1.10</w:t>
      </w:r>
      <w:r>
        <w:rPr>
          <w:rFonts w:ascii="Arial" w:cs="Arial" w:eastAsia="Arial" w:hAnsi="Arial"/>
          <w:sz w:val="20"/>
          <w:szCs w:val="20"/>
          <w:b w:val="1"/>
          <w:bCs w:val="1"/>
          <w:u w:val="single" w:color="auto"/>
          <w:color w:val="0000FF"/>
          <w:strike w:val="1"/>
        </w:rPr>
        <w:t>2.25</w:t>
      </w:r>
      <w:r>
        <w:rPr>
          <w:rFonts w:ascii="Arial" w:cs="Arial" w:eastAsia="Arial" w:hAnsi="Arial"/>
          <w:sz w:val="20"/>
          <w:szCs w:val="20"/>
          <w:b w:val="1"/>
          <w:bCs w:val="1"/>
          <w:color w:val="0000FF"/>
          <w:strike w:val="1"/>
        </w:rPr>
        <w:t xml:space="preserve"> </w:t>
      </w:r>
      <w:r>
        <w:rPr>
          <w:rFonts w:ascii="Arial" w:cs="Arial" w:eastAsia="Arial" w:hAnsi="Arial"/>
          <w:sz w:val="20"/>
          <w:szCs w:val="20"/>
          <w:color w:val="000000"/>
          <w:strike w:val="1"/>
        </w:rPr>
        <w:t>and (</w:t>
      </w:r>
      <w:r>
        <w:rPr>
          <w:rFonts w:ascii="Arial" w:cs="Arial" w:eastAsia="Arial" w:hAnsi="Arial"/>
          <w:sz w:val="20"/>
          <w:szCs w:val="20"/>
          <w:b w:val="1"/>
          <w:bCs w:val="1"/>
          <w:color w:val="FF0000"/>
          <w:strike w:val="1"/>
        </w:rPr>
        <w:t>y</w:t>
      </w:r>
      <w:r>
        <w:rPr>
          <w:rFonts w:ascii="Arial" w:cs="Arial" w:eastAsia="Arial" w:hAnsi="Arial"/>
          <w:sz w:val="20"/>
          <w:szCs w:val="20"/>
          <w:b w:val="1"/>
          <w:bCs w:val="1"/>
          <w:u w:val="single" w:color="auto"/>
          <w:color w:val="0000FF"/>
          <w:strike w:val="1"/>
        </w:rPr>
        <w:t>b</w:t>
      </w:r>
      <w:r>
        <w:rPr>
          <w:rFonts w:ascii="Arial" w:cs="Arial" w:eastAsia="Arial" w:hAnsi="Arial"/>
          <w:sz w:val="20"/>
          <w:szCs w:val="20"/>
          <w:color w:val="000000"/>
          <w:strike w:val="1"/>
        </w:rPr>
        <w:t>) ending at the time that a Benchmark Replacement has replaced the</w:t>
      </w:r>
      <w:r>
        <w:rPr>
          <w:rFonts w:ascii="Arial" w:cs="Arial" w:eastAsia="Arial" w:hAnsi="Arial"/>
          <w:sz w:val="20"/>
          <w:szCs w:val="20"/>
          <w:b w:val="1"/>
          <w:bCs w:val="1"/>
          <w:color w:val="0000FF"/>
          <w:strike w:val="1"/>
        </w:rPr>
        <w:t xml:space="preserve"> </w:t>
      </w:r>
      <w:r>
        <w:rPr>
          <w:rFonts w:ascii="Arial" w:cs="Arial" w:eastAsia="Arial" w:hAnsi="Arial"/>
          <w:sz w:val="20"/>
          <w:szCs w:val="20"/>
          <w:b w:val="1"/>
          <w:bCs w:val="1"/>
          <w:u w:val="single" w:color="auto"/>
          <w:color w:val="0000FF"/>
          <w:strike w:val="1"/>
        </w:rPr>
        <w:t>then-current</w:t>
      </w:r>
      <w:r>
        <w:rPr>
          <w:rFonts w:ascii="Arial" w:cs="Arial" w:eastAsia="Arial" w:hAnsi="Arial"/>
          <w:sz w:val="20"/>
          <w:szCs w:val="20"/>
          <w:b w:val="1"/>
          <w:bCs w:val="1"/>
          <w:color w:val="0000FF"/>
          <w:strike w:val="1"/>
        </w:rPr>
        <w:t xml:space="preserve"> </w:t>
      </w:r>
      <w:r>
        <w:rPr>
          <w:rFonts w:ascii="Arial" w:cs="Arial" w:eastAsia="Arial" w:hAnsi="Arial"/>
          <w:sz w:val="20"/>
          <w:szCs w:val="20"/>
          <w:color w:val="000000"/>
          <w:strike w:val="1"/>
        </w:rPr>
        <w:t>Benchmark for all purposes hereunder</w:t>
      </w:r>
      <w:r>
        <w:rPr>
          <w:rFonts w:ascii="Arial" w:cs="Arial" w:eastAsia="Arial" w:hAnsi="Arial"/>
          <w:sz w:val="20"/>
          <w:szCs w:val="20"/>
          <w:b w:val="1"/>
          <w:bCs w:val="1"/>
          <w:color w:val="0000FF"/>
          <w:strike w:val="1"/>
        </w:rPr>
        <w:t xml:space="preserve"> </w:t>
      </w:r>
      <w:r>
        <w:rPr>
          <w:rFonts w:ascii="Arial" w:cs="Arial" w:eastAsia="Arial" w:hAnsi="Arial"/>
          <w:sz w:val="20"/>
          <w:szCs w:val="20"/>
          <w:b w:val="1"/>
          <w:bCs w:val="1"/>
          <w:color w:val="FF0000"/>
          <w:strike w:val="1"/>
        </w:rPr>
        <w:t>pursuant to</w:t>
      </w:r>
      <w:r>
        <w:rPr>
          <w:rFonts w:ascii="Arial" w:cs="Arial" w:eastAsia="Arial" w:hAnsi="Arial"/>
          <w:sz w:val="20"/>
          <w:szCs w:val="20"/>
          <w:b w:val="1"/>
          <w:bCs w:val="1"/>
          <w:u w:val="single" w:color="auto"/>
          <w:color w:val="0000FF"/>
          <w:strike w:val="1"/>
        </w:rPr>
        <w:t>and under any Loan Document in accordance with</w:t>
      </w:r>
      <w:r>
        <w:rPr>
          <w:rFonts w:ascii="Arial" w:cs="Arial" w:eastAsia="Arial" w:hAnsi="Arial"/>
          <w:sz w:val="20"/>
          <w:szCs w:val="20"/>
          <w:b w:val="1"/>
          <w:bCs w:val="1"/>
          <w:color w:val="0000FF"/>
          <w:strike w:val="1"/>
        </w:rPr>
        <w:t xml:space="preserve"> </w:t>
      </w:r>
      <w:r>
        <w:rPr>
          <w:rFonts w:ascii="Arial" w:cs="Arial" w:eastAsia="Arial" w:hAnsi="Arial"/>
          <w:sz w:val="20"/>
          <w:szCs w:val="20"/>
          <w:u w:val="single" w:color="auto"/>
          <w:color w:val="000000"/>
          <w:strike w:val="1"/>
        </w:rPr>
        <w:t>Section</w:t>
      </w:r>
      <w:r>
        <w:rPr>
          <w:rFonts w:ascii="Arial" w:cs="Arial" w:eastAsia="Arial" w:hAnsi="Arial"/>
          <w:sz w:val="20"/>
          <w:szCs w:val="20"/>
          <w:b w:val="1"/>
          <w:bCs w:val="1"/>
          <w:color w:val="0000FF"/>
          <w:strike w:val="1"/>
        </w:rPr>
        <w:t xml:space="preserve"> </w:t>
      </w:r>
      <w:r>
        <w:rPr>
          <w:rFonts w:ascii="Arial" w:cs="Arial" w:eastAsia="Arial" w:hAnsi="Arial"/>
          <w:sz w:val="20"/>
          <w:szCs w:val="20"/>
          <w:b w:val="1"/>
          <w:bCs w:val="1"/>
          <w:color w:val="FF0000"/>
          <w:strike w:val="1"/>
        </w:rPr>
        <w:t>1.10</w:t>
      </w:r>
      <w:r>
        <w:rPr>
          <w:rFonts w:ascii="Arial" w:cs="Arial" w:eastAsia="Arial" w:hAnsi="Arial"/>
          <w:sz w:val="20"/>
          <w:szCs w:val="20"/>
          <w:b w:val="1"/>
          <w:bCs w:val="1"/>
          <w:u w:val="single" w:color="auto"/>
          <w:color w:val="0000FF"/>
          <w:strike w:val="1"/>
        </w:rPr>
        <w:t>2.25</w:t>
      </w:r>
      <w:r>
        <w:rPr>
          <w:rFonts w:ascii="Arial" w:cs="Arial" w:eastAsia="Arial" w:hAnsi="Arial"/>
          <w:sz w:val="20"/>
          <w:szCs w:val="20"/>
          <w:color w:val="000000"/>
          <w:strike w:val="1"/>
        </w:rPr>
        <w:t>.</w:t>
      </w:r>
    </w:p>
    <w:p>
      <w:pPr>
        <w:spacing w:after="0" w:line="210" w:lineRule="exact"/>
        <w:rPr>
          <w:sz w:val="20"/>
          <w:szCs w:val="20"/>
          <w:color w:val="auto"/>
        </w:rPr>
      </w:pPr>
    </w:p>
    <w:p>
      <w:pPr>
        <w:ind w:right="340" w:firstLine="1499"/>
        <w:spacing w:after="0" w:line="246" w:lineRule="auto"/>
        <w:rPr>
          <w:sz w:val="20"/>
          <w:szCs w:val="20"/>
          <w:color w:val="auto"/>
        </w:rPr>
      </w:pPr>
      <w:r>
        <w:rPr>
          <w:rFonts w:ascii="Arial" w:cs="Arial" w:eastAsia="Arial" w:hAnsi="Arial"/>
          <w:sz w:val="20"/>
          <w:szCs w:val="20"/>
          <w:color w:val="010101"/>
        </w:rPr>
        <w:t>“</w:t>
      </w:r>
      <w:r>
        <w:rPr>
          <w:rFonts w:ascii="Arial" w:cs="Arial" w:eastAsia="Arial" w:hAnsi="Arial"/>
          <w:sz w:val="20"/>
          <w:szCs w:val="20"/>
          <w:u w:val="single" w:color="auto"/>
          <w:color w:val="010101"/>
        </w:rPr>
        <w:t>Benefit Plan</w:t>
      </w:r>
      <w:r>
        <w:rPr>
          <w:rFonts w:ascii="Arial" w:cs="Arial" w:eastAsia="Arial" w:hAnsi="Arial"/>
          <w:sz w:val="20"/>
          <w:szCs w:val="20"/>
          <w:color w:val="010101"/>
        </w:rPr>
        <w:t>” means any of (a) an “employee benefit plan” (as defined in Section 3(3) of ERISA) that is subject to Title I of ERISA, (b) a “plan” as defined in and subject to Section 4975 of the Code, and (c) any Person whose assets include (for purposes of the ERISA Section 3(42) or otherwise for purposes of Title I of ERISA or Section 4975 of the Code) the assets of any such “employee benefit plan” or “plan”.</w:t>
      </w:r>
    </w:p>
    <w:p>
      <w:pPr>
        <w:spacing w:after="0" w:line="197" w:lineRule="exact"/>
        <w:rPr>
          <w:sz w:val="20"/>
          <w:szCs w:val="20"/>
          <w:color w:val="auto"/>
        </w:rPr>
      </w:pPr>
    </w:p>
    <w:p>
      <w:pPr>
        <w:ind w:firstLine="1499"/>
        <w:spacing w:after="0" w:line="266" w:lineRule="auto"/>
        <w:rPr>
          <w:sz w:val="20"/>
          <w:szCs w:val="20"/>
          <w:color w:val="auto"/>
        </w:rPr>
      </w:pPr>
      <w:r>
        <w:rPr>
          <w:rFonts w:ascii="Arial" w:cs="Arial" w:eastAsia="Arial" w:hAnsi="Arial"/>
          <w:sz w:val="20"/>
          <w:szCs w:val="20"/>
          <w:b w:val="1"/>
          <w:bCs w:val="1"/>
          <w:u w:val="single" w:color="auto"/>
          <w:color w:val="0000FF"/>
        </w:rPr>
        <w:t>“BHC Act Affiliate” of a party means an “affiliate” (as such term is defined under, and interpreted in accordance with, 12 U.S.C. 1841(k)) of such party.</w:t>
      </w:r>
    </w:p>
    <w:p>
      <w:pPr>
        <w:spacing w:after="0" w:line="278" w:lineRule="exact"/>
        <w:rPr>
          <w:sz w:val="20"/>
          <w:szCs w:val="20"/>
          <w:color w:val="auto"/>
        </w:rPr>
      </w:pPr>
    </w:p>
    <w:p>
      <w:pPr>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means, with respect to any Person, (a) in the case of any corporation, the board of directors of such Person or any committee thereof duly authorized to act on</w:t>
      </w:r>
    </w:p>
    <w:p>
      <w:pPr>
        <w:spacing w:after="0" w:line="14" w:lineRule="exact"/>
        <w:rPr>
          <w:sz w:val="20"/>
          <w:szCs w:val="20"/>
          <w:color w:val="auto"/>
        </w:rPr>
      </w:pPr>
    </w:p>
    <w:p>
      <w:pPr>
        <w:jc w:val="both"/>
        <w:ind w:right="180"/>
        <w:spacing w:after="0" w:line="263" w:lineRule="auto"/>
        <w:rPr>
          <w:sz w:val="20"/>
          <w:szCs w:val="20"/>
          <w:color w:val="auto"/>
        </w:rPr>
      </w:pPr>
      <w:r>
        <w:rPr>
          <w:rFonts w:ascii="Arial" w:cs="Arial" w:eastAsia="Arial" w:hAnsi="Arial"/>
          <w:sz w:val="19"/>
          <w:szCs w:val="19"/>
          <w:color w:val="auto"/>
        </w:rPr>
        <w:t>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251" w:lineRule="exact"/>
        <w:rPr>
          <w:sz w:val="20"/>
          <w:szCs w:val="20"/>
          <w:color w:val="auto"/>
        </w:rPr>
      </w:pPr>
    </w:p>
    <w:p>
      <w:pPr>
        <w:ind w:right="24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Gogo. The term “Borrower” shall also include any Successor Borrower created pursuant to Section 6.03(a)(iv).</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has the meaning assigned to such term in Section 5.01.</w:t>
      </w:r>
    </w:p>
    <w:p>
      <w:pPr>
        <w:spacing w:after="0" w:line="309" w:lineRule="exact"/>
        <w:rPr>
          <w:sz w:val="20"/>
          <w:szCs w:val="20"/>
          <w:color w:val="auto"/>
        </w:rPr>
      </w:pPr>
    </w:p>
    <w:p>
      <w:pPr>
        <w:ind w:right="9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Offer of Specified Discount Prepayment</w:t>
      </w:r>
      <w:r>
        <w:rPr>
          <w:rFonts w:ascii="Arial" w:cs="Arial" w:eastAsia="Arial" w:hAnsi="Arial"/>
          <w:sz w:val="20"/>
          <w:szCs w:val="20"/>
          <w:color w:val="auto"/>
        </w:rPr>
        <w:t>” means the offer by the Borrower to make a voluntary prepayment of Term Loans at a Specified Discount to par pursuant to Section 2.11(a)(ii)(B).</w:t>
      </w:r>
    </w:p>
    <w:p>
      <w:pPr>
        <w:spacing w:after="0" w:line="203" w:lineRule="exact"/>
        <w:rPr>
          <w:sz w:val="20"/>
          <w:szCs w:val="20"/>
          <w:color w:val="auto"/>
        </w:rPr>
      </w:pPr>
    </w:p>
    <w:p>
      <w:pPr>
        <w:jc w:val="both"/>
        <w:ind w:right="16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Solicitation of Discount Range Prepayment Offers</w:t>
      </w:r>
      <w:r>
        <w:rPr>
          <w:rFonts w:ascii="Arial" w:cs="Arial" w:eastAsia="Arial" w:hAnsi="Arial"/>
          <w:sz w:val="20"/>
          <w:szCs w:val="20"/>
          <w:color w:val="auto"/>
        </w:rPr>
        <w:t>” means the solicitation by the Borrower of offers for, and the corresponding acceptance by a Term Lender of, a voluntary prepayment of Term Loans at a specified range at a discount to par pursuant to Section 2.11(a)(ii)(C).</w:t>
      </w:r>
    </w:p>
    <w:p>
      <w:pPr>
        <w:spacing w:after="0" w:line="215" w:lineRule="exact"/>
        <w:rPr>
          <w:sz w:val="20"/>
          <w:szCs w:val="20"/>
          <w:color w:val="auto"/>
        </w:rPr>
      </w:pPr>
    </w:p>
    <w:p>
      <w:pPr>
        <w:jc w:val="both"/>
        <w:ind w:right="1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Solicitation of Discounted Prepayment Offers</w:t>
      </w:r>
      <w:r>
        <w:rPr>
          <w:rFonts w:ascii="Arial" w:cs="Arial" w:eastAsia="Arial" w:hAnsi="Arial"/>
          <w:sz w:val="20"/>
          <w:szCs w:val="20"/>
          <w:color w:val="auto"/>
        </w:rPr>
        <w:t>” means the solicitation by the Borrower of offers for, and the subsequent acceptance, if any, by a Term Lender of, a voluntary prepayment</w:t>
      </w:r>
    </w:p>
    <w:p>
      <w:pPr>
        <w:spacing w:after="0" w:line="17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00" w:top="441" w:right="379" w:bottom="1440" w:gutter="0" w:footer="0" w:header="0"/>
        </w:sectPr>
      </w:pPr>
    </w:p>
    <w:bookmarkStart w:id="157" w:name="page158"/>
    <w:bookmarkEnd w:id="157"/>
    <w:p>
      <w:pPr>
        <w:spacing w:after="0"/>
        <w:rPr>
          <w:sz w:val="20"/>
          <w:szCs w:val="20"/>
          <w:color w:val="auto"/>
        </w:rPr>
      </w:pPr>
      <w:r>
        <w:rPr>
          <w:rFonts w:ascii="Arial" w:cs="Arial" w:eastAsia="Arial" w:hAnsi="Arial"/>
          <w:sz w:val="20"/>
          <w:szCs w:val="20"/>
          <w:color w:val="auto"/>
        </w:rPr>
        <w:t>of Term Loans at a discount to par pursuant to Section 2.11(a)(ii)(D).</w:t>
      </w:r>
    </w:p>
    <w:p>
      <w:pPr>
        <w:spacing w:after="0" w:line="243" w:lineRule="exact"/>
        <w:rPr>
          <w:sz w:val="20"/>
          <w:szCs w:val="20"/>
          <w:color w:val="auto"/>
        </w:rPr>
      </w:pPr>
    </w:p>
    <w:p>
      <w:pPr>
        <w:ind w:right="6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Loans of the same Class, Type and currency, made, converted or continued on the same date and, in the case of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Loans, as to which a single Interest Period is in effect.</w:t>
      </w:r>
    </w:p>
    <w:p>
      <w:pPr>
        <w:spacing w:after="0" w:line="189" w:lineRule="exact"/>
        <w:rPr>
          <w:sz w:val="20"/>
          <w:szCs w:val="20"/>
          <w:color w:val="auto"/>
        </w:rPr>
      </w:pPr>
    </w:p>
    <w:p>
      <w:pPr>
        <w:jc w:val="both"/>
        <w:ind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Minimum</w:t>
      </w:r>
      <w:r>
        <w:rPr>
          <w:rFonts w:ascii="Arial" w:cs="Arial" w:eastAsia="Arial" w:hAnsi="Arial"/>
          <w:sz w:val="20"/>
          <w:szCs w:val="20"/>
          <w:color w:val="auto"/>
        </w:rPr>
        <w:t xml:space="preserve">” means (i) in the case of a Borrowing denominated in Dollars or any Alternative Currency of Term Loans, $5,000,000, (ii) in the case of a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Revolving Borrowing, the lesser of $500,000 and the remaining Commitments of the applicable Class and (iii) in the case of an ABR Revolving Borrowing, the lesser of $250,000 and the remaining Commitments of the applicable Class.</w:t>
      </w:r>
    </w:p>
    <w:p>
      <w:pPr>
        <w:spacing w:after="0" w:line="217" w:lineRule="exact"/>
        <w:rPr>
          <w:sz w:val="20"/>
          <w:szCs w:val="20"/>
          <w:color w:val="auto"/>
        </w:rPr>
      </w:pPr>
    </w:p>
    <w:p>
      <w:pPr>
        <w:jc w:val="both"/>
        <w:ind w:right="6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Multiple</w:t>
      </w:r>
      <w:r>
        <w:rPr>
          <w:rFonts w:ascii="Arial" w:cs="Arial" w:eastAsia="Arial" w:hAnsi="Arial"/>
          <w:sz w:val="20"/>
          <w:szCs w:val="20"/>
          <w:color w:val="auto"/>
        </w:rPr>
        <w:t xml:space="preserve">” means in the case of a Borrowing denominated in Dollars or any Alternative Currency (i) in the case of Term Loans, $1,000,000, (ii) in the case of a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Revolving Borrowing, $500,000 and (iii) in the case of an ABR Revolving Borrowing, $250,000.</w:t>
      </w:r>
    </w:p>
    <w:p>
      <w:pPr>
        <w:spacing w:after="0" w:line="201" w:lineRule="exact"/>
        <w:rPr>
          <w:sz w:val="20"/>
          <w:szCs w:val="20"/>
          <w:color w:val="auto"/>
        </w:rPr>
      </w:pPr>
    </w:p>
    <w:p>
      <w:pPr>
        <w:jc w:val="both"/>
        <w:ind w:right="4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means (i) a request by the Borrower for a Borrowing in accordance with Section 2.03 and (ii) with respect to Letters of Credit, a Letter of Credit Request.</w:t>
      </w:r>
    </w:p>
    <w:p>
      <w:pPr>
        <w:spacing w:after="0" w:line="203" w:lineRule="exact"/>
        <w:rPr>
          <w:sz w:val="20"/>
          <w:szCs w:val="20"/>
          <w:color w:val="auto"/>
        </w:rPr>
      </w:pPr>
    </w:p>
    <w:p>
      <w:pPr>
        <w:jc w:val="both"/>
        <w:ind w:right="40" w:firstLine="149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(i) subject to clause (ii) below, any day that is not a Saturday, Sunday or other day on which commercial banks in New York City are authorized or required by Requirements of Law to remain closed, and (ii) with respect to all notices and determinations in connection with, and payments of principal and interest on or with respect to, Loans denominated in any other Alternative Currency, any day that is a Business Day described in clause (i) and that is also a day which is not a legal holiday or a day on which banking institutions are authorized or required by Requirements of Law or other government action to remain closed in the country of issuance of the applicable currency.</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Dollars</w:t>
      </w:r>
      <w:r>
        <w:rPr>
          <w:rFonts w:ascii="Arial" w:cs="Arial" w:eastAsia="Arial" w:hAnsi="Arial"/>
          <w:sz w:val="20"/>
          <w:szCs w:val="20"/>
          <w:color w:val="auto"/>
        </w:rPr>
        <w:t>” or “</w:t>
      </w:r>
      <w:r>
        <w:rPr>
          <w:rFonts w:ascii="Arial" w:cs="Arial" w:eastAsia="Arial" w:hAnsi="Arial"/>
          <w:sz w:val="20"/>
          <w:szCs w:val="20"/>
          <w:u w:val="single" w:color="auto"/>
          <w:color w:val="auto"/>
        </w:rPr>
        <w:t>CAD$</w:t>
      </w:r>
      <w:r>
        <w:rPr>
          <w:rFonts w:ascii="Arial" w:cs="Arial" w:eastAsia="Arial" w:hAnsi="Arial"/>
          <w:sz w:val="20"/>
          <w:szCs w:val="20"/>
          <w:color w:val="auto"/>
        </w:rPr>
        <w:t>” means the lawful money of Canada.</w:t>
      </w:r>
    </w:p>
    <w:p>
      <w:pPr>
        <w:spacing w:after="0" w:line="228" w:lineRule="exact"/>
        <w:rPr>
          <w:sz w:val="20"/>
          <w:szCs w:val="20"/>
          <w:color w:val="auto"/>
        </w:rPr>
      </w:pPr>
    </w:p>
    <w:p>
      <w:pPr>
        <w:jc w:val="both"/>
        <w:ind w:right="40" w:firstLine="14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obligations of any Person that are or would be characterized as an operating lease as determined in accordance with GAAP as in effect on December 31, 2018 (whether or not such operating lease was in effect on such date) shall continue to be accounted for as an operating lease (and not as a Capitalized Lease) for purposes of this Agreement regardless of any change in GAAP following December 31, 2018 that would otherwise require such obligation to be recharacterized as a Capital Lease Obligation, to the extent that financial reporting shall not be affected hereby or thereby. For purposes of Section 6.02, a Capital Lease Obligation shall be deemed to be secured by a Lien on the property being leased and such property shall be deemed to be owned by the lessee.</w:t>
      </w:r>
    </w:p>
    <w:p>
      <w:pPr>
        <w:spacing w:after="0" w:line="184" w:lineRule="exact"/>
        <w:rPr>
          <w:sz w:val="20"/>
          <w:szCs w:val="20"/>
          <w:color w:val="auto"/>
        </w:rPr>
      </w:pPr>
    </w:p>
    <w:p>
      <w:pPr>
        <w:jc w:val="both"/>
        <w:ind w:right="60" w:firstLine="1499"/>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Leases</w:t>
      </w:r>
      <w:r>
        <w:rPr>
          <w:rFonts w:ascii="Arial" w:cs="Arial" w:eastAsia="Arial" w:hAnsi="Arial"/>
          <w:sz w:val="20"/>
          <w:szCs w:val="20"/>
          <w:color w:val="auto"/>
        </w:rPr>
        <w:t xml:space="preserve">” means all leases that have been or are required to be, in accordance with GAAP as in effect on December 31, 2018, recorded as capitalized leases;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all purposes hereunder the amount of obligations under any Capitalized Lease shall be the amount thereof accounted for as a liability in accordance with GAAP;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all obligations of any Person that are or would be characterized as an operating lease as determined in accordance with GAAP as in effect on December 31, 2018 (whether or not such operating lease was in effect on such date) shall continue to be accounted for as an operating lease (and not as a Capitalized Lease) for purposes of this Agreement regardless of any change in GAAP following December 31, 2018 that would otherwise require such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color w:val="auto"/>
        </w:rPr>
        <w:t>obligation to be recharacterized as a Capitalized Lease.</w:t>
      </w:r>
    </w:p>
    <w:p>
      <w:pPr>
        <w:spacing w:after="0" w:line="230" w:lineRule="exact"/>
        <w:rPr>
          <w:sz w:val="20"/>
          <w:szCs w:val="20"/>
          <w:color w:val="auto"/>
        </w:rPr>
      </w:pPr>
    </w:p>
    <w:p>
      <w:pPr>
        <w:jc w:val="both"/>
        <w:ind w:right="60" w:firstLine="149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Software Expenditures</w:t>
      </w:r>
      <w:r>
        <w:rPr>
          <w:rFonts w:ascii="Arial" w:cs="Arial" w:eastAsia="Arial" w:hAnsi="Arial"/>
          <w:sz w:val="19"/>
          <w:szCs w:val="19"/>
          <w:color w:val="auto"/>
        </w:rPr>
        <w:t>” means, for any period, the aggregate of all expenditures (whether paid in cash or accrued as liabilities) by the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Borrower and its Restricted Subsidiaries.</w:t>
      </w:r>
    </w:p>
    <w:p>
      <w:pPr>
        <w:spacing w:after="0" w:line="20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Expenditures</w:t>
      </w:r>
      <w:r>
        <w:rPr>
          <w:rFonts w:ascii="Arial" w:cs="Arial" w:eastAsia="Arial" w:hAnsi="Arial"/>
          <w:sz w:val="20"/>
          <w:szCs w:val="20"/>
          <w:color w:val="auto"/>
        </w:rPr>
        <w:t>” means the sum, without duplication, of:</w:t>
      </w:r>
    </w:p>
    <w:p>
      <w:pPr>
        <w:spacing w:after="0" w:line="242" w:lineRule="exact"/>
        <w:rPr>
          <w:sz w:val="20"/>
          <w:szCs w:val="20"/>
          <w:color w:val="auto"/>
        </w:rPr>
      </w:pPr>
    </w:p>
    <w:p>
      <w:pPr>
        <w:jc w:val="both"/>
        <w:ind w:firstLine="1467"/>
        <w:spacing w:after="0" w:line="246" w:lineRule="auto"/>
        <w:tabs>
          <w:tab w:leader="none" w:pos="2266" w:val="left"/>
        </w:tabs>
        <w:numPr>
          <w:ilvl w:val="0"/>
          <w:numId w:val="91"/>
        </w:numPr>
        <w:rPr>
          <w:rFonts w:ascii="Arial" w:cs="Arial" w:eastAsia="Arial" w:hAnsi="Arial"/>
          <w:sz w:val="20"/>
          <w:szCs w:val="20"/>
          <w:color w:val="auto"/>
        </w:rPr>
      </w:pPr>
      <w:r>
        <w:rPr>
          <w:rFonts w:ascii="Arial" w:cs="Arial" w:eastAsia="Arial" w:hAnsi="Arial"/>
          <w:sz w:val="20"/>
          <w:szCs w:val="20"/>
          <w:color w:val="auto"/>
        </w:rPr>
        <w:t>without duplication of the amounts in clause (e) below in prior fiscal years, the amount of capital expenditures and intellectual property development expenditures made in cash or accrued during such period, except to the extent that such expenditures were financed with the proceeds of long-term Indebtedness (other than revolving loans) of the Borrower and its Restricted Subsidiaries;</w:t>
      </w:r>
    </w:p>
    <w:p>
      <w:pPr>
        <w:spacing w:after="0" w:line="203" w:lineRule="exact"/>
        <w:rPr>
          <w:rFonts w:ascii="Arial" w:cs="Arial" w:eastAsia="Arial" w:hAnsi="Arial"/>
          <w:sz w:val="20"/>
          <w:szCs w:val="20"/>
          <w:color w:val="auto"/>
        </w:rPr>
      </w:pPr>
    </w:p>
    <w:p>
      <w:pPr>
        <w:jc w:val="both"/>
        <w:ind w:firstLine="1467"/>
        <w:spacing w:after="0" w:line="272" w:lineRule="auto"/>
        <w:tabs>
          <w:tab w:leader="none" w:pos="22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and other Senior Secured First Lien Indebtedness and all prepayments of revolving loans (including Revolving Loans (except to the extent the prepayment thereof reduces the Borrower’s prepayment obligation pursuant to clause (i) of the proviso to the first sentence of Section 2.11(d)) made during such period, other than (A) in respect of any revolving credit facility except to the extent there is an equivalent permanent reduction in commitments thereunder and (B) to the extent financed with the proceeds of other long-term Indebtedness (other than revolving loans) of the Borrower or its Restricted Subsidiaries;</w:t>
      </w:r>
    </w:p>
    <w:p>
      <w:pPr>
        <w:spacing w:after="0" w:line="199" w:lineRule="exact"/>
        <w:rPr>
          <w:rFonts w:ascii="Arial" w:cs="Arial" w:eastAsia="Arial" w:hAnsi="Arial"/>
          <w:sz w:val="18"/>
          <w:szCs w:val="18"/>
          <w:color w:val="auto"/>
        </w:rPr>
      </w:pPr>
    </w:p>
    <w:p>
      <w:pPr>
        <w:jc w:val="both"/>
        <w:ind w:firstLine="1467"/>
        <w:spacing w:after="0" w:line="244" w:lineRule="auto"/>
        <w:tabs>
          <w:tab w:leader="none" w:pos="2266" w:val="left"/>
        </w:tabs>
        <w:numPr>
          <w:ilvl w:val="0"/>
          <w:numId w:val="91"/>
        </w:numPr>
        <w:rPr>
          <w:rFonts w:ascii="Arial" w:cs="Arial" w:eastAsia="Arial" w:hAnsi="Arial"/>
          <w:sz w:val="20"/>
          <w:szCs w:val="20"/>
          <w:color w:val="auto"/>
        </w:rPr>
      </w:pPr>
      <w:r>
        <w:rPr>
          <w:rFonts w:ascii="Arial" w:cs="Arial" w:eastAsia="Arial" w:hAnsi="Arial"/>
          <w:sz w:val="20"/>
          <w:szCs w:val="20"/>
          <w:color w:val="auto"/>
        </w:rPr>
        <w:t>at the option of the Borrower, without duplication of amounts pursuant to clause (e) below in prior fiscal years, the amount of Investments (other than Investments in Permitted Investments) and acquisitions made in accordance with Section 6.04 (other than Investments pursuant to Section 6.04(a), (c), (e)(ii), (g), (k), (o), (p), (q) or (hh)) to the extent that such Investments and acquisitions were not financed with the proceeds of long-term Indebtedness (other than revolving loans) of the Borrower or its Restricted Subsidiaries;</w:t>
      </w:r>
    </w:p>
    <w:p>
      <w:pPr>
        <w:spacing w:after="0" w:line="206" w:lineRule="exact"/>
        <w:rPr>
          <w:rFonts w:ascii="Arial" w:cs="Arial" w:eastAsia="Arial" w:hAnsi="Arial"/>
          <w:sz w:val="20"/>
          <w:szCs w:val="20"/>
          <w:color w:val="auto"/>
        </w:rPr>
      </w:pPr>
    </w:p>
    <w:p>
      <w:pPr>
        <w:jc w:val="both"/>
        <w:ind w:firstLine="1467"/>
        <w:spacing w:after="0" w:line="272" w:lineRule="auto"/>
        <w:tabs>
          <w:tab w:leader="none" w:pos="22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at the option of the Borrower, the amount of dividends and other Restricted Payments (including the amount of Tax Distributions made by the Borrower during such period or payable after such period in respect of income generated during such period) pursuant to Section 6.07(a) (other than pursuant to Section 6.07(a)(i), (a)(viii), (a)(xiii) or (a)(xvii)(2)), in each case to the extent not deducted in arriving at Consolidated Net Income) and paid in cash during such period or payable in respect of such period, to the extent such dividends and Restricted Payments were not financed with the proceeds of long-term Indebtedness (other than revolving loans) of the Borrower or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 included pursuant to this clause (d) for such period in respect of amounts payable during a subsequent period shall not be included in any subsequent period and, to the extent not actually paid during such subsequent period, shall be subtracted from Cash Expenditures for such subsequent period;</w:t>
      </w:r>
    </w:p>
    <w:p>
      <w:pPr>
        <w:spacing w:after="0" w:line="186" w:lineRule="exact"/>
        <w:rPr>
          <w:rFonts w:ascii="Arial" w:cs="Arial" w:eastAsia="Arial" w:hAnsi="Arial"/>
          <w:sz w:val="18"/>
          <w:szCs w:val="18"/>
          <w:color w:val="auto"/>
        </w:rPr>
      </w:pPr>
    </w:p>
    <w:p>
      <w:pPr>
        <w:jc w:val="both"/>
        <w:ind w:firstLine="1467"/>
        <w:spacing w:after="0" w:line="258" w:lineRule="auto"/>
        <w:tabs>
          <w:tab w:leader="none" w:pos="2266" w:val="left"/>
        </w:tabs>
        <w:numPr>
          <w:ilvl w:val="0"/>
          <w:numId w:val="91"/>
        </w:numPr>
        <w:rPr>
          <w:rFonts w:ascii="Arial" w:cs="Arial" w:eastAsia="Arial" w:hAnsi="Arial"/>
          <w:sz w:val="19"/>
          <w:szCs w:val="19"/>
          <w:color w:val="auto"/>
        </w:rPr>
      </w:pPr>
      <w:r>
        <w:rPr>
          <w:rFonts w:ascii="Arial" w:cs="Arial" w:eastAsia="Arial" w:hAnsi="Arial"/>
          <w:sz w:val="19"/>
          <w:szCs w:val="19"/>
          <w:color w:val="auto"/>
        </w:rPr>
        <w:t>at the option of the Borrower, and without duplication of amounts included in Cash Expenditures in prior periods, (1) the aggregate consideration required to be paid in cash by the Borrower or any of the Restricted Subsidiaries pursuant to binding contracts, commitments, letters of intent or purchase orders (the “</w:t>
      </w:r>
      <w:r>
        <w:rPr>
          <w:rFonts w:ascii="Arial" w:cs="Arial" w:eastAsia="Arial" w:hAnsi="Arial"/>
          <w:sz w:val="19"/>
          <w:szCs w:val="19"/>
          <w:u w:val="single" w:color="auto"/>
          <w:color w:val="auto"/>
        </w:rPr>
        <w:t>Contract Consideration</w:t>
      </w:r>
      <w:r>
        <w:rPr>
          <w:rFonts w:ascii="Arial" w:cs="Arial" w:eastAsia="Arial" w:hAnsi="Arial"/>
          <w:sz w:val="19"/>
          <w:szCs w:val="19"/>
          <w:color w:val="auto"/>
        </w:rPr>
        <w:t>”), in each case, entered into prior to or during such period, or at the option of the Borrower, after the applicable period and prior to the applicable Excess Cash Flow due date, and (2) to the extent set forth in a certificate of a Financial Officer delivered to the Administrative Agent at or before the time the Compliance Certificate for the period ending simultaneously with such Test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59" w:name="page160"/>
    <w:bookmarkEnd w:id="159"/>
    <w:p>
      <w:pPr>
        <w:jc w:val="both"/>
        <w:ind w:right="220"/>
        <w:spacing w:after="0" w:line="304" w:lineRule="auto"/>
        <w:rPr>
          <w:sz w:val="20"/>
          <w:szCs w:val="20"/>
          <w:color w:val="auto"/>
        </w:rPr>
      </w:pPr>
      <w:r>
        <w:rPr>
          <w:rFonts w:ascii="Arial" w:cs="Arial" w:eastAsia="Arial" w:hAnsi="Arial"/>
          <w:sz w:val="16"/>
          <w:szCs w:val="16"/>
          <w:color w:val="auto"/>
        </w:rPr>
        <w:t>Period is required to be delivered pursuant to Section 5.01(d) (which shall be satisfied if such certification is included in the Compliance Certificate), the aggregate amount of cash that is reasonably expected to be paid in respect of planned cash expenditures by the Borrower or any of the Restricted Subsidiaries (the “</w:t>
      </w:r>
      <w:r>
        <w:rPr>
          <w:rFonts w:ascii="Arial" w:cs="Arial" w:eastAsia="Arial" w:hAnsi="Arial"/>
          <w:sz w:val="16"/>
          <w:szCs w:val="16"/>
          <w:u w:val="single" w:color="auto"/>
          <w:color w:val="auto"/>
        </w:rPr>
        <w:t>Planned Expenditures</w:t>
      </w:r>
      <w:r>
        <w:rPr>
          <w:rFonts w:ascii="Arial" w:cs="Arial" w:eastAsia="Arial" w:hAnsi="Arial"/>
          <w:sz w:val="16"/>
          <w:szCs w:val="16"/>
          <w:color w:val="auto"/>
        </w:rPr>
        <w:t>”), in the case of each of clauses (1) and (2), relating to Permitted Acquisitions, other Investments (other than Investments in Permitted Investments pursuant to Section 6.04(a) and Investments pursuant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Section 6.04(a), (c), (e)(ii), (g), (k), (o), (p), (q) or (hh)), restructuring charges, or capital expenditures (including Capitalized Software Expenditures or other purchases or development of Intellectual Property) to be consummated or made during a subsequent Test Period (and in the case of Planned Expenditures, the immediately succeeding fiscal year); </w:t>
      </w:r>
      <w:r>
        <w:rPr>
          <w:rFonts w:ascii="Arial" w:cs="Arial" w:eastAsia="Arial" w:hAnsi="Arial"/>
          <w:sz w:val="20"/>
          <w:szCs w:val="20"/>
          <w:u w:val="single" w:color="auto"/>
          <w:color w:val="auto"/>
        </w:rPr>
        <w:t>provided</w:t>
      </w:r>
      <w:r>
        <w:rPr>
          <w:rFonts w:ascii="Arial" w:cs="Arial" w:eastAsia="Arial" w:hAnsi="Arial"/>
          <w:sz w:val="20"/>
          <w:szCs w:val="20"/>
          <w:color w:val="auto"/>
        </w:rPr>
        <w:t>, that to the extent the aggregate amount of proceeds actually utilized to finance such Permitted Acquisitions, Investments, restructuring charges or capital expenditures during such Test Period is less than the Contract Consideration and Planned Expenditures, the amount of such shortfall shall be subtracted from Cash Expenditures at the end of such Test Period;</w:t>
      </w:r>
    </w:p>
    <w:p>
      <w:pPr>
        <w:spacing w:after="0" w:line="222" w:lineRule="exact"/>
        <w:rPr>
          <w:sz w:val="20"/>
          <w:szCs w:val="20"/>
          <w:color w:val="auto"/>
        </w:rPr>
      </w:pPr>
    </w:p>
    <w:p>
      <w:pPr>
        <w:jc w:val="both"/>
        <w:ind w:right="220" w:firstLine="1467"/>
        <w:spacing w:after="0" w:line="246" w:lineRule="auto"/>
        <w:tabs>
          <w:tab w:leader="none" w:pos="2266"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aggregate amount of payments and expenditures actually made by the Borrower and its Restricted Subsidiaries in cash during such period (including expenditures for the payment of financing fees and restructuring charges) to the extent that such payments and expenditures are not expensed or did not otherwise reduce Consolidated Net Income or are added back to Consolidated Net Income during such period; and</w:t>
      </w:r>
    </w:p>
    <w:p>
      <w:pPr>
        <w:spacing w:after="0" w:line="203" w:lineRule="exact"/>
        <w:rPr>
          <w:rFonts w:ascii="Arial" w:cs="Arial" w:eastAsia="Arial" w:hAnsi="Arial"/>
          <w:sz w:val="20"/>
          <w:szCs w:val="20"/>
          <w:color w:val="auto"/>
        </w:rPr>
      </w:pPr>
    </w:p>
    <w:p>
      <w:pPr>
        <w:jc w:val="both"/>
        <w:ind w:right="220" w:firstLine="1467"/>
        <w:spacing w:after="0" w:line="249" w:lineRule="auto"/>
        <w:tabs>
          <w:tab w:leader="none" w:pos="2266"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amount of taxes (including penalties and interest) paid in cash and/or tax reserves set aside or payable (without duplication) in such period to the extent they exceed the amount of tax expense deducted in determining Consolidated Net Income for such period.</w:t>
      </w:r>
    </w:p>
    <w:p>
      <w:pPr>
        <w:spacing w:after="0" w:line="215" w:lineRule="exact"/>
        <w:rPr>
          <w:sz w:val="20"/>
          <w:szCs w:val="20"/>
          <w:color w:val="auto"/>
        </w:rPr>
      </w:pPr>
    </w:p>
    <w:p>
      <w:pPr>
        <w:jc w:val="both"/>
        <w:ind w:right="2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Interest Coverage Ratio</w:t>
      </w:r>
      <w:r>
        <w:rPr>
          <w:rFonts w:ascii="Arial" w:cs="Arial" w:eastAsia="Arial" w:hAnsi="Arial"/>
          <w:sz w:val="20"/>
          <w:szCs w:val="20"/>
          <w:color w:val="auto"/>
        </w:rPr>
        <w:t>” means, as of any date of determination, the ratio, on a Pro Forma Basis, of (1) Consolidated EBITDA to (2) Consolidated Cash Interest Expense for such Test Period.</w:t>
      </w:r>
    </w:p>
    <w:p>
      <w:pPr>
        <w:spacing w:after="0" w:line="189" w:lineRule="exact"/>
        <w:rPr>
          <w:sz w:val="20"/>
          <w:szCs w:val="20"/>
          <w:color w:val="auto"/>
        </w:rPr>
      </w:pPr>
    </w:p>
    <w:p>
      <w:pPr>
        <w:jc w:val="both"/>
        <w:ind w:right="280"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Obligations</w:t>
      </w:r>
      <w:r>
        <w:rPr>
          <w:rFonts w:ascii="Arial" w:cs="Arial" w:eastAsia="Arial" w:hAnsi="Arial"/>
          <w:sz w:val="20"/>
          <w:szCs w:val="20"/>
          <w:color w:val="auto"/>
        </w:rPr>
        <w:t>” means (a) obligations of Holdings, the Borrower or any Restricted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2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has the meaning assigned to such term in the definition of “Secured Cash Management</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Obligations.”</w:t>
      </w:r>
    </w:p>
    <w:p>
      <w:pPr>
        <w:spacing w:after="0" w:line="212" w:lineRule="exact"/>
        <w:rPr>
          <w:sz w:val="20"/>
          <w:szCs w:val="20"/>
          <w:color w:val="auto"/>
        </w:rPr>
      </w:pPr>
    </w:p>
    <w:p>
      <w:pPr>
        <w:jc w:val="both"/>
        <w:ind w:right="280" w:firstLine="1499"/>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means any event that gives rise to the receipt by Holdings, the Borrower or any Restricted Subsidiary of any insurance proceeds or condemnation awards in an amount in excess of $15,000,000 in respect of any equipment, fixed assets or real property (including any improvements thereon) to replace or repair such equipment, fixed assets or real property.</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within the meaning of Sections 956 and 957 of the Code.</w:t>
      </w:r>
    </w:p>
    <w:p>
      <w:pPr>
        <w:spacing w:after="0" w:line="242" w:lineRule="exact"/>
        <w:rPr>
          <w:sz w:val="20"/>
          <w:szCs w:val="20"/>
          <w:color w:val="auto"/>
        </w:rPr>
      </w:pPr>
    </w:p>
    <w:p>
      <w:pPr>
        <w:jc w:val="both"/>
        <w:ind w:right="260" w:firstLine="149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(a) the failure of Holdings directly or indirectly through wholly owned subsidiaries, to own all of the Equity Interests of the Borrower, or (b) the acquisition of ownership, directly or indirectly, beneficially or of record, by any Person or group, other than the Permitted Holders, (directly or indirectly, including through one or more holding companies), of the Equity Interests in Holdings representing 50% or more of the aggregate ordinary voting power for the election of members of the Board of Directors of Holdings represented by the issued and outstanding Equity Interests in Holdings, unless the Permitted Holders (directly or indirectly, including through one of more holding</w:t>
      </w:r>
    </w:p>
    <w:p>
      <w:pPr>
        <w:spacing w:after="0" w:line="194"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500" w:top="122" w:right="279" w:bottom="1440" w:gutter="0" w:footer="0" w:header="0"/>
        </w:sectPr>
      </w:pPr>
    </w:p>
    <w:bookmarkStart w:id="160" w:name="page161"/>
    <w:bookmarkEnd w:id="160"/>
    <w:p>
      <w:pPr>
        <w:jc w:val="both"/>
        <w:ind w:left="5"/>
        <w:spacing w:after="0" w:line="273" w:lineRule="auto"/>
        <w:rPr>
          <w:sz w:val="20"/>
          <w:szCs w:val="20"/>
          <w:color w:val="auto"/>
        </w:rPr>
      </w:pPr>
      <w:r>
        <w:rPr>
          <w:rFonts w:ascii="Arial" w:cs="Arial" w:eastAsia="Arial" w:hAnsi="Arial"/>
          <w:sz w:val="18"/>
          <w:szCs w:val="18"/>
          <w:color w:val="auto"/>
        </w:rPr>
        <w:t>companies) otherwise have the right (pursuant to contract, proxy or otherwise), directly or indirectly, to designate, nominate or appoint (and do so designate, nominate or appoint) a majority of the Board of Directors of Holdings.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or the Borrower, as applicable, directly or indirectly owned by the Permitted Holders that are part of such Person or “group” shall not be treated as being owned by such Person or “group” for purposes of determining whether clause (b) of this definition is triggered.</w:t>
      </w:r>
    </w:p>
    <w:p>
      <w:pPr>
        <w:spacing w:after="0" w:line="181" w:lineRule="exact"/>
        <w:rPr>
          <w:sz w:val="20"/>
          <w:szCs w:val="20"/>
          <w:color w:val="auto"/>
        </w:rPr>
      </w:pPr>
    </w:p>
    <w:p>
      <w:pPr>
        <w:jc w:val="both"/>
        <w:ind w:left="5" w:firstLine="1498"/>
        <w:spacing w:after="0" w:line="275" w:lineRule="auto"/>
        <w:rPr>
          <w:sz w:val="20"/>
          <w:szCs w:val="20"/>
          <w:color w:val="auto"/>
        </w:rPr>
      </w:pPr>
      <w:r>
        <w:rPr>
          <w:rFonts w:ascii="Arial" w:cs="Arial" w:eastAsia="Arial" w:hAnsi="Arial"/>
          <w:sz w:val="18"/>
          <w:szCs w:val="18"/>
          <w:color w:val="auto"/>
        </w:rPr>
        <w:t>Notwithstanding the preceding or any provision of Section 13d-3 of the Exchange Act, (i)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and (ii) the right to acquire Equity Interests (so long as such Person does not have the right to direct the voting of the Equity Interests subject to such right) or any veto power in connection with the acquisition or disposition of Equity Interests will not cause a party to be a beneficial owner.</w:t>
      </w:r>
    </w:p>
    <w:p>
      <w:pPr>
        <w:spacing w:after="0" w:line="195" w:lineRule="exact"/>
        <w:rPr>
          <w:sz w:val="20"/>
          <w:szCs w:val="20"/>
          <w:color w:val="auto"/>
        </w:rPr>
      </w:pPr>
    </w:p>
    <w:p>
      <w:pPr>
        <w:ind w:left="150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(a) the adoption of any rule, regulation, treaty or other law after the date of this Agreement,</w:t>
      </w:r>
    </w:p>
    <w:p>
      <w:pPr>
        <w:spacing w:after="0" w:line="38" w:lineRule="exact"/>
        <w:rPr>
          <w:sz w:val="20"/>
          <w:szCs w:val="20"/>
          <w:color w:val="auto"/>
        </w:rPr>
      </w:pPr>
    </w:p>
    <w:p>
      <w:pPr>
        <w:jc w:val="both"/>
        <w:ind w:left="5" w:hanging="5"/>
        <w:spacing w:after="0" w:line="268" w:lineRule="auto"/>
        <w:tabs>
          <w:tab w:leader="none" w:pos="3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herein to the contrary, (x) the Dodd-Frank Wall Street Reform and Consumer Protection Act and all rules, regulations, guidelines or directives thereunder or issued in connection therewith and (y) all requests, rules, guidelines or directives promulgated by the Bank of International Settlements, the Basel Committee on Banking Supervision (or any successor or similar authority) or by the United States, Canada, the European Union, United Kingdom or other foreign regulatory authorities, in each case pursuant to Basel III, shall, in each case, be deemed to be a “Change in Law,” but only to the extent such rules, regulations, or published interpretations or directives are applied to Holdings and its Subsidiaries by the Administrative Agent or any Lender in substantially the same manner as applied to other similarly situated borrowers under comparable syndicated credit facilities, including, without limitation, to the extent enacted, adopted, promulgated or issued after the date of this Agreement, for purposes of Section 2.15.</w:t>
      </w:r>
    </w:p>
    <w:p>
      <w:pPr>
        <w:spacing w:after="0" w:line="192" w:lineRule="exact"/>
        <w:rPr>
          <w:sz w:val="20"/>
          <w:szCs w:val="20"/>
          <w:color w:val="auto"/>
        </w:rPr>
      </w:pPr>
    </w:p>
    <w:p>
      <w:pPr>
        <w:jc w:val="both"/>
        <w:ind w:left="5" w:firstLine="149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 any Loan or Borrowing, refers to whether such Loan, or the Loans comprising such Borrowing, are Revolving Loans, Other Revolving Loans, Term Loans, Incremental Term Loans or Other Term Loans, (b) any Commitment, refers to whether such Commitment is a Revolving Commitment, Additional/Replacement Revolving Commitment, Other Revolving Commitment, Term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Additional/Replacement Revolving Commitments and Incremental Term Loans that have different terms and conditions shall be construed to be in different Classes.</w:t>
      </w:r>
    </w:p>
    <w:p>
      <w:pPr>
        <w:spacing w:after="0" w:line="139" w:lineRule="exact"/>
        <w:rPr>
          <w:sz w:val="20"/>
          <w:szCs w:val="20"/>
          <w:color w:val="auto"/>
        </w:rPr>
      </w:pPr>
    </w:p>
    <w:p>
      <w:pPr>
        <w:ind w:left="1505"/>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28" w:lineRule="exact"/>
        <w:rPr>
          <w:sz w:val="20"/>
          <w:szCs w:val="20"/>
          <w:color w:val="auto"/>
        </w:rPr>
      </w:pPr>
    </w:p>
    <w:p>
      <w:pPr>
        <w:jc w:val="both"/>
        <w:ind w:left="5"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any and all assets, whether real or personal, tangible or intangible, on which Liens are purported to be granted pursuant to the Security Documents as security for the Secured</w:t>
      </w:r>
    </w:p>
    <w:p>
      <w:pPr>
        <w:spacing w:after="0" w:line="176" w:lineRule="exact"/>
        <w:rPr>
          <w:sz w:val="20"/>
          <w:szCs w:val="20"/>
          <w:color w:val="auto"/>
        </w:rPr>
      </w:pPr>
    </w:p>
    <w:p>
      <w:pPr>
        <w:jc w:val="center"/>
        <w:ind w:right="-24"/>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66040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5"/>
          </w:cols>
          <w:pgMar w:left="495" w:top="122" w:right="539" w:bottom="1440" w:gutter="0" w:footer="0" w:header="0"/>
        </w:sectPr>
      </w:pPr>
    </w:p>
    <w:bookmarkStart w:id="161" w:name="page162"/>
    <w:bookmarkEnd w:id="161"/>
    <w:p>
      <w:pPr>
        <w:spacing w:after="0"/>
        <w:rPr>
          <w:sz w:val="20"/>
          <w:szCs w:val="20"/>
          <w:color w:val="auto"/>
        </w:rPr>
      </w:pPr>
      <w:r>
        <w:rPr>
          <w:rFonts w:ascii="Arial" w:cs="Arial" w:eastAsia="Arial" w:hAnsi="Arial"/>
          <w:sz w:val="20"/>
          <w:szCs w:val="20"/>
          <w:color w:val="auto"/>
        </w:rPr>
        <w:t>Obligations.</w:t>
      </w:r>
    </w:p>
    <w:p>
      <w:pPr>
        <w:spacing w:after="0" w:line="243" w:lineRule="exact"/>
        <w:rPr>
          <w:sz w:val="20"/>
          <w:szCs w:val="20"/>
          <w:color w:val="auto"/>
        </w:rPr>
      </w:pPr>
    </w:p>
    <w:p>
      <w:pPr>
        <w:ind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has the meaning given to such term in Section 8.01(b) and its successors in such capacity as provided in Article VIII.</w:t>
      </w:r>
    </w:p>
    <w:p>
      <w:pPr>
        <w:spacing w:after="0" w:line="189" w:lineRule="exact"/>
        <w:rPr>
          <w:sz w:val="20"/>
          <w:szCs w:val="20"/>
          <w:color w:val="auto"/>
        </w:rPr>
      </w:pPr>
    </w:p>
    <w:p>
      <w:pPr>
        <w:ind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Agreement</w:t>
      </w:r>
      <w:r>
        <w:rPr>
          <w:rFonts w:ascii="Arial" w:cs="Arial" w:eastAsia="Arial" w:hAnsi="Arial"/>
          <w:sz w:val="20"/>
          <w:szCs w:val="20"/>
          <w:color w:val="auto"/>
        </w:rPr>
        <w:t>” means the Collateral Agreement among the Loan Parties party thereto and the Collateral Agent, substantially in the form of Exhibit D.</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and Guarantee Requirement</w:t>
      </w:r>
      <w:r>
        <w:rPr>
          <w:rFonts w:ascii="Arial" w:cs="Arial" w:eastAsia="Arial" w:hAnsi="Arial"/>
          <w:sz w:val="20"/>
          <w:szCs w:val="20"/>
          <w:color w:val="auto"/>
        </w:rPr>
        <w:t>” means, at any time, the requirement that:</w:t>
      </w:r>
    </w:p>
    <w:p>
      <w:pPr>
        <w:spacing w:after="0" w:line="242" w:lineRule="exact"/>
        <w:rPr>
          <w:sz w:val="20"/>
          <w:szCs w:val="20"/>
          <w:color w:val="auto"/>
        </w:rPr>
      </w:pPr>
    </w:p>
    <w:p>
      <w:pPr>
        <w:jc w:val="both"/>
        <w:ind w:firstLine="1467"/>
        <w:spacing w:after="0" w:line="270" w:lineRule="auto"/>
        <w:tabs>
          <w:tab w:leader="none" w:pos="221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(i) Holdings, the Borrower and each of the Restricted Subsidiaries (other than any Excluded Subsidiary) either (x) a counterpart of the Guarantee Agreement duly executed and delivered on behalf of such Person or (y) in the case of any Person that becomes a Loan Party after the Effective Date (including by ceasing to be an Excluded Subsidiary), a supplement to the Guarantee Agreement, in substantially the form specified therein, duly executed and delivered on behalf of such Person and (ii) Holdings, the Borrower and each Subsidiary Loan Party either (x) a counterpart of each applicable Security Document duly executed and delivered on behalf of such Person or (y) in the case of any Person that becomes a Subsidiary Loan Party after the Effective Date (including by ceasing to be an Excluded Subsidiary), either (A) to the extent applicable, a supplement to each applicable Security Document, substantially the form specified therein, duly executed and delivered on behalf of such Person or (B) a Security Document, in each case under this clause (a) together with, in the case of any such Loan Documents executed and delivered after the Effective Date, to the extent reasonably requested by the Administrative Agent, documents of the type referred to in Section 4.01(d) within the time periods set forth in Sections 5.11 and 5.12;</w:t>
      </w:r>
    </w:p>
    <w:p>
      <w:pPr>
        <w:spacing w:after="0" w:line="189" w:lineRule="exact"/>
        <w:rPr>
          <w:rFonts w:ascii="Arial" w:cs="Arial" w:eastAsia="Arial" w:hAnsi="Arial"/>
          <w:sz w:val="18"/>
          <w:szCs w:val="18"/>
          <w:color w:val="auto"/>
        </w:rPr>
      </w:pPr>
    </w:p>
    <w:p>
      <w:pPr>
        <w:jc w:val="both"/>
        <w:ind w:firstLine="1467"/>
        <w:spacing w:after="0" w:line="316" w:lineRule="auto"/>
        <w:tabs>
          <w:tab w:leader="none" w:pos="2213"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outstanding Equity Interests of the Borrower, and each Restricted Subsidiary (other than any Equity Interests constituting Excluded Assets) owned by or on behalf of any Loan Party, shall have been pledged, charged or otherwise made subject to security pursuant to the applicable Security Document, and the Administrative Agent shall have received certificates, if any, representing all such Equity Interests to the extent constituting “certificated securities”, together with all certificates, documents of title and other documentary evidence of ownership and undated stock powers or other instruments of transfer with respect thereto endorsed in blank, in each case, to the extent required to perfect the security interest therein under the laws of the United States or any state thereof;</w:t>
      </w:r>
    </w:p>
    <w:p>
      <w:pPr>
        <w:spacing w:after="0" w:line="151" w:lineRule="exact"/>
        <w:rPr>
          <w:rFonts w:ascii="Arial" w:cs="Arial" w:eastAsia="Arial" w:hAnsi="Arial"/>
          <w:sz w:val="16"/>
          <w:szCs w:val="16"/>
          <w:color w:val="auto"/>
        </w:rPr>
      </w:pPr>
    </w:p>
    <w:p>
      <w:pPr>
        <w:jc w:val="both"/>
        <w:ind w:firstLine="1467"/>
        <w:spacing w:after="0" w:line="275" w:lineRule="auto"/>
        <w:tabs>
          <w:tab w:leader="none" w:pos="2213"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any Indebtedness for borrowed money of Holdings, the Borrower or any Subsidiary in a principal amount of $25,000,000 or more is owing by such obligor to any Loan Party and such Indebtedness shall be evidenced by a promissory note, such promissory note shall be pledged or otherwise secured pursuant to the applicable Security Document, and the Administrative Agent shall have received all such promissory notes, together with undated instruments of transfer with respect thereto endorsed in blank;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foregoing delivery requirement with respect to any intercompany indebtedness may be satisfied by delivery of an omnibus or global intercompany note executed by all Loan Parties as payees and all such obligors as payors;</w:t>
      </w:r>
    </w:p>
    <w:p>
      <w:pPr>
        <w:spacing w:after="0" w:line="195" w:lineRule="exact"/>
        <w:rPr>
          <w:rFonts w:ascii="Arial" w:cs="Arial" w:eastAsia="Arial" w:hAnsi="Arial"/>
          <w:sz w:val="18"/>
          <w:szCs w:val="18"/>
          <w:color w:val="auto"/>
        </w:rPr>
      </w:pPr>
    </w:p>
    <w:p>
      <w:pPr>
        <w:jc w:val="both"/>
        <w:ind w:firstLine="1467"/>
        <w:spacing w:after="0" w:line="257" w:lineRule="auto"/>
        <w:tabs>
          <w:tab w:leader="none" w:pos="2213" w:val="left"/>
        </w:tabs>
        <w:numPr>
          <w:ilvl w:val="0"/>
          <w:numId w:val="94"/>
        </w:numPr>
        <w:rPr>
          <w:rFonts w:ascii="Arial" w:cs="Arial" w:eastAsia="Arial" w:hAnsi="Arial"/>
          <w:sz w:val="19"/>
          <w:szCs w:val="19"/>
          <w:color w:val="auto"/>
        </w:rPr>
      </w:pPr>
      <w:r>
        <w:rPr>
          <w:rFonts w:ascii="Arial" w:cs="Arial" w:eastAsia="Arial" w:hAnsi="Arial"/>
          <w:sz w:val="19"/>
          <w:szCs w:val="19"/>
          <w:color w:val="auto"/>
        </w:rPr>
        <w:t>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and Trademark Office and the United States Copyright Office to the extent required by this Agreement, the Security Documents, Requirements of Law and as reasonably requested by the Administrative Agent to be filed, delivered, registered or recorded to create the Liens intended to be created by the Security Documents and perfect such Liens to the extent required by, and with the priority required by, this Agreement, the Security Documents and the other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62" w:name="page163"/>
    <w:bookmarkEnd w:id="162"/>
    <w:p>
      <w:pPr>
        <w:ind w:left="8"/>
        <w:spacing w:after="0" w:line="261" w:lineRule="auto"/>
        <w:rPr>
          <w:sz w:val="20"/>
          <w:szCs w:val="20"/>
          <w:color w:val="auto"/>
        </w:rPr>
      </w:pPr>
      <w:r>
        <w:rPr>
          <w:rFonts w:ascii="Arial" w:cs="Arial" w:eastAsia="Arial" w:hAnsi="Arial"/>
          <w:sz w:val="20"/>
          <w:szCs w:val="20"/>
          <w:color w:val="auto"/>
        </w:rPr>
        <w:t>provisions of the term “Collateral and Guarantee Requirement,” shall have been filed, registered or recorded or delivered to the Administrative Agent for filing, registration or recording; and</w:t>
      </w:r>
    </w:p>
    <w:p>
      <w:pPr>
        <w:spacing w:after="0" w:line="189" w:lineRule="exact"/>
        <w:rPr>
          <w:sz w:val="20"/>
          <w:szCs w:val="20"/>
          <w:color w:val="auto"/>
        </w:rPr>
      </w:pPr>
    </w:p>
    <w:p>
      <w:pPr>
        <w:jc w:val="both"/>
        <w:ind w:left="8" w:right="20" w:firstLine="1467"/>
        <w:spacing w:after="0" w:line="270" w:lineRule="auto"/>
        <w:tabs>
          <w:tab w:leader="none" w:pos="2221"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Administrative Agent shall have received (i) counterparts of a Mortgage with respect to each Material Real Property duly executed and delivered by the record owner of such Mortgaged Property (if the Mortgaged Property is in a jurisdiction that imposes a mortgage recording or similar tax is imposed on the amount secured by such Mortgage, then the amount secured by such Mortgage shall be limited to the fair market value of such Mortgaged Property, as reasonably determined by Holdings),</w:t>
      </w:r>
    </w:p>
    <w:p>
      <w:pPr>
        <w:spacing w:after="0" w:line="1" w:lineRule="exact"/>
        <w:rPr>
          <w:rFonts w:ascii="Arial" w:cs="Arial" w:eastAsia="Arial" w:hAnsi="Arial"/>
          <w:sz w:val="18"/>
          <w:szCs w:val="18"/>
          <w:color w:val="auto"/>
        </w:rPr>
      </w:pPr>
    </w:p>
    <w:p>
      <w:pPr>
        <w:jc w:val="both"/>
        <w:ind w:left="8" w:hanging="8"/>
        <w:spacing w:after="0" w:line="267" w:lineRule="auto"/>
        <w:tabs>
          <w:tab w:leader="none" w:pos="313"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6.02, together with such endorsements (other than a creditor’s rights endorsement) as the Administrative Agent may reasonably request to the extent available in the applicable jurisdiction at commercially reasonable rates (it being agreed that the Administrative Agent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will the Borrower be required to obtain independent appraisals of such Mortgaged Properties, unless required by FIRREA, (iii) a completed “Life-of-Loan” Federal Emergency Management Agency standard flood hazard determination with respect to each Mortgaged Property, and if any Mortgaged Property is located in an area determined by the Federal Emergency Management Agency (or any successor agency) to be located in special flood hazard area, a duly executed notice about special flood hazard area status and flood disaster assistance and evidence of such flood insurance as provided in Section 5.07(b), (iv) in each case if reasonably requested by the Administrative Agent, a customary legal opinion with respect to each such Mortgage, from counsel qualified to opine in each jurisdiction (i) where a Mortgaged Property is located regarding the enforceability of the Mortgage and (ii) where the applicable Loan Party granting the Mortgage on said Mortgaged Property is organized or incorporated, regarding the due authorization, execution and delivery of such Mortgage, and in each case, such other customary matters as may be in form and substance reasonably satisfactory to the Administrative Agent, (v) a survey or existing survey together with a no change affidavit of such Mortgaged Property, in compliance with the 2021 Minimum Standard Detail Requirements for ALTA/ACSM Land Title Surveys and otherwise reasonably satisfactory to the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206" w:lineRule="exact"/>
        <w:rPr>
          <w:sz w:val="20"/>
          <w:szCs w:val="20"/>
          <w:color w:val="auto"/>
        </w:rPr>
      </w:pPr>
    </w:p>
    <w:p>
      <w:pPr>
        <w:jc w:val="both"/>
        <w:ind w:left="8" w:right="20" w:firstLine="1499"/>
        <w:spacing w:after="0" w:line="269" w:lineRule="auto"/>
        <w:rPr>
          <w:sz w:val="20"/>
          <w:szCs w:val="20"/>
          <w:color w:val="auto"/>
        </w:rPr>
      </w:pPr>
      <w:r>
        <w:rPr>
          <w:rFonts w:ascii="Arial" w:cs="Arial" w:eastAsia="Arial" w:hAnsi="Arial"/>
          <w:sz w:val="18"/>
          <w:szCs w:val="18"/>
          <w:color w:val="auto"/>
        </w:rPr>
        <w:t>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Administrative Agent and the Borrower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 Lenders therefrom; (b) Liens required to be granted from time to time pursuant to the term “Collateral and Guarantee Requirement” shall be subject to exceptions and limitations set forth in this Agreement and the Security Documents; (c) in no event shall control agreements or other control or similar arrangements be required with respect to cash, Permitted Investments, other deposit accounts, securities and commodities accounts (including securities entitlements and related assets), letter of credit rights or other assets requiring perfection by control (but not, for avoidance of doubt, possession); (d) in no event shall any Loan Party be required to complete any filings</w:t>
      </w:r>
    </w:p>
    <w:p>
      <w:pPr>
        <w:spacing w:after="0" w:line="180"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122" w:right="499" w:bottom="1440" w:gutter="0" w:footer="0" w:header="0"/>
        </w:sectPr>
      </w:pPr>
    </w:p>
    <w:bookmarkStart w:id="163" w:name="page164"/>
    <w:bookmarkEnd w:id="163"/>
    <w:p>
      <w:pPr>
        <w:jc w:val="both"/>
        <w:ind w:left="180" w:right="180"/>
        <w:spacing w:after="0" w:line="268" w:lineRule="auto"/>
        <w:rPr>
          <w:sz w:val="20"/>
          <w:szCs w:val="20"/>
          <w:color w:val="auto"/>
        </w:rPr>
      </w:pPr>
      <w:r>
        <w:rPr>
          <w:rFonts w:ascii="Arial" w:cs="Arial" w:eastAsia="Arial" w:hAnsi="Arial"/>
          <w:sz w:val="18"/>
          <w:szCs w:val="18"/>
          <w:color w:val="auto"/>
        </w:rPr>
        <w:t>or other action with respect to the perfection of security interests in any jurisdiction outside of the United States (or any state, commonwealth or territory thereof or the District of Columbia) or with respect to an Electing Foreign Guarantor, its Applicable Country, or to perfect or make enforceable any security interests in any such assets (it being understood that all security granted by a Loan Party located in the United States (or any state, commonwealth or territory thereof or the District of Columbia) (other than Mortgages) shall be governed by the law of the state of New York); (e) in no event shall any Loan Party be required to complete any filings or other action with respect to perfection of security interests in assets subject to certificates of title beyond the filing of UCC financing statements; (f) other than the filing of UCC financing statements (and, if applicable, corresponding or customary filings in an Applicable Country with respect to an Electing Foreign Guarantor), no perfection shall be required with respect to promissory notes evidencing debt for borrowed money in a principal amount of less than $25,000,000; (g) in no event shall any Loan Party be required to complete any filings or other action (including entering into any source code escrow arrangements or seeking registration of any Copyrights)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(and, if applicable, corresponding or customary filings in an Applicable Country with respect to an Electing Foreign Guarantor)); (i) in no event shall environmental reports be required to be delivered to the Administrative Agent or the Lenders; (j) in no event shall notices be required to be sent to account debtors or other contractual third-parties unless an Event of Default has not been cured or waived and is continuing and the Loans have been accelerated pursuant to Section 7.01 or are otherwise due and payable in full; and (l) in no event shall the Collateral include any Excluded Assets. The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by the time or times at which it would otherwise be required to be accomplished by this Agreement (including as set forth on Schedule 5.14) or the Security Documents.</w:t>
      </w:r>
    </w:p>
    <w:p>
      <w:pPr>
        <w:spacing w:after="0" w:line="200" w:lineRule="exact"/>
        <w:rPr>
          <w:sz w:val="20"/>
          <w:szCs w:val="20"/>
          <w:color w:val="auto"/>
        </w:rPr>
      </w:pPr>
    </w:p>
    <w:p>
      <w:pPr>
        <w:ind w:left="180" w:right="200" w:firstLine="1499"/>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with respect to any Lender, its Revolving Commitment, Other Revolving Commitment of any Class, Term Commitment, Other Term Commitment of any Class or any combination thereof (as the context requires).</w:t>
      </w:r>
    </w:p>
    <w:p>
      <w:pPr>
        <w:spacing w:after="0" w:line="167" w:lineRule="exact"/>
        <w:rPr>
          <w:sz w:val="20"/>
          <w:szCs w:val="20"/>
          <w:color w:val="auto"/>
        </w:rPr>
      </w:pPr>
    </w:p>
    <w:p>
      <w:pPr>
        <w:jc w:val="both"/>
        <w:ind w:left="180" w:right="180" w:firstLine="1499"/>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Fee Percentage</w:t>
      </w:r>
      <w:r>
        <w:rPr>
          <w:rFonts w:ascii="Arial" w:cs="Arial" w:eastAsia="Arial" w:hAnsi="Arial"/>
          <w:sz w:val="16"/>
          <w:szCs w:val="16"/>
          <w:color w:val="auto"/>
        </w:rPr>
        <w:t xml:space="preserve">” means, for any day, the applicable percentage set forth below under the caption “Commitment Fee Percentage” based upon the Senior Secured First Lien Net Leverage Ratio as of the end of the fiscal quarter of the Borrower for which consolidated financial statements have theretofore been most recently delivered pursuant to Section 5.01(a) or 5.01(b);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the date of the delivery of the consolidated financial statements pursuant to Section 5.01(b) as of and for the fiscal quarter ended September 30, 2021, the Commitment Fee Percentage shall be based on the rates per annum set forth in Category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92710</wp:posOffset>
            </wp:positionV>
            <wp:extent cx="2773680" cy="4451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99">
                      <a:extLst>
                        <a:ext uri="{28A0092B-C50C-407E-A947-70E740481C1C}"/>
                      </a:extLst>
                    </a:blip>
                    <a:srcRect/>
                    <a:stretch>
                      <a:fillRect/>
                    </a:stretch>
                  </pic:blipFill>
                  <pic:spPr bwMode="auto">
                    <a:xfrm>
                      <a:off x="0" y="0"/>
                      <a:ext cx="2773680" cy="44513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940" w:type="dxa"/>
            <w:vAlign w:val="bottom"/>
            <w:tcBorders>
              <w:right w:val="single" w:sz="8" w:color="E0E0E0"/>
            </w:tcBorders>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4220" w:type="dxa"/>
            <w:vAlign w:val="bottom"/>
            <w:tcBorders>
              <w:top w:val="single" w:sz="8" w:color="E0E0E0"/>
              <w:right w:val="single" w:sz="8" w:color="E0E0E0"/>
            </w:tcBorders>
            <w:gridSpan w:val="2"/>
            <w:shd w:val="clear" w:color="auto" w:fill="E0E0E0"/>
          </w:tcPr>
          <w:p>
            <w:pPr>
              <w:ind w:left="380"/>
              <w:spacing w:after="0"/>
              <w:rPr>
                <w:sz w:val="20"/>
                <w:szCs w:val="20"/>
                <w:color w:val="auto"/>
              </w:rPr>
            </w:pPr>
            <w:r>
              <w:rPr>
                <w:rFonts w:ascii="Arial" w:cs="Arial" w:eastAsia="Arial" w:hAnsi="Arial"/>
                <w:sz w:val="20"/>
                <w:szCs w:val="20"/>
                <w:color w:val="auto"/>
              </w:rPr>
              <w:t>Senior Secured First Lien Net Leverage</w:t>
            </w:r>
          </w:p>
        </w:tc>
        <w:tc>
          <w:tcPr>
            <w:tcW w:w="2740" w:type="dxa"/>
            <w:vAlign w:val="bottom"/>
            <w:tcBorders>
              <w:top w:val="single" w:sz="8" w:color="010101"/>
              <w:right w:val="single" w:sz="8" w:color="010101"/>
            </w:tcBorders>
            <w:shd w:val="clear" w:color="auto" w:fill="E0E0E0"/>
          </w:tcPr>
          <w:p>
            <w:pPr>
              <w:ind w:left="360"/>
              <w:spacing w:after="0"/>
              <w:rPr>
                <w:sz w:val="20"/>
                <w:szCs w:val="20"/>
                <w:color w:val="auto"/>
              </w:rPr>
            </w:pPr>
            <w:r>
              <w:rPr>
                <w:rFonts w:ascii="Arial" w:cs="Arial" w:eastAsia="Arial" w:hAnsi="Arial"/>
                <w:sz w:val="20"/>
                <w:szCs w:val="20"/>
                <w:color w:val="auto"/>
              </w:rPr>
              <w:t>Commitment Fee</w:t>
            </w:r>
          </w:p>
        </w:tc>
        <w:tc>
          <w:tcPr>
            <w:tcW w:w="2240" w:type="dxa"/>
            <w:vAlign w:val="bottom"/>
          </w:tcPr>
          <w:p>
            <w:pPr>
              <w:spacing w:after="0"/>
              <w:rPr>
                <w:sz w:val="20"/>
                <w:szCs w:val="20"/>
                <w:color w:val="auto"/>
              </w:rPr>
            </w:pPr>
          </w:p>
        </w:tc>
      </w:tr>
      <w:tr>
        <w:trPr>
          <w:trHeight w:val="250"/>
        </w:trPr>
        <w:tc>
          <w:tcPr>
            <w:tcW w:w="1940" w:type="dxa"/>
            <w:vAlign w:val="bottom"/>
            <w:tcBorders>
              <w:right w:val="single" w:sz="8" w:color="E0E0E0"/>
            </w:tcBorders>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4220" w:type="dxa"/>
            <w:vAlign w:val="bottom"/>
            <w:tcBorders>
              <w:right w:val="single" w:sz="8" w:color="E0E0E0"/>
            </w:tcBorders>
            <w:gridSpan w:val="2"/>
            <w:shd w:val="clear" w:color="auto" w:fill="E0E0E0"/>
          </w:tcPr>
          <w:p>
            <w:pPr>
              <w:ind w:left="380"/>
              <w:spacing w:after="0"/>
              <w:rPr>
                <w:sz w:val="20"/>
                <w:szCs w:val="20"/>
                <w:color w:val="auto"/>
              </w:rPr>
            </w:pPr>
            <w:r>
              <w:rPr>
                <w:rFonts w:ascii="Arial" w:cs="Arial" w:eastAsia="Arial" w:hAnsi="Arial"/>
                <w:sz w:val="20"/>
                <w:szCs w:val="20"/>
                <w:color w:val="auto"/>
              </w:rPr>
              <w:t>Ratio</w:t>
            </w:r>
          </w:p>
        </w:tc>
        <w:tc>
          <w:tcPr>
            <w:tcW w:w="2740" w:type="dxa"/>
            <w:vAlign w:val="bottom"/>
            <w:tcBorders>
              <w:right w:val="single" w:sz="8" w:color="010101"/>
            </w:tcBorders>
            <w:shd w:val="clear" w:color="auto" w:fill="E0E0E0"/>
          </w:tcPr>
          <w:p>
            <w:pPr>
              <w:ind w:left="360"/>
              <w:spacing w:after="0"/>
              <w:rPr>
                <w:sz w:val="20"/>
                <w:szCs w:val="20"/>
                <w:color w:val="auto"/>
              </w:rPr>
            </w:pPr>
            <w:r>
              <w:rPr>
                <w:rFonts w:ascii="Arial" w:cs="Arial" w:eastAsia="Arial" w:hAnsi="Arial"/>
                <w:sz w:val="20"/>
                <w:szCs w:val="20"/>
                <w:color w:val="auto"/>
              </w:rPr>
              <w:t>Percentage</w:t>
            </w:r>
          </w:p>
        </w:tc>
        <w:tc>
          <w:tcPr>
            <w:tcW w:w="2240" w:type="dxa"/>
            <w:vAlign w:val="bottom"/>
          </w:tcPr>
          <w:p>
            <w:pPr>
              <w:spacing w:after="0"/>
              <w:rPr>
                <w:sz w:val="21"/>
                <w:szCs w:val="21"/>
                <w:color w:val="auto"/>
              </w:rPr>
            </w:pPr>
          </w:p>
        </w:tc>
      </w:tr>
      <w:tr>
        <w:trPr>
          <w:trHeight w:val="151"/>
        </w:trPr>
        <w:tc>
          <w:tcPr>
            <w:tcW w:w="1940" w:type="dxa"/>
            <w:vAlign w:val="bottom"/>
            <w:tcBorders>
              <w:right w:val="single" w:sz="8" w:color="E0E0E0"/>
            </w:tcBorders>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880" w:type="dxa"/>
            <w:vAlign w:val="bottom"/>
            <w:tcBorders>
              <w:bottom w:val="single" w:sz="8" w:color="E0E0E0"/>
            </w:tcBorders>
            <w:shd w:val="clear" w:color="auto" w:fill="E0E0E0"/>
          </w:tcPr>
          <w:p>
            <w:pPr>
              <w:spacing w:after="0"/>
              <w:rPr>
                <w:sz w:val="13"/>
                <w:szCs w:val="13"/>
                <w:color w:val="auto"/>
              </w:rPr>
            </w:pPr>
          </w:p>
        </w:tc>
        <w:tc>
          <w:tcPr>
            <w:tcW w:w="3340" w:type="dxa"/>
            <w:vAlign w:val="bottom"/>
            <w:tcBorders>
              <w:bottom w:val="single" w:sz="8" w:color="E0E0E0"/>
              <w:right w:val="single" w:sz="8" w:color="E0E0E0"/>
            </w:tcBorders>
            <w:shd w:val="clear" w:color="auto" w:fill="E0E0E0"/>
          </w:tcPr>
          <w:p>
            <w:pPr>
              <w:spacing w:after="0"/>
              <w:rPr>
                <w:sz w:val="13"/>
                <w:szCs w:val="13"/>
                <w:color w:val="auto"/>
              </w:rPr>
            </w:pPr>
          </w:p>
        </w:tc>
        <w:tc>
          <w:tcPr>
            <w:tcW w:w="2740" w:type="dxa"/>
            <w:vAlign w:val="bottom"/>
            <w:tcBorders>
              <w:bottom w:val="single" w:sz="8" w:color="010101"/>
              <w:right w:val="single" w:sz="8" w:color="010101"/>
            </w:tcBorders>
            <w:shd w:val="clear" w:color="auto" w:fill="E0E0E0"/>
          </w:tcPr>
          <w:p>
            <w:pPr>
              <w:spacing w:after="0"/>
              <w:rPr>
                <w:sz w:val="13"/>
                <w:szCs w:val="13"/>
                <w:color w:val="auto"/>
              </w:rPr>
            </w:pPr>
          </w:p>
        </w:tc>
        <w:tc>
          <w:tcPr>
            <w:tcW w:w="2240" w:type="dxa"/>
            <w:vAlign w:val="bottom"/>
          </w:tcPr>
          <w:p>
            <w:pPr>
              <w:spacing w:after="0"/>
              <w:rPr>
                <w:sz w:val="13"/>
                <w:szCs w:val="13"/>
                <w:color w:val="auto"/>
              </w:rPr>
            </w:pPr>
          </w:p>
        </w:tc>
      </w:tr>
      <w:tr>
        <w:trPr>
          <w:trHeight w:val="202"/>
        </w:trPr>
        <w:tc>
          <w:tcPr>
            <w:tcW w:w="1940" w:type="dxa"/>
            <w:vAlign w:val="bottom"/>
            <w:tcBorders>
              <w:right w:val="single" w:sz="8" w:color="010101"/>
            </w:tcBorders>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right w:val="single" w:sz="8" w:color="010101"/>
            </w:tcBorders>
            <w:gridSpan w:val="2"/>
          </w:tcPr>
          <w:p>
            <w:pPr>
              <w:spacing w:after="0" w:line="203" w:lineRule="exact"/>
              <w:rPr>
                <w:sz w:val="20"/>
                <w:szCs w:val="20"/>
                <w:color w:val="auto"/>
              </w:rPr>
            </w:pPr>
            <w:r>
              <w:rPr>
                <w:rFonts w:ascii="Arial" w:cs="Arial" w:eastAsia="Arial" w:hAnsi="Arial"/>
                <w:sz w:val="20"/>
                <w:szCs w:val="20"/>
                <w:color w:val="auto"/>
              </w:rPr>
              <w:t>Category 1</w:t>
            </w:r>
          </w:p>
        </w:tc>
        <w:tc>
          <w:tcPr>
            <w:tcW w:w="2740" w:type="dxa"/>
            <w:vAlign w:val="bottom"/>
            <w:tcBorders>
              <w:right w:val="single" w:sz="8" w:color="010101"/>
            </w:tcBorders>
          </w:tcPr>
          <w:p>
            <w:pPr>
              <w:ind w:left="720"/>
              <w:spacing w:after="0" w:line="203" w:lineRule="exact"/>
              <w:rPr>
                <w:sz w:val="20"/>
                <w:szCs w:val="20"/>
                <w:color w:val="auto"/>
              </w:rPr>
            </w:pPr>
            <w:r>
              <w:rPr>
                <w:rFonts w:ascii="Arial" w:cs="Arial" w:eastAsia="Arial" w:hAnsi="Arial"/>
                <w:sz w:val="20"/>
                <w:szCs w:val="20"/>
                <w:color w:val="auto"/>
              </w:rPr>
              <w:t>0.50%</w:t>
            </w:r>
          </w:p>
        </w:tc>
        <w:tc>
          <w:tcPr>
            <w:tcW w:w="2240" w:type="dxa"/>
            <w:vAlign w:val="bottom"/>
          </w:tcPr>
          <w:p>
            <w:pPr>
              <w:spacing w:after="0"/>
              <w:rPr>
                <w:sz w:val="17"/>
                <w:szCs w:val="17"/>
                <w:color w:val="auto"/>
              </w:rPr>
            </w:pPr>
          </w:p>
        </w:tc>
      </w:tr>
      <w:tr>
        <w:trPr>
          <w:trHeight w:val="20"/>
        </w:trPr>
        <w:tc>
          <w:tcPr>
            <w:tcW w:w="19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340" w:type="dxa"/>
            <w:vAlign w:val="bottom"/>
            <w:tcBorders>
              <w:right w:val="single" w:sz="8" w:color="010101"/>
            </w:tcBorders>
          </w:tcPr>
          <w:p>
            <w:pPr>
              <w:spacing w:after="0" w:line="20" w:lineRule="exact"/>
              <w:rPr>
                <w:sz w:val="1"/>
                <w:szCs w:val="1"/>
                <w:color w:val="auto"/>
              </w:rPr>
            </w:pPr>
          </w:p>
        </w:tc>
        <w:tc>
          <w:tcPr>
            <w:tcW w:w="2740" w:type="dxa"/>
            <w:vAlign w:val="bottom"/>
            <w:tcBorders>
              <w:right w:val="single" w:sz="8" w:color="010101"/>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7"/>
        </w:trPr>
        <w:tc>
          <w:tcPr>
            <w:tcW w:w="1940" w:type="dxa"/>
            <w:vAlign w:val="bottom"/>
            <w:tcBorders>
              <w:right w:val="single" w:sz="8" w:color="010101"/>
            </w:tcBorders>
          </w:tcPr>
          <w:p>
            <w:pPr>
              <w:spacing w:after="0"/>
              <w:rPr>
                <w:sz w:val="22"/>
                <w:szCs w:val="22"/>
                <w:color w:val="auto"/>
              </w:rPr>
            </w:pPr>
          </w:p>
        </w:tc>
        <w:tc>
          <w:tcPr>
            <w:tcW w:w="100" w:type="dxa"/>
            <w:vAlign w:val="bottom"/>
            <w:tcBorders>
              <w:bottom w:val="single" w:sz="8" w:color="010101"/>
            </w:tcBorders>
          </w:tcPr>
          <w:p>
            <w:pPr>
              <w:spacing w:after="0"/>
              <w:rPr>
                <w:sz w:val="22"/>
                <w:szCs w:val="22"/>
                <w:color w:val="auto"/>
              </w:rPr>
            </w:pPr>
          </w:p>
        </w:tc>
        <w:tc>
          <w:tcPr>
            <w:tcW w:w="4220" w:type="dxa"/>
            <w:vAlign w:val="bottom"/>
            <w:tcBorders>
              <w:bottom w:val="single" w:sz="8" w:color="010101"/>
              <w:right w:val="single" w:sz="8" w:color="010101"/>
            </w:tcBorders>
            <w:gridSpan w:val="2"/>
          </w:tcPr>
          <w:p>
            <w:pPr>
              <w:spacing w:after="0"/>
              <w:rPr>
                <w:sz w:val="20"/>
                <w:szCs w:val="20"/>
                <w:color w:val="auto"/>
              </w:rPr>
            </w:pPr>
            <w:r>
              <w:rPr>
                <w:rFonts w:ascii="Arial" w:cs="Arial" w:eastAsia="Arial" w:hAnsi="Arial"/>
                <w:sz w:val="20"/>
                <w:szCs w:val="20"/>
                <w:color w:val="auto"/>
              </w:rPr>
              <w:t>Greater than or equal to 5.00 to 1.00</w:t>
            </w:r>
          </w:p>
        </w:tc>
        <w:tc>
          <w:tcPr>
            <w:tcW w:w="2740" w:type="dxa"/>
            <w:vAlign w:val="bottom"/>
            <w:tcBorders>
              <w:bottom w:val="single" w:sz="8" w:color="010101"/>
              <w:right w:val="single" w:sz="8" w:color="010101"/>
            </w:tcBorders>
          </w:tcPr>
          <w:p>
            <w:pPr>
              <w:spacing w:after="0"/>
              <w:rPr>
                <w:sz w:val="22"/>
                <w:szCs w:val="22"/>
                <w:color w:val="auto"/>
              </w:rPr>
            </w:pPr>
          </w:p>
        </w:tc>
        <w:tc>
          <w:tcPr>
            <w:tcW w:w="2240" w:type="dxa"/>
            <w:vAlign w:val="bottom"/>
          </w:tcPr>
          <w:p>
            <w:pPr>
              <w:spacing w:after="0"/>
              <w:rPr>
                <w:sz w:val="22"/>
                <w:szCs w:val="22"/>
                <w:color w:val="auto"/>
              </w:rPr>
            </w:pPr>
          </w:p>
        </w:tc>
      </w:tr>
      <w:tr>
        <w:trPr>
          <w:trHeight w:val="202"/>
        </w:trPr>
        <w:tc>
          <w:tcPr>
            <w:tcW w:w="1940" w:type="dxa"/>
            <w:vAlign w:val="bottom"/>
            <w:tcBorders>
              <w:right w:val="single" w:sz="8" w:color="010101"/>
            </w:tcBorders>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right w:val="single" w:sz="8" w:color="010101"/>
            </w:tcBorders>
            <w:gridSpan w:val="2"/>
          </w:tcPr>
          <w:p>
            <w:pPr>
              <w:spacing w:after="0" w:line="203" w:lineRule="exact"/>
              <w:rPr>
                <w:sz w:val="20"/>
                <w:szCs w:val="20"/>
                <w:color w:val="auto"/>
              </w:rPr>
            </w:pPr>
            <w:r>
              <w:rPr>
                <w:rFonts w:ascii="Arial" w:cs="Arial" w:eastAsia="Arial" w:hAnsi="Arial"/>
                <w:sz w:val="20"/>
                <w:szCs w:val="20"/>
                <w:color w:val="auto"/>
              </w:rPr>
              <w:t>Category 2</w:t>
            </w:r>
          </w:p>
        </w:tc>
        <w:tc>
          <w:tcPr>
            <w:tcW w:w="2740" w:type="dxa"/>
            <w:vAlign w:val="bottom"/>
            <w:tcBorders>
              <w:right w:val="single" w:sz="8" w:color="010101"/>
            </w:tcBorders>
          </w:tcPr>
          <w:p>
            <w:pPr>
              <w:ind w:left="720"/>
              <w:spacing w:after="0" w:line="203" w:lineRule="exact"/>
              <w:rPr>
                <w:sz w:val="20"/>
                <w:szCs w:val="20"/>
                <w:color w:val="auto"/>
              </w:rPr>
            </w:pPr>
            <w:r>
              <w:rPr>
                <w:rFonts w:ascii="Arial" w:cs="Arial" w:eastAsia="Arial" w:hAnsi="Arial"/>
                <w:sz w:val="20"/>
                <w:szCs w:val="20"/>
                <w:color w:val="auto"/>
              </w:rPr>
              <w:t>0.375%</w:t>
            </w:r>
          </w:p>
        </w:tc>
        <w:tc>
          <w:tcPr>
            <w:tcW w:w="2240" w:type="dxa"/>
            <w:vAlign w:val="bottom"/>
          </w:tcPr>
          <w:p>
            <w:pPr>
              <w:spacing w:after="0"/>
              <w:rPr>
                <w:sz w:val="17"/>
                <w:szCs w:val="17"/>
                <w:color w:val="auto"/>
              </w:rPr>
            </w:pPr>
          </w:p>
        </w:tc>
      </w:tr>
      <w:tr>
        <w:trPr>
          <w:trHeight w:val="20"/>
        </w:trPr>
        <w:tc>
          <w:tcPr>
            <w:tcW w:w="19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340" w:type="dxa"/>
            <w:vAlign w:val="bottom"/>
            <w:tcBorders>
              <w:right w:val="single" w:sz="8" w:color="010101"/>
            </w:tcBorders>
          </w:tcPr>
          <w:p>
            <w:pPr>
              <w:spacing w:after="0" w:line="20" w:lineRule="exact"/>
              <w:rPr>
                <w:sz w:val="1"/>
                <w:szCs w:val="1"/>
                <w:color w:val="auto"/>
              </w:rPr>
            </w:pPr>
          </w:p>
        </w:tc>
        <w:tc>
          <w:tcPr>
            <w:tcW w:w="2740" w:type="dxa"/>
            <w:vAlign w:val="bottom"/>
            <w:tcBorders>
              <w:right w:val="single" w:sz="8" w:color="010101"/>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3"/>
        </w:trPr>
        <w:tc>
          <w:tcPr>
            <w:tcW w:w="1940" w:type="dxa"/>
            <w:vAlign w:val="bottom"/>
            <w:tcBorders>
              <w:right w:val="single" w:sz="8" w:color="010101"/>
            </w:tcBorders>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Borders>
              <w:right w:val="single" w:sz="8" w:color="010101"/>
            </w:tcBorders>
            <w:gridSpan w:val="2"/>
          </w:tcPr>
          <w:p>
            <w:pPr>
              <w:spacing w:after="0"/>
              <w:rPr>
                <w:sz w:val="20"/>
                <w:szCs w:val="20"/>
                <w:color w:val="auto"/>
              </w:rPr>
            </w:pPr>
            <w:r>
              <w:rPr>
                <w:rFonts w:ascii="Arial" w:cs="Arial" w:eastAsia="Arial" w:hAnsi="Arial"/>
                <w:sz w:val="20"/>
                <w:szCs w:val="20"/>
                <w:color w:val="auto"/>
                <w:w w:val="93"/>
              </w:rPr>
              <w:t>Less than 5.00 to 1.00 but greater than or equal to</w:t>
            </w:r>
          </w:p>
        </w:tc>
        <w:tc>
          <w:tcPr>
            <w:tcW w:w="2740" w:type="dxa"/>
            <w:vAlign w:val="bottom"/>
            <w:tcBorders>
              <w:right w:val="single" w:sz="8" w:color="010101"/>
            </w:tcBorders>
          </w:tcPr>
          <w:p>
            <w:pPr>
              <w:spacing w:after="0"/>
              <w:rPr>
                <w:sz w:val="20"/>
                <w:szCs w:val="20"/>
                <w:color w:val="auto"/>
              </w:rPr>
            </w:pPr>
          </w:p>
        </w:tc>
        <w:tc>
          <w:tcPr>
            <w:tcW w:w="2240" w:type="dxa"/>
            <w:vAlign w:val="bottom"/>
          </w:tcPr>
          <w:p>
            <w:pPr>
              <w:spacing w:after="0"/>
              <w:rPr>
                <w:sz w:val="20"/>
                <w:szCs w:val="20"/>
                <w:color w:val="auto"/>
              </w:rPr>
            </w:pPr>
          </w:p>
        </w:tc>
      </w:tr>
      <w:tr>
        <w:trPr>
          <w:trHeight w:val="253"/>
        </w:trPr>
        <w:tc>
          <w:tcPr>
            <w:tcW w:w="1940" w:type="dxa"/>
            <w:vAlign w:val="bottom"/>
            <w:tcBorders>
              <w:right w:val="single" w:sz="8" w:color="010101"/>
            </w:tcBorders>
          </w:tcPr>
          <w:p>
            <w:pPr>
              <w:spacing w:after="0"/>
              <w:rPr>
                <w:sz w:val="22"/>
                <w:szCs w:val="22"/>
                <w:color w:val="auto"/>
              </w:rPr>
            </w:pPr>
          </w:p>
        </w:tc>
        <w:tc>
          <w:tcPr>
            <w:tcW w:w="100" w:type="dxa"/>
            <w:vAlign w:val="bottom"/>
            <w:tcBorders>
              <w:bottom w:val="single" w:sz="8" w:color="010101"/>
            </w:tcBorders>
          </w:tcPr>
          <w:p>
            <w:pPr>
              <w:spacing w:after="0"/>
              <w:rPr>
                <w:sz w:val="22"/>
                <w:szCs w:val="22"/>
                <w:color w:val="auto"/>
              </w:rPr>
            </w:pPr>
          </w:p>
        </w:tc>
        <w:tc>
          <w:tcPr>
            <w:tcW w:w="4220" w:type="dxa"/>
            <w:vAlign w:val="bottom"/>
            <w:tcBorders>
              <w:bottom w:val="single" w:sz="8" w:color="010101"/>
              <w:right w:val="single" w:sz="8" w:color="010101"/>
            </w:tcBorders>
            <w:gridSpan w:val="2"/>
          </w:tcPr>
          <w:p>
            <w:pPr>
              <w:spacing w:after="0"/>
              <w:rPr>
                <w:sz w:val="20"/>
                <w:szCs w:val="20"/>
                <w:color w:val="auto"/>
              </w:rPr>
            </w:pPr>
            <w:r>
              <w:rPr>
                <w:rFonts w:ascii="Arial" w:cs="Arial" w:eastAsia="Arial" w:hAnsi="Arial"/>
                <w:sz w:val="20"/>
                <w:szCs w:val="20"/>
                <w:color w:val="auto"/>
              </w:rPr>
              <w:t>4.00 to 1.00</w:t>
            </w:r>
          </w:p>
        </w:tc>
        <w:tc>
          <w:tcPr>
            <w:tcW w:w="2740" w:type="dxa"/>
            <w:vAlign w:val="bottom"/>
            <w:tcBorders>
              <w:bottom w:val="single" w:sz="8" w:color="010101"/>
              <w:right w:val="single" w:sz="8" w:color="010101"/>
            </w:tcBorders>
          </w:tcPr>
          <w:p>
            <w:pPr>
              <w:spacing w:after="0"/>
              <w:rPr>
                <w:sz w:val="22"/>
                <w:szCs w:val="22"/>
                <w:color w:val="auto"/>
              </w:rPr>
            </w:pPr>
          </w:p>
        </w:tc>
        <w:tc>
          <w:tcPr>
            <w:tcW w:w="2240" w:type="dxa"/>
            <w:vAlign w:val="bottom"/>
          </w:tcPr>
          <w:p>
            <w:pPr>
              <w:spacing w:after="0"/>
              <w:rPr>
                <w:sz w:val="22"/>
                <w:szCs w:val="22"/>
                <w:color w:val="auto"/>
              </w:rPr>
            </w:pPr>
          </w:p>
        </w:tc>
      </w:tr>
      <w:tr>
        <w:trPr>
          <w:trHeight w:val="449"/>
        </w:trPr>
        <w:tc>
          <w:tcPr>
            <w:tcW w:w="1940" w:type="dxa"/>
            <w:vAlign w:val="bottom"/>
          </w:tcPr>
          <w:p>
            <w:pPr>
              <w:spacing w:after="0"/>
              <w:rPr>
                <w:sz w:val="24"/>
                <w:szCs w:val="24"/>
                <w:color w:val="auto"/>
              </w:rPr>
            </w:pPr>
          </w:p>
        </w:tc>
        <w:tc>
          <w:tcPr>
            <w:tcW w:w="4320" w:type="dxa"/>
            <w:vAlign w:val="bottom"/>
            <w:gridSpan w:val="3"/>
          </w:tcPr>
          <w:p>
            <w:pPr>
              <w:jc w:val="right"/>
              <w:ind w:right="540"/>
              <w:spacing w:after="0"/>
              <w:rPr>
                <w:sz w:val="20"/>
                <w:szCs w:val="20"/>
                <w:color w:val="auto"/>
              </w:rPr>
            </w:pPr>
            <w:r>
              <w:rPr>
                <w:rFonts w:ascii="Arial" w:cs="Arial" w:eastAsia="Arial" w:hAnsi="Arial"/>
                <w:sz w:val="20"/>
                <w:szCs w:val="20"/>
                <w:color w:val="auto"/>
              </w:rPr>
              <w:t>19</w:t>
            </w:r>
          </w:p>
        </w:tc>
        <w:tc>
          <w:tcPr>
            <w:tcW w:w="27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1"/>
        </w:trPr>
        <w:tc>
          <w:tcPr>
            <w:tcW w:w="1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tbl>
      <w:tblPr>
        <w:tblLayout w:type="fixed"/>
        <w:tblInd w:w="1860" w:type="dxa"/>
        <w:tblCellMar>
          <w:top w:w="0" w:type="dxa"/>
          <w:left w:w="0" w:type="dxa"/>
          <w:bottom w:w="0" w:type="dxa"/>
          <w:right w:w="0" w:type="dxa"/>
        </w:tblCellMar>
      </w:tblPr>
      <w:tr>
        <w:trPr>
          <w:trHeight w:val="216"/>
        </w:trPr>
        <w:tc>
          <w:tcPr>
            <w:tcW w:w="4220" w:type="dxa"/>
            <w:vAlign w:val="bottom"/>
            <w:gridSpan w:val="2"/>
          </w:tcPr>
          <w:p>
            <w:pPr>
              <w:spacing w:after="0" w:line="196" w:lineRule="exact"/>
              <w:rPr>
                <w:sz w:val="20"/>
                <w:szCs w:val="20"/>
                <w:color w:val="auto"/>
              </w:rPr>
            </w:pPr>
            <w:r>
              <w:rPr>
                <w:rFonts w:ascii="Arial" w:cs="Arial" w:eastAsia="Arial" w:hAnsi="Arial"/>
                <w:sz w:val="20"/>
                <w:szCs w:val="20"/>
                <w:color w:val="auto"/>
              </w:rPr>
              <w:t>Category 3</w:t>
            </w:r>
          </w:p>
        </w:tc>
        <w:tc>
          <w:tcPr>
            <w:tcW w:w="2740" w:type="dxa"/>
            <w:vAlign w:val="bottom"/>
            <w:tcBorders>
              <w:top w:val="single" w:sz="8" w:color="010101"/>
              <w:right w:val="single" w:sz="8" w:color="010101"/>
            </w:tcBorders>
          </w:tcPr>
          <w:p>
            <w:pPr>
              <w:jc w:val="right"/>
              <w:ind w:right="1401"/>
              <w:spacing w:after="0" w:line="196" w:lineRule="exact"/>
              <w:rPr>
                <w:sz w:val="20"/>
                <w:szCs w:val="20"/>
                <w:color w:val="auto"/>
              </w:rPr>
            </w:pPr>
            <w:r>
              <w:rPr>
                <w:rFonts w:ascii="Arial" w:cs="Arial" w:eastAsia="Arial" w:hAnsi="Arial"/>
                <w:sz w:val="20"/>
                <w:szCs w:val="20"/>
                <w:color w:val="auto"/>
              </w:rPr>
              <w:t>0.25%</w:t>
            </w:r>
          </w:p>
        </w:tc>
      </w:tr>
      <w:tr>
        <w:trPr>
          <w:trHeight w:val="20"/>
        </w:trPr>
        <w:tc>
          <w:tcPr>
            <w:tcW w:w="8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40" w:type="dxa"/>
            <w:vAlign w:val="bottom"/>
            <w:tcBorders>
              <w:right w:val="single" w:sz="8" w:color="010101"/>
            </w:tcBorders>
          </w:tcPr>
          <w:p>
            <w:pPr>
              <w:spacing w:after="0" w:line="20" w:lineRule="exact"/>
              <w:rPr>
                <w:sz w:val="1"/>
                <w:szCs w:val="1"/>
                <w:color w:val="auto"/>
              </w:rPr>
            </w:pPr>
          </w:p>
        </w:tc>
      </w:tr>
      <w:tr>
        <w:trPr>
          <w:trHeight w:val="258"/>
        </w:trPr>
        <w:tc>
          <w:tcPr>
            <w:tcW w:w="4220" w:type="dxa"/>
            <w:vAlign w:val="bottom"/>
            <w:gridSpan w:val="2"/>
          </w:tcPr>
          <w:p>
            <w:pPr>
              <w:spacing w:after="0"/>
              <w:rPr>
                <w:sz w:val="20"/>
                <w:szCs w:val="20"/>
                <w:color w:val="auto"/>
              </w:rPr>
            </w:pPr>
            <w:r>
              <w:rPr>
                <w:rFonts w:ascii="Arial" w:cs="Arial" w:eastAsia="Arial" w:hAnsi="Arial"/>
                <w:sz w:val="20"/>
                <w:szCs w:val="20"/>
                <w:color w:val="auto"/>
              </w:rPr>
              <w:t>Less than 4.00 to 1.00</w:t>
            </w:r>
          </w:p>
        </w:tc>
        <w:tc>
          <w:tcPr>
            <w:tcW w:w="2740" w:type="dxa"/>
            <w:vAlign w:val="bottom"/>
            <w:tcBorders>
              <w:bottom w:val="single" w:sz="8" w:color="010101"/>
              <w:right w:val="single" w:sz="8" w:color="010101"/>
            </w:tcBorders>
          </w:tcPr>
          <w:p>
            <w:pPr>
              <w:spacing w:after="0"/>
              <w:rPr>
                <w:sz w:val="22"/>
                <w:szCs w:val="22"/>
                <w:color w:val="auto"/>
              </w:rPr>
            </w:pPr>
          </w:p>
        </w:tc>
      </w:tr>
    </w:tbl>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1411605</wp:posOffset>
            </wp:positionH>
            <wp:positionV relativeFrom="page">
              <wp:posOffset>88900</wp:posOffset>
            </wp:positionV>
            <wp:extent cx="2773680" cy="3378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02">
                      <a:extLst>
                        <a:ext uri="{28A0092B-C50C-407E-A947-70E740481C1C}"/>
                      </a:extLst>
                    </a:blip>
                    <a:srcRect/>
                    <a:stretch>
                      <a:fillRect/>
                    </a:stretch>
                  </pic:blipFill>
                  <pic:spPr bwMode="auto">
                    <a:xfrm>
                      <a:off x="0" y="0"/>
                      <a:ext cx="2773680" cy="337820"/>
                    </a:xfrm>
                    <a:prstGeom prst="rect">
                      <a:avLst/>
                    </a:prstGeom>
                    <a:noFill/>
                  </pic:spPr>
                </pic:pic>
              </a:graphicData>
            </a:graphic>
          </wp:anchor>
        </w:drawing>
      </w:r>
    </w:p>
    <w:p>
      <w:pPr>
        <w:jc w:val="both"/>
        <w:ind w:right="40" w:firstLine="1499"/>
        <w:spacing w:after="0" w:line="249" w:lineRule="auto"/>
        <w:rPr>
          <w:sz w:val="20"/>
          <w:szCs w:val="20"/>
          <w:color w:val="auto"/>
        </w:rPr>
      </w:pPr>
      <w:r>
        <w:rPr>
          <w:rFonts w:ascii="Arial" w:cs="Arial" w:eastAsia="Arial" w:hAnsi="Arial"/>
          <w:sz w:val="20"/>
          <w:szCs w:val="20"/>
          <w:color w:val="auto"/>
        </w:rPr>
        <w:t>For purposes of the foregoing, each change in the Commitment Fee Percentage resulting from a change in the Senior Secured First Lien Net Leverage Ratio shall be effective during the period commencing on and including the date of delivery to the Administrative Agent pursuant to</w:t>
      </w:r>
    </w:p>
    <w:p>
      <w:pPr>
        <w:spacing w:after="0" w:line="39" w:lineRule="exact"/>
        <w:rPr>
          <w:sz w:val="20"/>
          <w:szCs w:val="20"/>
          <w:color w:val="auto"/>
        </w:rPr>
      </w:pPr>
    </w:p>
    <w:p>
      <w:pPr>
        <w:jc w:val="both"/>
        <w:ind w:right="40"/>
        <w:spacing w:after="0" w:line="257" w:lineRule="auto"/>
        <w:rPr>
          <w:sz w:val="20"/>
          <w:szCs w:val="20"/>
          <w:color w:val="auto"/>
        </w:rPr>
      </w:pPr>
      <w:r>
        <w:rPr>
          <w:rFonts w:ascii="Arial" w:cs="Arial" w:eastAsia="Arial" w:hAnsi="Arial"/>
          <w:sz w:val="19"/>
          <w:szCs w:val="19"/>
          <w:color w:val="auto"/>
        </w:rPr>
        <w:t>Section 5.01(a) or 5.01(b) of the consolidated financial statements and related Compliance Certificate indicating such change and ending on the date immediately preceding the effective date of the next such change. Notwithstanding the foregoing, the Commitment Fee Percentage, at the option of the Administrative Agent or the Required Revolving Lenders, shall be based on the rates per annum set forth in the next highest category if the Borrower fails to deliver the consolidated financial statements required to be delivered pursuant to Section 5.01(a) or 5.01(b) within thirty (30) days after the time periods specified herein for such delivery, during the period commencing on the date that is thirty (30) days after the date such financial statements were required to be delivered pursuant to Section 5.01(a) or 5.01(b) until the date that such financial statements are so delivered.</w:t>
      </w:r>
    </w:p>
    <w:p>
      <w:pPr>
        <w:spacing w:after="0" w:line="1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means the commitment letter among the Borrower and the Joint Lead Arrangers dated as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March 31 2021.</w:t>
      </w:r>
    </w:p>
    <w:p>
      <w:pPr>
        <w:spacing w:after="0" w:line="226" w:lineRule="exact"/>
        <w:rPr>
          <w:sz w:val="20"/>
          <w:szCs w:val="20"/>
          <w:color w:val="auto"/>
        </w:rPr>
      </w:pPr>
    </w:p>
    <w:p>
      <w:pPr>
        <w:ind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u w:val="single" w:color="auto"/>
          <w:color w:val="auto"/>
        </w:rPr>
        <w:t>et seq</w:t>
      </w:r>
      <w:r>
        <w:rPr>
          <w:rFonts w:ascii="Arial" w:cs="Arial" w:eastAsia="Arial" w:hAnsi="Arial"/>
          <w:sz w:val="20"/>
          <w:szCs w:val="20"/>
          <w:color w:val="auto"/>
        </w:rPr>
        <w:t>.), as amended from time to time, and any successor statute.</w:t>
      </w:r>
    </w:p>
    <w:p>
      <w:pPr>
        <w:spacing w:after="0" w:line="189" w:lineRule="exact"/>
        <w:rPr>
          <w:sz w:val="20"/>
          <w:szCs w:val="20"/>
          <w:color w:val="auto"/>
        </w:rPr>
      </w:pPr>
    </w:p>
    <w:p>
      <w:pPr>
        <w:jc w:val="both"/>
        <w:ind w:right="6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 Act</w:t>
      </w:r>
      <w:r>
        <w:rPr>
          <w:rFonts w:ascii="Arial" w:cs="Arial" w:eastAsia="Arial" w:hAnsi="Arial"/>
          <w:sz w:val="20"/>
          <w:szCs w:val="20"/>
          <w:color w:val="auto"/>
        </w:rPr>
        <w:t>” means the Communications Act of 1934, as amended, and any similar or successor Federal statute, and the rules and regulations of the FCC or any other similar or successor agency thereunder.</w:t>
      </w:r>
    </w:p>
    <w:p>
      <w:pPr>
        <w:spacing w:after="0" w:line="203" w:lineRule="exact"/>
        <w:rPr>
          <w:sz w:val="20"/>
          <w:szCs w:val="20"/>
          <w:color w:val="auto"/>
        </w:rPr>
      </w:pPr>
    </w:p>
    <w:p>
      <w:pPr>
        <w:jc w:val="both"/>
        <w:ind w:right="60"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 Laws</w:t>
      </w:r>
      <w:r>
        <w:rPr>
          <w:rFonts w:ascii="Arial" w:cs="Arial" w:eastAsia="Arial" w:hAnsi="Arial"/>
          <w:sz w:val="20"/>
          <w:szCs w:val="20"/>
          <w:color w:val="auto"/>
        </w:rPr>
        <w:t>” means all laws, rules, regulations, codes, ordinances, orders, decrees, judgments, injunctions, notices or binding agreements issued , promulgated or entered into by a Governmental Authority (including the FCC) relating in any way to the use of radio frequency spectrum or the offering or provision of video, communications, telecommunications or information services (including the Communications Act).</w:t>
      </w:r>
    </w:p>
    <w:p>
      <w:pPr>
        <w:spacing w:after="0" w:line="28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means the certificate required to be delivered pursuant to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Section 5.01(d).</w:t>
      </w:r>
    </w:p>
    <w:p>
      <w:pPr>
        <w:spacing w:after="0" w:line="307" w:lineRule="exact"/>
        <w:rPr>
          <w:sz w:val="20"/>
          <w:szCs w:val="20"/>
          <w:color w:val="auto"/>
        </w:rPr>
      </w:pPr>
    </w:p>
    <w:p>
      <w:pPr>
        <w:jc w:val="both"/>
        <w:ind w:right="60"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Compounded SOFR</w:t>
      </w:r>
      <w:r>
        <w:rPr>
          <w:rFonts w:ascii="Arial" w:cs="Arial" w:eastAsia="Arial" w:hAnsi="Arial"/>
          <w:sz w:val="20"/>
          <w:szCs w:val="20"/>
          <w:color w:val="auto"/>
        </w:rPr>
        <w:t>” means the compounded average of SOFR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217" w:lineRule="exact"/>
        <w:rPr>
          <w:sz w:val="20"/>
          <w:szCs w:val="20"/>
          <w:color w:val="auto"/>
        </w:rPr>
      </w:pPr>
    </w:p>
    <w:p>
      <w:pPr>
        <w:ind w:firstLine="1467"/>
        <w:spacing w:after="0" w:line="260" w:lineRule="auto"/>
        <w:tabs>
          <w:tab w:leader="none" w:pos="1844"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the rate, or methodology for this rate, and conventions for this rate selected or recommended by the Relevant Governmental Body for determining compounded SOFR;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89" w:lineRule="exact"/>
        <w:rPr>
          <w:rFonts w:ascii="Arial" w:cs="Arial" w:eastAsia="Arial" w:hAnsi="Arial"/>
          <w:sz w:val="20"/>
          <w:szCs w:val="20"/>
          <w:color w:val="auto"/>
        </w:rPr>
      </w:pPr>
    </w:p>
    <w:p>
      <w:pPr>
        <w:jc w:val="both"/>
        <w:ind w:firstLine="1467"/>
        <w:spacing w:after="0" w:line="263" w:lineRule="auto"/>
        <w:tabs>
          <w:tab w:leader="none" w:pos="1844" w:val="left"/>
        </w:tabs>
        <w:numPr>
          <w:ilvl w:val="0"/>
          <w:numId w:val="97"/>
        </w:numPr>
        <w:rPr>
          <w:rFonts w:ascii="Arial" w:cs="Arial" w:eastAsia="Arial" w:hAnsi="Arial"/>
          <w:sz w:val="19"/>
          <w:szCs w:val="19"/>
          <w:color w:val="auto"/>
        </w:rPr>
      </w:pPr>
      <w:r>
        <w:rPr>
          <w:rFonts w:ascii="Arial" w:cs="Arial" w:eastAsia="Arial" w:hAnsi="Arial"/>
          <w:sz w:val="19"/>
          <w:szCs w:val="19"/>
          <w:color w:val="auto"/>
        </w:rPr>
        <w:t>if, and to the extent that, the Administrative Agent determines that Compounded SOFR cannot be determined in accordance with clause (1) above, then the rate, or methodology for this rate, and conventions for this rate that the Administrative Agent determines are substantially consistent with prevailing market convention for determining Compounded SOFR for U.S. dollar-denominated syndicated credit facilities at such time (as a result of amendment or as originally executed);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0" w:right="499" w:bottom="1440" w:gutter="0" w:footer="0" w:header="0"/>
        </w:sectPr>
      </w:pPr>
    </w:p>
    <w:bookmarkStart w:id="165" w:name="page166"/>
    <w:bookmarkEnd w:id="165"/>
    <w:p>
      <w:pPr>
        <w:jc w:val="both"/>
        <w:ind w:right="20" w:firstLine="1499"/>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w:t>
      </w:r>
    </w:p>
    <w:p>
      <w:pPr>
        <w:spacing w:after="0" w:line="207" w:lineRule="exact"/>
        <w:rPr>
          <w:sz w:val="20"/>
          <w:szCs w:val="20"/>
          <w:color w:val="auto"/>
        </w:rPr>
      </w:pPr>
    </w:p>
    <w:p>
      <w:pPr>
        <w:ind w:right="40" w:firstLine="1499"/>
        <w:spacing w:after="0" w:line="266" w:lineRule="auto"/>
        <w:rPr>
          <w:sz w:val="20"/>
          <w:szCs w:val="20"/>
          <w:color w:val="auto"/>
        </w:rPr>
      </w:pPr>
      <w:r>
        <w:rPr>
          <w:rFonts w:ascii="Arial" w:cs="Arial" w:eastAsia="Arial" w:hAnsi="Arial"/>
          <w:sz w:val="20"/>
          <w:szCs w:val="20"/>
          <w:b w:val="1"/>
          <w:bCs w:val="1"/>
          <w:u w:val="single" w:color="auto"/>
          <w:color w:val="0000FF"/>
        </w:rPr>
        <w:t>“Conforming Changes” means, with respect to either the use or administration of Term SOFR or the use, administration, adoption or implementation of any Benchmark</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u w:val="single" w:color="auto"/>
          <w:color w:val="0000FF"/>
        </w:rPr>
        <w:t>Replacement, any technical, administrative or operational changes (including changes to the definition of “ABR,”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the Borrower, is reasonably necessary in connection with the administration of this Agreement and the other Loan Documents).</w:t>
      </w:r>
    </w:p>
    <w:p>
      <w:pPr>
        <w:spacing w:after="0" w:line="273" w:lineRule="exact"/>
        <w:rPr>
          <w:sz w:val="20"/>
          <w:szCs w:val="20"/>
          <w:color w:val="auto"/>
        </w:rPr>
      </w:pPr>
    </w:p>
    <w:p>
      <w:pPr>
        <w:ind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203" w:lineRule="exact"/>
        <w:rPr>
          <w:sz w:val="20"/>
          <w:szCs w:val="20"/>
          <w:color w:val="auto"/>
        </w:rPr>
      </w:pPr>
    </w:p>
    <w:p>
      <w:pPr>
        <w:jc w:val="both"/>
        <w:ind w:firstLine="149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Interest Expense</w:t>
      </w:r>
      <w:r>
        <w:rPr>
          <w:rFonts w:ascii="Arial" w:cs="Arial" w:eastAsia="Arial" w:hAnsi="Arial"/>
          <w:sz w:val="18"/>
          <w:szCs w:val="18"/>
          <w:color w:val="auto"/>
        </w:rPr>
        <w:t>” means cash interest expense (including respect of Capitalized Lease Obligations and dividends in respect of Disqualified Equity Interests), net of cash interest income of the Borrower and its Restricted Subsidiaries, including all commissions, discounts and other cash fees and charges owed with respect to letters of credit and bankers’ acceptance financing and net cash costs (less net cash payments) under Swap Agreements, but excluding, for the avoidance of doubt, (a) any non-cash interest expense, (b) capitalized interest, whether paid or accrued, (c) the amortization of original issue discount resulting from the issuance of indebtedness at less than par, (d) amortization of deferred financing costs, debt issuance costs, commissions, fees and expenses, (e) any expenses resulting from discounting of Indebtedness in connection with the application of recapitalization account or purchase accounting, (f) penalties or interest related to taxes and any other amounts of non-cash interest resulting from the effects of acquisition method accounting or purchase accounting, (g) the accretion or accrual of, or accrued interest on, discounted liabilities (other than indebtedness) during such period, (h) non-cash interest expense attributable to the movement of the mark-to-market valuation of hedging Obligations or other derivative instruments pursuant to FASB Accounting Standards Codification No. 815-Derivatives and Hedging, (k) all non-recurring interest expenses consisting of liquidated damages for failure to timely comply with registration rights obligations, all as calculated on a consolidated basis in accordance with GAAP and (l) expensing of bridge, arrangement, structuring, commitment or other financing fees; provided however for purposes of determining the Cash Interest Coverage Ratio for any relevant Test Period prior to the first anniversary of the Closing Date, Consolidated Cash Interest Expense shall be calculated on an annualized basis.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66" w:name="page167"/>
    <w:bookmarkEnd w:id="166"/>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means, for any period, Consolidated Net Income for such</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period, </w:t>
      </w:r>
      <w:r>
        <w:rPr>
          <w:rFonts w:ascii="Arial" w:cs="Arial" w:eastAsia="Arial" w:hAnsi="Arial"/>
          <w:sz w:val="20"/>
          <w:szCs w:val="20"/>
          <w:u w:val="single" w:color="auto"/>
          <w:color w:val="auto"/>
        </w:rPr>
        <w:t>plus</w:t>
      </w:r>
      <w:r>
        <w:rPr>
          <w:rFonts w:ascii="Arial" w:cs="Arial" w:eastAsia="Arial" w:hAnsi="Arial"/>
          <w:sz w:val="20"/>
          <w:szCs w:val="20"/>
          <w:color w:val="auto"/>
        </w:rPr>
        <w:t>:</w:t>
      </w:r>
    </w:p>
    <w:p>
      <w:pPr>
        <w:spacing w:after="0" w:line="307" w:lineRule="exact"/>
        <w:rPr>
          <w:sz w:val="20"/>
          <w:szCs w:val="20"/>
          <w:color w:val="auto"/>
        </w:rPr>
      </w:pPr>
    </w:p>
    <w:p>
      <w:pPr>
        <w:ind w:left="900" w:firstLine="739"/>
        <w:spacing w:after="0" w:line="315" w:lineRule="auto"/>
        <w:tabs>
          <w:tab w:leader="none" w:pos="2326" w:val="left"/>
        </w:tabs>
        <w:numPr>
          <w:ilvl w:val="1"/>
          <w:numId w:val="98"/>
        </w:numPr>
        <w:rPr>
          <w:rFonts w:ascii="Arial" w:cs="Arial" w:eastAsia="Arial" w:hAnsi="Arial"/>
          <w:sz w:val="18"/>
          <w:szCs w:val="18"/>
          <w:color w:val="auto"/>
        </w:rPr>
      </w:pPr>
      <w:r>
        <w:rPr>
          <w:rFonts w:ascii="Arial" w:cs="Arial" w:eastAsia="Arial" w:hAnsi="Arial"/>
          <w:sz w:val="18"/>
          <w:szCs w:val="18"/>
          <w:color w:val="auto"/>
        </w:rPr>
        <w:t>without duplication and to the extent deducted (and not added back), other than with respect to clauses (xvi), (xx) and (xxi), in arriving at such Consolidated Net Income, the sum of the following amounts for such period:</w:t>
      </w:r>
    </w:p>
    <w:p>
      <w:pPr>
        <w:spacing w:after="0" w:line="157" w:lineRule="exact"/>
        <w:rPr>
          <w:rFonts w:ascii="Arial" w:cs="Arial" w:eastAsia="Arial" w:hAnsi="Arial"/>
          <w:sz w:val="18"/>
          <w:szCs w:val="18"/>
          <w:color w:val="auto"/>
        </w:rPr>
      </w:pPr>
    </w:p>
    <w:p>
      <w:pPr>
        <w:ind w:left="3480" w:hanging="1092"/>
        <w:spacing w:after="0"/>
        <w:tabs>
          <w:tab w:leader="none" w:pos="3480" w:val="left"/>
        </w:tabs>
        <w:numPr>
          <w:ilvl w:val="2"/>
          <w:numId w:val="98"/>
        </w:numPr>
        <w:rPr>
          <w:rFonts w:ascii="Arial" w:cs="Arial" w:eastAsia="Arial" w:hAnsi="Arial"/>
          <w:sz w:val="16"/>
          <w:szCs w:val="16"/>
          <w:color w:val="auto"/>
        </w:rPr>
      </w:pPr>
      <w:r>
        <w:rPr>
          <w:rFonts w:ascii="Arial" w:cs="Arial" w:eastAsia="Arial" w:hAnsi="Arial"/>
          <w:sz w:val="16"/>
          <w:szCs w:val="16"/>
          <w:color w:val="auto"/>
        </w:rPr>
        <w:t>total interest expense and, to the extent not reflected in such total interest expense, the sum of</w:t>
      </w:r>
    </w:p>
    <w:p>
      <w:pPr>
        <w:spacing w:after="0" w:line="61" w:lineRule="exact"/>
        <w:rPr>
          <w:rFonts w:ascii="Arial" w:cs="Arial" w:eastAsia="Arial" w:hAnsi="Arial"/>
          <w:sz w:val="16"/>
          <w:szCs w:val="16"/>
          <w:color w:val="auto"/>
        </w:rPr>
      </w:pPr>
    </w:p>
    <w:p>
      <w:pPr>
        <w:jc w:val="both"/>
        <w:ind w:left="900" w:hanging="9"/>
        <w:spacing w:after="0" w:line="269" w:lineRule="auto"/>
        <w:tabs>
          <w:tab w:leader="none" w:pos="12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premium payments, debt discount, fees, charges and related expenses incurred in connection with borrowed money (including capitalized interest) or in connection with the deferred purchase price of assets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portion of rent expense with respect to such period under Capitalized Leases that is treated as interest expense in accordance with GAAP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implied interest component of synthetic leases with respect to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bank and letter of credit fees and banker’s acceptance fees and costs of surety bonds in connection with financing activities,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any commissions, discounts, yield and other fees and charges (including any interest expense) related to any Qualified Securitization Facility plus (G) all cash dividend payments on any series of preferred stock or Disqualified Equity Interests, in each case, that constitutes Indebtedness;</w:t>
      </w:r>
    </w:p>
    <w:p>
      <w:pPr>
        <w:spacing w:after="0" w:line="188" w:lineRule="exact"/>
        <w:rPr>
          <w:rFonts w:ascii="Arial" w:cs="Arial" w:eastAsia="Arial" w:hAnsi="Arial"/>
          <w:sz w:val="18"/>
          <w:szCs w:val="18"/>
          <w:color w:val="auto"/>
        </w:rPr>
      </w:pPr>
    </w:p>
    <w:p>
      <w:pPr>
        <w:jc w:val="both"/>
        <w:ind w:left="900" w:firstLine="1488"/>
        <w:spacing w:after="0" w:line="269" w:lineRule="auto"/>
        <w:tabs>
          <w:tab w:leader="none" w:pos="3487" w:val="left"/>
        </w:tabs>
        <w:numPr>
          <w:ilvl w:val="2"/>
          <w:numId w:val="99"/>
        </w:numPr>
        <w:rPr>
          <w:rFonts w:ascii="Arial" w:cs="Arial" w:eastAsia="Arial" w:hAnsi="Arial"/>
          <w:sz w:val="19"/>
          <w:szCs w:val="19"/>
          <w:color w:val="auto"/>
        </w:rPr>
      </w:pPr>
      <w:r>
        <w:rPr>
          <w:rFonts w:ascii="Arial" w:cs="Arial" w:eastAsia="Arial" w:hAnsi="Arial"/>
          <w:sz w:val="19"/>
          <w:szCs w:val="19"/>
          <w:color w:val="auto"/>
        </w:rPr>
        <w:t>provision for taxes based on income, profits or capital and sales taxes, including federal, foreign, state, franchise, excise, and similar taxes paid or accrued during such period (including in respect of repatriated funds) including penalties and interest related to such taxes or arising from any tax examinations;</w:t>
      </w:r>
    </w:p>
    <w:p>
      <w:pPr>
        <w:spacing w:after="0" w:line="182" w:lineRule="exact"/>
        <w:rPr>
          <w:rFonts w:ascii="Arial" w:cs="Arial" w:eastAsia="Arial" w:hAnsi="Arial"/>
          <w:sz w:val="19"/>
          <w:szCs w:val="19"/>
          <w:color w:val="auto"/>
        </w:rPr>
      </w:pPr>
    </w:p>
    <w:p>
      <w:pPr>
        <w:ind w:left="3480" w:hanging="1092"/>
        <w:spacing w:after="0"/>
        <w:tabs>
          <w:tab w:leader="none" w:pos="3480" w:val="left"/>
        </w:tabs>
        <w:numPr>
          <w:ilvl w:val="2"/>
          <w:numId w:val="99"/>
        </w:numPr>
        <w:rPr>
          <w:rFonts w:ascii="Arial" w:cs="Arial" w:eastAsia="Arial" w:hAnsi="Arial"/>
          <w:sz w:val="20"/>
          <w:szCs w:val="20"/>
          <w:color w:val="auto"/>
        </w:rPr>
      </w:pPr>
      <w:r>
        <w:rPr>
          <w:rFonts w:ascii="Arial" w:cs="Arial" w:eastAsia="Arial" w:hAnsi="Arial"/>
          <w:sz w:val="20"/>
          <w:szCs w:val="20"/>
          <w:color w:val="auto"/>
        </w:rPr>
        <w:t>Non-Cash Charges as elected by the Borrower;</w:t>
      </w:r>
    </w:p>
    <w:p>
      <w:pPr>
        <w:spacing w:after="0" w:line="241" w:lineRule="exact"/>
        <w:rPr>
          <w:rFonts w:ascii="Arial" w:cs="Arial" w:eastAsia="Arial" w:hAnsi="Arial"/>
          <w:sz w:val="20"/>
          <w:szCs w:val="20"/>
          <w:color w:val="auto"/>
        </w:rPr>
      </w:pPr>
    </w:p>
    <w:p>
      <w:pPr>
        <w:jc w:val="both"/>
        <w:ind w:left="900" w:firstLine="1488"/>
        <w:spacing w:after="0" w:line="249" w:lineRule="auto"/>
        <w:tabs>
          <w:tab w:leader="none" w:pos="3487" w:val="left"/>
        </w:tabs>
        <w:numPr>
          <w:ilvl w:val="2"/>
          <w:numId w:val="99"/>
        </w:numPr>
        <w:rPr>
          <w:rFonts w:ascii="Arial" w:cs="Arial" w:eastAsia="Arial" w:hAnsi="Arial"/>
          <w:sz w:val="20"/>
          <w:szCs w:val="20"/>
          <w:color w:val="auto"/>
        </w:rPr>
      </w:pPr>
      <w:r>
        <w:rPr>
          <w:rFonts w:ascii="Arial" w:cs="Arial" w:eastAsia="Arial" w:hAnsi="Arial"/>
          <w:sz w:val="20"/>
          <w:szCs w:val="20"/>
          <w:color w:val="auto"/>
        </w:rPr>
        <w:t>operating expenses incurred on or prior to the Effective Date attributable to (A) salary obligations paid to employees terminated prior to the Effective Date and (B) wages paid to executives in excess of the amounts Gogo and its Subsidiaries are required to pay pursuant to any employment agreements;</w:t>
      </w:r>
    </w:p>
    <w:p>
      <w:pPr>
        <w:spacing w:after="0" w:line="214" w:lineRule="exact"/>
        <w:rPr>
          <w:rFonts w:ascii="Arial" w:cs="Arial" w:eastAsia="Arial" w:hAnsi="Arial"/>
          <w:sz w:val="20"/>
          <w:szCs w:val="20"/>
          <w:color w:val="auto"/>
        </w:rPr>
      </w:pPr>
    </w:p>
    <w:p>
      <w:pPr>
        <w:ind w:left="3480" w:hanging="1092"/>
        <w:spacing w:after="0"/>
        <w:tabs>
          <w:tab w:leader="none" w:pos="3480" w:val="left"/>
        </w:tabs>
        <w:numPr>
          <w:ilvl w:val="2"/>
          <w:numId w:val="99"/>
        </w:numPr>
        <w:rPr>
          <w:rFonts w:ascii="Arial" w:cs="Arial" w:eastAsia="Arial" w:hAnsi="Arial"/>
          <w:sz w:val="20"/>
          <w:szCs w:val="20"/>
          <w:color w:val="auto"/>
        </w:rPr>
      </w:pPr>
      <w:r>
        <w:rPr>
          <w:rFonts w:ascii="Arial" w:cs="Arial" w:eastAsia="Arial" w:hAnsi="Arial"/>
          <w:sz w:val="20"/>
          <w:szCs w:val="20"/>
          <w:color w:val="auto"/>
        </w:rPr>
        <w:t>extraordinary charges, expenses or losses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5024120</wp:posOffset>
            </wp:positionH>
            <wp:positionV relativeFrom="paragraph">
              <wp:posOffset>-1924050</wp:posOffset>
            </wp:positionV>
            <wp:extent cx="2489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05">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204" w:right="499" w:bottom="1440" w:gutter="0" w:footer="0" w:header="0"/>
        </w:sectPr>
      </w:pPr>
    </w:p>
    <w:bookmarkStart w:id="167" w:name="page168"/>
    <w:bookmarkEnd w:id="167"/>
    <w:p>
      <w:pPr>
        <w:jc w:val="both"/>
        <w:ind w:left="-40" w:firstLine="1488"/>
        <w:spacing w:after="0" w:line="306" w:lineRule="auto"/>
        <w:tabs>
          <w:tab w:leader="none" w:pos="25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unusual, exceptional or non-recurring charges, expenses or losses and any other charge, expense or loss not in the ordinary course of business (including any unusual or non-recurring operating expenses directly attributable to the implementation of cost savings initiatives), integration costs, severance, relocation costs, office and facilities’ opening costs and other business optimization expenses (including related to new product introductions and new system design and implementation costs), recruiting costs and fees, signing fees, expenses, costs and bonuses, retention or completion bonuses, contract termination costs, transaction fees and expenses, transition costs, systems establishment costs, costs related to closure/consolidation of office and facilities, costs related to the implementation of operational and reporting systems and technology initiatives, consulting fees and expenses, any one time expense relating to enhanced accounting function or other transaction costs (including those associated with becoming a standalone entity or a public company), expenses relating to any decommissioning or reconfiguration of fixed assets for alternative use, costs incurred in connection with acquisitions and non-recurring intellectual property development, internal costs in respect of strategic initiatives and curtailments or modifications to pension and post-retirement employee benefit plans (including any settlement of pension liabilities), project start up costs, Public Company Costs or any other costs incurred in connection with any of the foregoing;</w:t>
      </w:r>
    </w:p>
    <w:p>
      <w:pPr>
        <w:spacing w:after="0" w:line="395" w:lineRule="exact"/>
        <w:rPr>
          <w:rFonts w:ascii="Arial" w:cs="Arial" w:eastAsia="Arial" w:hAnsi="Arial"/>
          <w:sz w:val="16"/>
          <w:szCs w:val="16"/>
          <w:color w:val="auto"/>
        </w:rPr>
      </w:pPr>
    </w:p>
    <w:p>
      <w:pPr>
        <w:jc w:val="both"/>
        <w:ind w:left="-40" w:firstLine="1488"/>
        <w:spacing w:after="0" w:line="290" w:lineRule="auto"/>
        <w:tabs>
          <w:tab w:leader="none" w:pos="25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restructuring costs, charges, accruals or reserves (including restructuring and integration costs related to acquisitions and adjustments to existing reserves, including with respect to the items described in clause (III) below), whether or not classified as restructuring expense on the consolidated financial statements;</w:t>
      </w:r>
    </w:p>
    <w:p>
      <w:pPr>
        <w:spacing w:after="0" w:line="166" w:lineRule="exact"/>
        <w:rPr>
          <w:rFonts w:ascii="Arial" w:cs="Arial" w:eastAsia="Arial" w:hAnsi="Arial"/>
          <w:sz w:val="18"/>
          <w:szCs w:val="18"/>
          <w:color w:val="auto"/>
        </w:rPr>
      </w:pPr>
    </w:p>
    <w:p>
      <w:pPr>
        <w:jc w:val="both"/>
        <w:ind w:left="-40" w:right="20" w:firstLine="1488"/>
        <w:spacing w:after="0" w:line="249" w:lineRule="auto"/>
        <w:tabs>
          <w:tab w:leader="none" w:pos="2547" w:val="left"/>
        </w:tabs>
        <w:numPr>
          <w:ilvl w:val="0"/>
          <w:numId w:val="100"/>
        </w:numPr>
        <w:rPr>
          <w:rFonts w:ascii="Arial" w:cs="Arial" w:eastAsia="Arial" w:hAnsi="Arial"/>
          <w:sz w:val="20"/>
          <w:szCs w:val="20"/>
          <w:color w:val="auto"/>
        </w:rPr>
      </w:pPr>
      <w:r>
        <w:rPr>
          <w:rFonts w:ascii="Arial" w:cs="Arial" w:eastAsia="Arial" w:hAnsi="Arial"/>
          <w:sz w:val="20"/>
          <w:szCs w:val="20"/>
          <w:color w:val="auto"/>
        </w:rPr>
        <w:t>minority interest expense and the amount of any non-controlling interest consisting of income attributable to non-controlling interests of third parties in any Non-Wholly Owned Subsidiary deducted (and not added back in such period) in calculating Consolidated Net Income;</w:t>
      </w:r>
    </w:p>
    <w:p>
      <w:pPr>
        <w:spacing w:after="0" w:line="214" w:lineRule="exact"/>
        <w:rPr>
          <w:rFonts w:ascii="Arial" w:cs="Arial" w:eastAsia="Arial" w:hAnsi="Arial"/>
          <w:sz w:val="20"/>
          <w:szCs w:val="20"/>
          <w:color w:val="auto"/>
        </w:rPr>
      </w:pPr>
    </w:p>
    <w:p>
      <w:pPr>
        <w:jc w:val="both"/>
        <w:ind w:left="-40" w:firstLine="1488"/>
        <w:spacing w:after="0" w:line="244" w:lineRule="auto"/>
        <w:tabs>
          <w:tab w:leader="none" w:pos="2547"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amount of expenses relating to payments made to option holders of the Borrower, Holdings or any Holdings Parent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Loan Documents;</w:t>
      </w:r>
    </w:p>
    <w:p>
      <w:pPr>
        <w:spacing w:after="0" w:line="206" w:lineRule="exact"/>
        <w:rPr>
          <w:rFonts w:ascii="Arial" w:cs="Arial" w:eastAsia="Arial" w:hAnsi="Arial"/>
          <w:sz w:val="20"/>
          <w:szCs w:val="20"/>
          <w:color w:val="auto"/>
        </w:rPr>
      </w:pPr>
    </w:p>
    <w:p>
      <w:pPr>
        <w:jc w:val="both"/>
        <w:ind w:left="-40" w:right="20" w:firstLine="1488"/>
        <w:spacing w:after="0" w:line="249" w:lineRule="auto"/>
        <w:tabs>
          <w:tab w:leader="none" w:pos="2547"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 losses on asset sales, disposals or abandonments (other than asset sales, disposals or abandonments in the ordinary course of business) and (B) any net loss from operations expected to be disposed of, abandoned or discontinued within twelve months after the end of such period;</w:t>
      </w:r>
    </w:p>
    <w:p>
      <w:pPr>
        <w:spacing w:after="0" w:line="214" w:lineRule="exact"/>
        <w:rPr>
          <w:rFonts w:ascii="Arial" w:cs="Arial" w:eastAsia="Arial" w:hAnsi="Arial"/>
          <w:sz w:val="20"/>
          <w:szCs w:val="20"/>
          <w:color w:val="auto"/>
        </w:rPr>
      </w:pPr>
    </w:p>
    <w:p>
      <w:pPr>
        <w:jc w:val="both"/>
        <w:ind w:left="-40" w:right="20" w:firstLine="1488"/>
        <w:spacing w:after="0" w:line="246" w:lineRule="auto"/>
        <w:tabs>
          <w:tab w:leader="none" w:pos="2547"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non-cash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w:t>
      </w:r>
    </w:p>
    <w:p>
      <w:pPr>
        <w:spacing w:after="0" w:line="203" w:lineRule="exact"/>
        <w:rPr>
          <w:rFonts w:ascii="Arial" w:cs="Arial" w:eastAsia="Arial" w:hAnsi="Arial"/>
          <w:sz w:val="20"/>
          <w:szCs w:val="20"/>
          <w:color w:val="auto"/>
        </w:rPr>
      </w:pPr>
    </w:p>
    <w:p>
      <w:pPr>
        <w:ind w:left="-40" w:right="20" w:firstLine="1488"/>
        <w:spacing w:after="0" w:line="260" w:lineRule="auto"/>
        <w:tabs>
          <w:tab w:leader="none" w:pos="2547"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loss relating to amounts paid in cash prior to the stated settlement date of any hedging obligation that has been reflected in Consolidated Net Income for such period;</w:t>
      </w:r>
    </w:p>
    <w:p>
      <w:pPr>
        <w:spacing w:after="0" w:line="202" w:lineRule="exact"/>
        <w:rPr>
          <w:rFonts w:ascii="Arial" w:cs="Arial" w:eastAsia="Arial" w:hAnsi="Arial"/>
          <w:sz w:val="20"/>
          <w:szCs w:val="20"/>
          <w:color w:val="auto"/>
        </w:rPr>
      </w:pPr>
    </w:p>
    <w:p>
      <w:pPr>
        <w:ind w:left="2540" w:hanging="1092"/>
        <w:spacing w:after="0"/>
        <w:tabs>
          <w:tab w:leader="none" w:pos="25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3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22" w:right="499" w:bottom="1440" w:gutter="0" w:footer="0" w:header="0"/>
        </w:sectPr>
      </w:pPr>
    </w:p>
    <w:bookmarkStart w:id="168" w:name="page169"/>
    <w:bookmarkEnd w:id="168"/>
    <w:p>
      <w:pPr>
        <w:jc w:val="both"/>
        <w:ind w:left="-40" w:firstLine="1488"/>
        <w:spacing w:after="0" w:line="260" w:lineRule="auto"/>
        <w:tabs>
          <w:tab w:leader="none" w:pos="254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the Borrower or Net Proceeds of an issuance of Equity Interests of Holdings (other than Disqualified Equity Interests);</w:t>
      </w:r>
    </w:p>
    <w:p>
      <w:pPr>
        <w:spacing w:after="0" w:line="193" w:lineRule="exact"/>
        <w:rPr>
          <w:rFonts w:ascii="Arial" w:cs="Arial" w:eastAsia="Arial" w:hAnsi="Arial"/>
          <w:sz w:val="19"/>
          <w:szCs w:val="19"/>
          <w:color w:val="auto"/>
        </w:rPr>
      </w:pPr>
    </w:p>
    <w:p>
      <w:pPr>
        <w:jc w:val="both"/>
        <w:ind w:left="-40" w:firstLine="1488"/>
        <w:spacing w:after="0" w:line="246" w:lineRule="auto"/>
        <w:tabs>
          <w:tab w:leader="none" w:pos="254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216" w:lineRule="exact"/>
        <w:rPr>
          <w:rFonts w:ascii="Arial" w:cs="Arial" w:eastAsia="Arial" w:hAnsi="Arial"/>
          <w:sz w:val="20"/>
          <w:szCs w:val="20"/>
          <w:color w:val="auto"/>
        </w:rPr>
      </w:pPr>
    </w:p>
    <w:p>
      <w:pPr>
        <w:jc w:val="both"/>
        <w:ind w:left="-40" w:firstLine="1488"/>
        <w:spacing w:after="0" w:line="263" w:lineRule="auto"/>
        <w:tabs>
          <w:tab w:leader="none" w:pos="254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 any add-backs and adjustments of the type set forth in the Model or the Information Memorandum, (B) adjustments specified in any quality of earnings or similar report prepared by independent certified public accountants of nationally recognized standing or any other accounting firm reasonably acceptable to the Administrative Agent in connection with any acquisition and (C) adjustments consistent with Regulation S-X;</w:t>
      </w:r>
    </w:p>
    <w:p>
      <w:pPr>
        <w:spacing w:after="0" w:line="13" w:lineRule="exact"/>
        <w:rPr>
          <w:rFonts w:ascii="Arial" w:cs="Arial" w:eastAsia="Arial" w:hAnsi="Arial"/>
          <w:sz w:val="19"/>
          <w:szCs w:val="19"/>
          <w:color w:val="auto"/>
        </w:rPr>
      </w:pPr>
    </w:p>
    <w:p>
      <w:pPr>
        <w:ind w:left="-40" w:firstLine="1488"/>
        <w:spacing w:after="0" w:line="260" w:lineRule="auto"/>
        <w:tabs>
          <w:tab w:leader="none" w:pos="254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amount of losses on Dispositions of accounts receivable, Securitization Assets and related assets incurred in connection with a Qualified Securitization Facility;</w:t>
      </w:r>
    </w:p>
    <w:p>
      <w:pPr>
        <w:spacing w:after="0" w:line="202" w:lineRule="exact"/>
        <w:rPr>
          <w:rFonts w:ascii="Arial" w:cs="Arial" w:eastAsia="Arial" w:hAnsi="Arial"/>
          <w:sz w:val="20"/>
          <w:szCs w:val="20"/>
          <w:color w:val="auto"/>
        </w:rPr>
      </w:pPr>
    </w:p>
    <w:p>
      <w:pPr>
        <w:jc w:val="both"/>
        <w:ind w:left="-40" w:firstLine="1488"/>
        <w:spacing w:after="0" w:line="249" w:lineRule="auto"/>
        <w:tabs>
          <w:tab w:leader="none" w:pos="254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increase in expenses resulting from the revaluation of inventory (including any impact of changes of inventory valuation policy methods including changes in capitalization of variances), other inventory adjustments or any increase in expenses due to purchase accounting;</w:t>
      </w:r>
    </w:p>
    <w:p>
      <w:pPr>
        <w:spacing w:after="0" w:line="201" w:lineRule="exact"/>
        <w:rPr>
          <w:rFonts w:ascii="Arial" w:cs="Arial" w:eastAsia="Arial" w:hAnsi="Arial"/>
          <w:sz w:val="20"/>
          <w:szCs w:val="20"/>
          <w:color w:val="auto"/>
        </w:rPr>
      </w:pPr>
    </w:p>
    <w:p>
      <w:pPr>
        <w:jc w:val="both"/>
        <w:ind w:left="-40" w:firstLine="1488"/>
        <w:spacing w:after="0" w:line="246" w:lineRule="auto"/>
        <w:tabs>
          <w:tab w:leader="none" w:pos="254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charges, losses or expenses to the extent indemnified or insured or reimbursed or otherwise paid in cash by a third party (or reasonably expected to be so paid or reimbursed within 365 days after the end of such period (with a deduction in the applicable future period for any amount so added back to the extent not so reimbursed within such 365 days));</w:t>
      </w:r>
    </w:p>
    <w:p>
      <w:pPr>
        <w:spacing w:after="0" w:line="216" w:lineRule="exact"/>
        <w:rPr>
          <w:rFonts w:ascii="Arial" w:cs="Arial" w:eastAsia="Arial" w:hAnsi="Arial"/>
          <w:sz w:val="20"/>
          <w:szCs w:val="20"/>
          <w:color w:val="auto"/>
        </w:rPr>
      </w:pPr>
    </w:p>
    <w:p>
      <w:pPr>
        <w:jc w:val="both"/>
        <w:ind w:left="-40" w:firstLine="1488"/>
        <w:spacing w:after="0" w:line="249" w:lineRule="auto"/>
        <w:tabs>
          <w:tab w:leader="none" w:pos="254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solely for purposes of determining compliance with the Financial Performance Covenant in respect of any period which includes the exercise of a Cure Right (but not for the determination of Consolidated EBITDA for any other purposes), any Cure Amount;</w:t>
      </w:r>
    </w:p>
    <w:p>
      <w:pPr>
        <w:spacing w:after="0" w:line="201" w:lineRule="exact"/>
        <w:rPr>
          <w:rFonts w:ascii="Arial" w:cs="Arial" w:eastAsia="Arial" w:hAnsi="Arial"/>
          <w:sz w:val="20"/>
          <w:szCs w:val="20"/>
          <w:color w:val="auto"/>
        </w:rPr>
      </w:pPr>
    </w:p>
    <w:p>
      <w:pPr>
        <w:jc w:val="both"/>
        <w:ind w:left="-40" w:right="20" w:firstLine="1488"/>
        <w:spacing w:after="0" w:line="249" w:lineRule="auto"/>
        <w:tabs>
          <w:tab w:leader="none" w:pos="254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to the extent that any Holdings Parent Specified Expenses would have been added back to Consolidated EBITDA pursuant to clauses (a)(i) through (xx) above had such charge, tax or expense been incurred directly by Holdings, such Holdings Parent Specified Expenses; and</w:t>
      </w:r>
    </w:p>
    <w:p>
      <w:pPr>
        <w:spacing w:after="0" w:line="214" w:lineRule="exact"/>
        <w:rPr>
          <w:rFonts w:ascii="Arial" w:cs="Arial" w:eastAsia="Arial" w:hAnsi="Arial"/>
          <w:sz w:val="20"/>
          <w:szCs w:val="20"/>
          <w:color w:val="auto"/>
        </w:rPr>
      </w:pPr>
    </w:p>
    <w:p>
      <w:pPr>
        <w:jc w:val="both"/>
        <w:ind w:left="-40" w:firstLine="1488"/>
        <w:spacing w:after="0" w:line="244" w:lineRule="auto"/>
        <w:tabs>
          <w:tab w:leader="none" w:pos="254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costs, charges, accruals, reserves or expenses (including rationalization, legal, tax, structuring, financial advisory, investment banking, any transaction or retention bonus or similar payment and fees, costs and expenses of any counsel, consultants or other advisors and other costs and expenses) attributable to the undertaking and/or implementation of any Specified Transaction or any of the items in clause (b) and/or clauses (II) and (III) to the proviso below (in each case, whether or not consummated);</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0"/>
          <w:szCs w:val="20"/>
          <w:u w:val="single" w:color="auto"/>
          <w:color w:val="auto"/>
        </w:rPr>
        <w:t>plus</w:t>
      </w:r>
    </w:p>
    <w:p>
      <w:pPr>
        <w:spacing w:after="0" w:line="200" w:lineRule="exact"/>
        <w:rPr>
          <w:sz w:val="20"/>
          <w:szCs w:val="20"/>
          <w:color w:val="auto"/>
        </w:rPr>
      </w:pPr>
    </w:p>
    <w:p>
      <w:pPr>
        <w:spacing w:after="0" w:line="24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22" w:right="499" w:bottom="1440" w:gutter="0" w:footer="0" w:header="0"/>
        </w:sectPr>
      </w:pPr>
    </w:p>
    <w:bookmarkStart w:id="169" w:name="page170"/>
    <w:bookmarkEnd w:id="169"/>
    <w:p>
      <w:pPr>
        <w:jc w:val="both"/>
        <w:ind w:left="900" w:firstLine="739"/>
        <w:spacing w:after="0" w:line="269" w:lineRule="auto"/>
        <w:tabs>
          <w:tab w:leader="none" w:pos="232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without duplication, the amount of “run rate” cost savings, operating expense reductions, other operating improvements and “run rate” synergies related to the Transactions, any Specified Transaction, any restructuring, cost saving initiative or other initiative, in each case, which are factually supportable and projected by the Borrower in good faith to result from actions with respect to which substantial steps have been, will be, or are expected to be taken (in the good faith determination of the Borrower), in each case on or prior to the date that is 24 months after such Transactions, Specified Transaction, restructuring, cost saving initiative or other initiative is initiated (including new contracts and optimization actions and including actions initiated 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cost savings, operating expense reductions, other operating improvements or synergies shall be added pursuant to this clause (b) to the extent duplicative of any expenses or charges relating to such cost savings, operating expense reductions or synergies that are included in clauses (a)(vi) and (a)(vii) above or in the definition of “Pro Forma Adjustment” (it being understood and agreed that “run rate” shall mean the full recurring benefit that is associated with any action taken);</w:t>
      </w:r>
    </w:p>
    <w:p>
      <w:pPr>
        <w:spacing w:after="0" w:line="204" w:lineRule="exact"/>
        <w:rPr>
          <w:sz w:val="20"/>
          <w:szCs w:val="20"/>
          <w:color w:val="auto"/>
        </w:rPr>
      </w:pPr>
    </w:p>
    <w:p>
      <w:pPr>
        <w:ind w:left="2380"/>
        <w:spacing w:after="0"/>
        <w:rPr>
          <w:sz w:val="20"/>
          <w:szCs w:val="20"/>
          <w:color w:val="auto"/>
        </w:rPr>
      </w:pPr>
      <w:r>
        <w:rPr>
          <w:rFonts w:ascii="Arial" w:cs="Arial" w:eastAsia="Arial" w:hAnsi="Arial"/>
          <w:sz w:val="20"/>
          <w:szCs w:val="20"/>
          <w:u w:val="single" w:color="auto"/>
          <w:color w:val="auto"/>
        </w:rPr>
        <w:t>plus</w:t>
      </w:r>
    </w:p>
    <w:p>
      <w:pPr>
        <w:spacing w:after="0" w:line="309" w:lineRule="exact"/>
        <w:rPr>
          <w:sz w:val="20"/>
          <w:szCs w:val="20"/>
          <w:color w:val="auto"/>
        </w:rPr>
      </w:pPr>
    </w:p>
    <w:p>
      <w:pPr>
        <w:jc w:val="both"/>
        <w:ind w:left="900" w:firstLine="739"/>
        <w:spacing w:after="0" w:line="260" w:lineRule="auto"/>
        <w:tabs>
          <w:tab w:leader="none" w:pos="232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to the extent covered by business interruption insurance and actually reimbursed or otherwise paid in cash, expenses or losses relating to business interruption or, so long as Holdings or the Borrower has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 days);</w:t>
      </w:r>
    </w:p>
    <w:p>
      <w:pPr>
        <w:spacing w:after="0" w:line="205" w:lineRule="exact"/>
        <w:rPr>
          <w:sz w:val="20"/>
          <w:szCs w:val="20"/>
          <w:color w:val="auto"/>
        </w:rPr>
      </w:pPr>
    </w:p>
    <w:p>
      <w:pPr>
        <w:ind w:left="2380"/>
        <w:spacing w:after="0"/>
        <w:rPr>
          <w:sz w:val="20"/>
          <w:szCs w:val="20"/>
          <w:color w:val="auto"/>
        </w:rPr>
      </w:pPr>
      <w:r>
        <w:rPr>
          <w:rFonts w:ascii="Arial" w:cs="Arial" w:eastAsia="Arial" w:hAnsi="Arial"/>
          <w:sz w:val="20"/>
          <w:szCs w:val="20"/>
          <w:u w:val="single" w:color="auto"/>
          <w:color w:val="auto"/>
        </w:rPr>
        <w:t>less</w:t>
      </w:r>
    </w:p>
    <w:p>
      <w:pPr>
        <w:spacing w:after="0" w:line="323" w:lineRule="exact"/>
        <w:rPr>
          <w:sz w:val="20"/>
          <w:szCs w:val="20"/>
          <w:color w:val="auto"/>
        </w:rPr>
      </w:pPr>
    </w:p>
    <w:p>
      <w:pPr>
        <w:ind w:left="900" w:right="180" w:firstLine="739"/>
        <w:spacing w:after="0" w:line="260" w:lineRule="auto"/>
        <w:tabs>
          <w:tab w:leader="none" w:pos="2326"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without duplication and to the extent included in arriving at such Consolidated Net Income, the sum of the following amounts for such period:</w:t>
      </w:r>
    </w:p>
    <w:p>
      <w:pPr>
        <w:spacing w:after="0" w:line="189" w:lineRule="exact"/>
        <w:rPr>
          <w:rFonts w:ascii="Arial" w:cs="Arial" w:eastAsia="Arial" w:hAnsi="Arial"/>
          <w:sz w:val="20"/>
          <w:szCs w:val="20"/>
          <w:color w:val="auto"/>
        </w:rPr>
      </w:pPr>
    </w:p>
    <w:p>
      <w:pPr>
        <w:ind w:left="3480" w:hanging="1092"/>
        <w:spacing w:after="0"/>
        <w:tabs>
          <w:tab w:leader="none" w:pos="348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extraordinary gains and unusual or non-recurring gains and any other gains not in the</w:t>
      </w:r>
    </w:p>
    <w:p>
      <w:pPr>
        <w:spacing w:after="0" w:line="26" w:lineRule="exact"/>
        <w:rPr>
          <w:rFonts w:ascii="Arial" w:cs="Arial" w:eastAsia="Arial" w:hAnsi="Arial"/>
          <w:sz w:val="19"/>
          <w:szCs w:val="19"/>
          <w:color w:val="auto"/>
        </w:rPr>
      </w:pPr>
    </w:p>
    <w:p>
      <w:pPr>
        <w:ind w:left="900"/>
        <w:spacing w:after="0"/>
        <w:rPr>
          <w:rFonts w:ascii="Arial" w:cs="Arial" w:eastAsia="Arial" w:hAnsi="Arial"/>
          <w:sz w:val="19"/>
          <w:szCs w:val="19"/>
          <w:color w:val="auto"/>
        </w:rPr>
      </w:pPr>
      <w:r>
        <w:rPr>
          <w:rFonts w:ascii="Arial" w:cs="Arial" w:eastAsia="Arial" w:hAnsi="Arial"/>
          <w:sz w:val="20"/>
          <w:szCs w:val="20"/>
          <w:color w:val="auto"/>
        </w:rPr>
        <w:t>ordinary course of business;</w:t>
      </w:r>
    </w:p>
    <w:p>
      <w:pPr>
        <w:spacing w:after="0" w:line="225" w:lineRule="exact"/>
        <w:rPr>
          <w:rFonts w:ascii="Arial" w:cs="Arial" w:eastAsia="Arial" w:hAnsi="Arial"/>
          <w:sz w:val="19"/>
          <w:szCs w:val="19"/>
          <w:color w:val="auto"/>
        </w:rPr>
      </w:pPr>
    </w:p>
    <w:p>
      <w:pPr>
        <w:jc w:val="both"/>
        <w:ind w:left="900" w:firstLine="1488"/>
        <w:spacing w:after="0" w:line="249" w:lineRule="auto"/>
        <w:tabs>
          <w:tab w:leader="none" w:pos="3487" w:val="left"/>
        </w:tabs>
        <w:numPr>
          <w:ilvl w:val="1"/>
          <w:numId w:val="104"/>
        </w:numPr>
        <w:rPr>
          <w:rFonts w:ascii="Arial" w:cs="Arial" w:eastAsia="Arial" w:hAnsi="Arial"/>
          <w:sz w:val="20"/>
          <w:szCs w:val="20"/>
          <w:color w:val="auto"/>
        </w:rPr>
      </w:pPr>
      <w:r>
        <w:rPr>
          <w:rFonts w:ascii="Arial" w:cs="Arial" w:eastAsia="Arial" w:hAnsi="Arial"/>
          <w:sz w:val="20"/>
          <w:szCs w:val="20"/>
          <w:color w:val="auto"/>
        </w:rPr>
        <w:t>non-cash gains (excluding any non-cash gain to the extent it represents the reversal of an accrual or reserve for a potential cash item that reduced Consolidated Net Income or Consolidated EBITDA in any prior period);</w:t>
      </w:r>
    </w:p>
    <w:p>
      <w:pPr>
        <w:spacing w:after="0" w:line="201" w:lineRule="exact"/>
        <w:rPr>
          <w:rFonts w:ascii="Arial" w:cs="Arial" w:eastAsia="Arial" w:hAnsi="Arial"/>
          <w:sz w:val="20"/>
          <w:szCs w:val="20"/>
          <w:color w:val="auto"/>
        </w:rPr>
      </w:pPr>
    </w:p>
    <w:p>
      <w:pPr>
        <w:ind w:left="900" w:right="20" w:firstLine="1488"/>
        <w:spacing w:after="0" w:line="260" w:lineRule="auto"/>
        <w:tabs>
          <w:tab w:leader="none" w:pos="3487" w:val="left"/>
        </w:tabs>
        <w:numPr>
          <w:ilvl w:val="1"/>
          <w:numId w:val="104"/>
        </w:numPr>
        <w:rPr>
          <w:rFonts w:ascii="Arial" w:cs="Arial" w:eastAsia="Arial" w:hAnsi="Arial"/>
          <w:sz w:val="20"/>
          <w:szCs w:val="20"/>
          <w:color w:val="auto"/>
        </w:rPr>
      </w:pPr>
      <w:r>
        <w:rPr>
          <w:rFonts w:ascii="Arial" w:cs="Arial" w:eastAsia="Arial" w:hAnsi="Arial"/>
          <w:sz w:val="20"/>
          <w:szCs w:val="20"/>
          <w:color w:val="auto"/>
        </w:rPr>
        <w:t>gains on asset sales, disposals or abandonments (other than asset sales, disposals or abandonments in the ordinary course of business); and</w:t>
      </w:r>
    </w:p>
    <w:p>
      <w:pPr>
        <w:spacing w:after="0" w:line="202" w:lineRule="exact"/>
        <w:rPr>
          <w:rFonts w:ascii="Arial" w:cs="Arial" w:eastAsia="Arial" w:hAnsi="Arial"/>
          <w:sz w:val="20"/>
          <w:szCs w:val="20"/>
          <w:color w:val="auto"/>
        </w:rPr>
      </w:pPr>
    </w:p>
    <w:p>
      <w:pPr>
        <w:jc w:val="both"/>
        <w:ind w:left="900" w:firstLine="1488"/>
        <w:spacing w:after="0" w:line="249" w:lineRule="auto"/>
        <w:tabs>
          <w:tab w:leader="none" w:pos="3487" w:val="left"/>
        </w:tabs>
        <w:numPr>
          <w:ilvl w:val="1"/>
          <w:numId w:val="104"/>
        </w:numPr>
        <w:rPr>
          <w:rFonts w:ascii="Arial" w:cs="Arial" w:eastAsia="Arial" w:hAnsi="Arial"/>
          <w:sz w:val="20"/>
          <w:szCs w:val="20"/>
          <w:color w:val="auto"/>
        </w:rPr>
      </w:pPr>
      <w:r>
        <w:rPr>
          <w:rFonts w:ascii="Arial" w:cs="Arial" w:eastAsia="Arial" w:hAnsi="Arial"/>
          <w:sz w:val="20"/>
          <w:szCs w:val="20"/>
          <w:color w:val="auto"/>
        </w:rPr>
        <w:t xml:space="preserve">any loss relating to hedging obligations associated with transactions realized in the current period that has been reflected in Consolidated Net Income in prior periods and excluded from Consolidated EBITDA pursuant to clauses (a)(xii) and (a)(xiii) above; </w:t>
      </w:r>
      <w:r>
        <w:rPr>
          <w:rFonts w:ascii="Arial" w:cs="Arial" w:eastAsia="Arial" w:hAnsi="Arial"/>
          <w:sz w:val="20"/>
          <w:szCs w:val="20"/>
          <w:u w:val="single" w:color="auto"/>
          <w:color w:val="auto"/>
        </w:rPr>
        <w:t>plus</w:t>
      </w:r>
    </w:p>
    <w:p>
      <w:pPr>
        <w:spacing w:after="0" w:line="29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 xml:space="preserve">in each case, as determined on a consolidated basis for the Borrower and the Restricted Subsidiaries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204" w:right="499" w:bottom="1440" w:gutter="0" w:footer="0" w:header="0"/>
        </w:sectPr>
      </w:pPr>
    </w:p>
    <w:bookmarkStart w:id="170" w:name="page171"/>
    <w:bookmarkEnd w:id="170"/>
    <w:p>
      <w:pPr>
        <w:jc w:val="both"/>
        <w:ind w:left="-40" w:right="20" w:firstLine="739"/>
        <w:spacing w:after="0" w:line="249" w:lineRule="auto"/>
        <w:tabs>
          <w:tab w:leader="none" w:pos="143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to the extent included in Consolidated Net Income, there shall be excluded in determining Consolidated EBITDA for any period any adjustments resulting from the application of Financial Accounting Standards Codification No. 815—Derivatives and Hedging,</w:t>
      </w:r>
    </w:p>
    <w:p>
      <w:pPr>
        <w:spacing w:after="0" w:line="201" w:lineRule="exact"/>
        <w:rPr>
          <w:sz w:val="20"/>
          <w:szCs w:val="20"/>
          <w:color w:val="auto"/>
        </w:rPr>
      </w:pPr>
    </w:p>
    <w:p>
      <w:pPr>
        <w:jc w:val="both"/>
        <w:ind w:left="-40" w:firstLine="739"/>
        <w:spacing w:after="0" w:line="268" w:lineRule="auto"/>
        <w:tabs>
          <w:tab w:leader="none" w:pos="14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there shall be included in determining Consolidated EBITDA for any period, without duplication, (A) to the extent not included in Consolidated Net Income, the Acquired EBITDA of any Person, property, business, line of business, division, business unit or asset acquired by Holdings, the Borrower or any Restricted Subsidiary during such period (other than any Unrestricted Subsidiary) to the extent not subsequently sold, transferred or otherwise disposed of (but not including the Acquired EBITDA of any related Person, property, business, line of business, division, business unit or assets to the extent not so acquired) (including the commencement of activities constituting such business) (each such Person, property, business, line of business, division, business unit or asset acquired, including pursuant to the Transactions or pursuant to a transaction consummated prior to the Effective Date, and not subsequently so disposed of, an “</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and the Acquired EBITDA of any Unrestricted Subsidiary that is converted into a Restricted Subsidiary during such period (each, a “</w:t>
      </w:r>
      <w:r>
        <w:rPr>
          <w:rFonts w:ascii="Arial" w:cs="Arial" w:eastAsia="Arial" w:hAnsi="Arial"/>
          <w:sz w:val="18"/>
          <w:szCs w:val="18"/>
          <w:u w:val="single" w:color="auto"/>
          <w:color w:val="auto"/>
        </w:rPr>
        <w:t>Converted Restricted Subsidiary</w:t>
      </w:r>
      <w:r>
        <w:rPr>
          <w:rFonts w:ascii="Arial" w:cs="Arial" w:eastAsia="Arial" w:hAnsi="Arial"/>
          <w:sz w:val="18"/>
          <w:szCs w:val="18"/>
          <w:color w:val="auto"/>
        </w:rPr>
        <w:t>”), in each case based on the Acquired EBITDA of such Pro Forma Entity for such period (including the portion thereof occurring prior to such acquisition or conversion) determined on a historical Pro Forma Basis, (B) an adjustment equal to the amount of the Pro Forma Adjustment for such period (including the portion thereof occurring prior to such acquisition or conversion) and (C) the aggregate amount of consolidated net income projected by the Borrower in good faith to result from binding contracts (or amendments or supplements to existing contracts) entered into (or reasonably anticipated to be entered into (including amendments and supplements to existing contracts), as determined by the Borrower in good faith) (x) during such period, (y) after such period or (z) prior to the commencement of such period if, in the case of this clause (z), as of such date, the expected full run-rate benefit of such previously entered into contract (together with any amendments or supplements thereto up to the date of determination) shall not have been realized (as determined by the Borrower in good faith);</w:t>
      </w:r>
    </w:p>
    <w:p>
      <w:pPr>
        <w:spacing w:after="0" w:line="193" w:lineRule="exact"/>
        <w:rPr>
          <w:sz w:val="20"/>
          <w:szCs w:val="20"/>
          <w:color w:val="auto"/>
        </w:rPr>
      </w:pPr>
    </w:p>
    <w:p>
      <w:pPr>
        <w:jc w:val="both"/>
        <w:ind w:left="-40" w:firstLine="739"/>
        <w:spacing w:after="0" w:line="269" w:lineRule="auto"/>
        <w:tabs>
          <w:tab w:leader="none" w:pos="14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there shall be (A) to the extent included in Consolidated Net Income, excluded in determining Consolidated EBITDA for any period the Disposed EBITDA of any Person, property, business, line of business, division, business unit or asset (other than any Unrestricted Subsidiary)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line of business, division, business unit or asset is positive (i.e., if such Disposed EBITDA is negative, it shall be added back in determining Consolidated EBITDA for any period)) by Holdings, the Borrower or any Restricted Subsidiary during such period (each such Person, property, business, line of business, division, business unit or asset so sold, transferred or otherwise disposed of, closed or classified, a “</w:t>
      </w:r>
      <w:r>
        <w:rPr>
          <w:rFonts w:ascii="Arial" w:cs="Arial" w:eastAsia="Arial" w:hAnsi="Arial"/>
          <w:sz w:val="18"/>
          <w:szCs w:val="18"/>
          <w:u w:val="single" w:color="auto"/>
          <w:color w:val="auto"/>
        </w:rPr>
        <w:t>Sold Entity or Business</w:t>
      </w:r>
      <w:r>
        <w:rPr>
          <w:rFonts w:ascii="Arial" w:cs="Arial" w:eastAsia="Arial" w:hAnsi="Arial"/>
          <w:sz w:val="18"/>
          <w:szCs w:val="18"/>
          <w:color w:val="auto"/>
        </w:rPr>
        <w:t>”), and the Disposed EBITDA of any Restricted Subsidiary that is converted into an Unrestricted Subsidiary during such period (each, a “</w:t>
      </w:r>
      <w:r>
        <w:rPr>
          <w:rFonts w:ascii="Arial" w:cs="Arial" w:eastAsia="Arial" w:hAnsi="Arial"/>
          <w:sz w:val="18"/>
          <w:szCs w:val="18"/>
          <w:u w:val="single" w:color="auto"/>
          <w:color w:val="auto"/>
        </w:rPr>
        <w:t>Converted Unrestricted Subsidiary</w:t>
      </w:r>
      <w:r>
        <w:rPr>
          <w:rFonts w:ascii="Arial" w:cs="Arial" w:eastAsia="Arial" w:hAnsi="Arial"/>
          <w:sz w:val="18"/>
          <w:szCs w:val="18"/>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w:t>
      </w:r>
    </w:p>
    <w:p>
      <w:pPr>
        <w:spacing w:after="0" w:line="17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365" w:right="499" w:bottom="1440" w:gutter="0" w:footer="0" w:header="0"/>
        </w:sectPr>
      </w:pPr>
    </w:p>
    <w:bookmarkStart w:id="171" w:name="page172"/>
    <w:bookmarkEnd w:id="171"/>
    <w:p>
      <w:pPr>
        <w:jc w:val="both"/>
        <w:ind w:left="900" w:right="20" w:firstLine="749"/>
        <w:spacing w:after="0" w:line="249" w:lineRule="auto"/>
        <w:rPr>
          <w:sz w:val="20"/>
          <w:szCs w:val="20"/>
          <w:color w:val="auto"/>
        </w:rPr>
      </w:pPr>
      <w:r>
        <w:rPr>
          <w:rFonts w:ascii="Arial" w:cs="Arial" w:eastAsia="Arial" w:hAnsi="Arial"/>
          <w:sz w:val="20"/>
          <w:szCs w:val="20"/>
          <w:color w:val="auto"/>
        </w:rPr>
        <w:t>(IV) to the extent included in Consolidated Net Income, there shall be excluded in determining Consolidated EBITDA any expense (or income) as a result of adjustments recorded to contingent consideration liabilities relating to the Transaction or any Permitted Acquisition (or other Investment permitted hereunder); and</w:t>
      </w:r>
    </w:p>
    <w:p>
      <w:pPr>
        <w:spacing w:after="0" w:line="201" w:lineRule="exact"/>
        <w:rPr>
          <w:sz w:val="20"/>
          <w:szCs w:val="20"/>
          <w:color w:val="auto"/>
        </w:rPr>
      </w:pPr>
    </w:p>
    <w:p>
      <w:pPr>
        <w:jc w:val="both"/>
        <w:ind w:left="900" w:firstLine="739"/>
        <w:spacing w:after="0" w:line="246" w:lineRule="auto"/>
        <w:tabs>
          <w:tab w:leader="none" w:pos="237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to the extent not already included in Consolidated Net Income, Consolidated EBITDA shall include the amount of proceeds received or due from reimbursement of expenses and charges pursuant to indemnification and other reimbursement provisions in connection with any acquisition or other Investment or any disposition of any asset permitted hereunder.</w:t>
      </w:r>
    </w:p>
    <w:p>
      <w:pPr>
        <w:spacing w:after="0" w:line="217" w:lineRule="exact"/>
        <w:rPr>
          <w:sz w:val="20"/>
          <w:szCs w:val="20"/>
          <w:color w:val="auto"/>
        </w:rPr>
      </w:pPr>
    </w:p>
    <w:p>
      <w:pPr>
        <w:jc w:val="both"/>
        <w:ind w:right="40"/>
        <w:spacing w:after="0" w:line="241" w:lineRule="auto"/>
        <w:rPr>
          <w:sz w:val="20"/>
          <w:szCs w:val="20"/>
          <w:color w:val="auto"/>
        </w:rPr>
      </w:pPr>
      <w:r>
        <w:rPr>
          <w:rFonts w:ascii="Arial" w:cs="Arial" w:eastAsia="Arial" w:hAnsi="Arial"/>
          <w:sz w:val="20"/>
          <w:szCs w:val="20"/>
          <w:color w:val="auto"/>
        </w:rPr>
        <w:t xml:space="preserve">For the purposes of determining Consolidated EBITDA prior to December 31, 2021, Consolidated EBITDA shall be deemed to equal (a) for the Test Period ended December 31, 2020, 2020 Q4 EBITDA Amount </w:t>
      </w:r>
      <w:r>
        <w:rPr>
          <w:rFonts w:ascii="Arial" w:cs="Arial" w:eastAsia="Arial" w:hAnsi="Arial"/>
          <w:sz w:val="20"/>
          <w:szCs w:val="20"/>
          <w:u w:val="single" w:color="auto"/>
          <w:color w:val="auto"/>
        </w:rPr>
        <w:t>multiplied</w:t>
      </w:r>
      <w:r>
        <w:rPr>
          <w:rFonts w:ascii="Arial" w:cs="Arial" w:eastAsia="Arial" w:hAnsi="Arial"/>
          <w:sz w:val="20"/>
          <w:szCs w:val="20"/>
          <w:color w:val="auto"/>
        </w:rPr>
        <w:t xml:space="preserve"> by four, (b) for the Test Period ended March 31, 2021 (i) 2020 Q4 EBITDA Amount </w:t>
      </w:r>
      <w:r>
        <w:rPr>
          <w:rFonts w:ascii="Arial" w:cs="Arial" w:eastAsia="Arial" w:hAnsi="Arial"/>
          <w:sz w:val="20"/>
          <w:szCs w:val="20"/>
          <w:u w:val="single" w:color="auto"/>
          <w:color w:val="auto"/>
        </w:rPr>
        <w:t>multiplied</w:t>
      </w:r>
      <w:r>
        <w:rPr>
          <w:rFonts w:ascii="Arial" w:cs="Arial" w:eastAsia="Arial" w:hAnsi="Arial"/>
          <w:sz w:val="20"/>
          <w:szCs w:val="20"/>
          <w:color w:val="auto"/>
        </w:rPr>
        <w:t xml:space="preserve"> by three,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Consolidated EBITDA for the fiscal quarter ended March 31, 2021, (c) for the Test Period ending June 30, 2021 (i) 2020 Q4 EBITDA Amount </w:t>
      </w:r>
      <w:r>
        <w:rPr>
          <w:rFonts w:ascii="Arial" w:cs="Arial" w:eastAsia="Arial" w:hAnsi="Arial"/>
          <w:sz w:val="20"/>
          <w:szCs w:val="20"/>
          <w:u w:val="single" w:color="auto"/>
          <w:color w:val="auto"/>
        </w:rPr>
        <w:t>multiplied</w:t>
      </w:r>
      <w:r>
        <w:rPr>
          <w:rFonts w:ascii="Arial" w:cs="Arial" w:eastAsia="Arial" w:hAnsi="Arial"/>
          <w:sz w:val="20"/>
          <w:szCs w:val="20"/>
          <w:color w:val="auto"/>
        </w:rPr>
        <w:t xml:space="preserve"> by two,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Consolidated EBITDA for each of the fiscal quarters ending March 31, 2021 and June 30, 2021, and (d) for the Test Period ending September 30, 2021 (i) 2020 Q4 EBITDA Amount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Consolidated EBITDA for each of the fiscal quarters ending March 31, 2021, June 30, 2021 and September 30, 2021 (it being understood that such amounts are subject to adjustments, as and to the extent otherwise contemplated in this Agreement, in connection with any Pro Forma Adjustment, any calculation on a Pro Forma Basis or any adjustment pursuant to clause (b)(i) above).</w:t>
      </w:r>
    </w:p>
    <w:p>
      <w:pPr>
        <w:spacing w:after="0" w:line="214" w:lineRule="exact"/>
        <w:rPr>
          <w:sz w:val="20"/>
          <w:szCs w:val="20"/>
          <w:color w:val="auto"/>
        </w:rPr>
      </w:pPr>
    </w:p>
    <w:p>
      <w:pPr>
        <w:jc w:val="both"/>
        <w:ind w:right="60" w:firstLine="1499"/>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means, for any period, the net income (loss) of the Borrower and its Restricted Subsidiaries for such period determined on a consolidated basis in accordance with GAAP, excluding, without duplication,</w:t>
      </w:r>
    </w:p>
    <w:p>
      <w:pPr>
        <w:spacing w:after="0" w:line="180" w:lineRule="exact"/>
        <w:rPr>
          <w:sz w:val="20"/>
          <w:szCs w:val="20"/>
          <w:color w:val="auto"/>
        </w:rPr>
      </w:pPr>
    </w:p>
    <w:p>
      <w:pPr>
        <w:ind w:left="2480" w:hanging="841"/>
        <w:spacing w:after="0"/>
        <w:tabs>
          <w:tab w:leader="none" w:pos="24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extraordinary items for such period,</w:t>
      </w:r>
    </w:p>
    <w:p>
      <w:pPr>
        <w:spacing w:after="0" w:line="228" w:lineRule="exact"/>
        <w:rPr>
          <w:rFonts w:ascii="Arial" w:cs="Arial" w:eastAsia="Arial" w:hAnsi="Arial"/>
          <w:sz w:val="20"/>
          <w:szCs w:val="20"/>
          <w:color w:val="auto"/>
        </w:rPr>
      </w:pPr>
    </w:p>
    <w:p>
      <w:pPr>
        <w:ind w:left="2480" w:hanging="841"/>
        <w:spacing w:after="0"/>
        <w:tabs>
          <w:tab w:leader="none" w:pos="24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cumulative effect of any change in accounting principles during such period,</w:t>
      </w:r>
    </w:p>
    <w:p>
      <w:pPr>
        <w:spacing w:after="0" w:line="222" w:lineRule="exact"/>
        <w:rPr>
          <w:rFonts w:ascii="Arial" w:cs="Arial" w:eastAsia="Arial" w:hAnsi="Arial"/>
          <w:sz w:val="20"/>
          <w:szCs w:val="20"/>
          <w:color w:val="auto"/>
        </w:rPr>
      </w:pPr>
    </w:p>
    <w:p>
      <w:pPr>
        <w:ind w:left="2480" w:hanging="841"/>
        <w:spacing w:after="0"/>
        <w:tabs>
          <w:tab w:leader="none" w:pos="24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any Transaction Costs incurred during such period</w:t>
      </w:r>
      <w:r>
        <w:rPr>
          <w:rFonts w:ascii="Arial" w:cs="Arial" w:eastAsia="Arial" w:hAnsi="Arial"/>
          <w:sz w:val="20"/>
          <w:szCs w:val="20"/>
          <w:b w:val="1"/>
          <w:bCs w:val="1"/>
          <w:color w:val="auto"/>
        </w:rPr>
        <w:t>,</w:t>
      </w:r>
    </w:p>
    <w:p>
      <w:pPr>
        <w:spacing w:after="0" w:line="247" w:lineRule="exact"/>
        <w:rPr>
          <w:rFonts w:ascii="Arial" w:cs="Arial" w:eastAsia="Arial" w:hAnsi="Arial"/>
          <w:sz w:val="20"/>
          <w:szCs w:val="20"/>
          <w:color w:val="auto"/>
        </w:rPr>
      </w:pPr>
    </w:p>
    <w:p>
      <w:pPr>
        <w:jc w:val="both"/>
        <w:ind w:left="900" w:firstLine="739"/>
        <w:spacing w:after="0" w:line="306" w:lineRule="auto"/>
        <w:tabs>
          <w:tab w:leader="none" w:pos="249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accruals, payments, fees, costs and expenses (including rationalization, legal, tax, structuring, financial advisory, investment banking, any transaction or retention bonus or similar payment and fees, costs and expenses of any counsel, consultants or other advisors and other costs and expenses) incurred during such period, or any amortization thereof for such period, in connection with the Transactions, any Specified Transactions, any non-recurring costs to acquire equipment to the extent not capitalized in accordance with GAAP, Investments (including any earn-outs), Restricted Payments, Dispositions, recapitalization, issuances of Indebtedness or Equity Interests (including any initial public offering) or repayment of debt, refinancing transactions or amendment or other modification of any debt instrument, and restructurings, workouts and extensions and refinancings of any of the foregoing, non-competition agreements, one-time accruals, up-front fees, financing fees, commitment fees, costs, expenses or premiums related to any repayment of debt, issuance of equity securities, refinancing transaction or amendment or other modification of or waiver or consent relating to any debt instrument (in each case, including the Transaction Costs and any such transaction consummated prior to the Effective Date and any such transaction undertaken but not completed and including costs and expenses of the Administrative Agent and Lenders that are reimbursed and fees paid to the Permitted Holders) and any charges or non-recurring merger or amalgamation costs incurred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66" w:right="499" w:bottom="1440" w:gutter="0" w:footer="0" w:header="0"/>
        </w:sectPr>
      </w:pPr>
    </w:p>
    <w:bookmarkStart w:id="172" w:name="page173"/>
    <w:bookmarkEnd w:id="172"/>
    <w:p>
      <w:pPr>
        <w:jc w:val="both"/>
        <w:ind w:left="900"/>
        <w:spacing w:after="0" w:line="269" w:lineRule="auto"/>
        <w:rPr>
          <w:sz w:val="20"/>
          <w:szCs w:val="20"/>
          <w:color w:val="auto"/>
        </w:rPr>
      </w:pPr>
      <w:r>
        <w:rPr>
          <w:rFonts w:ascii="Arial" w:cs="Arial" w:eastAsia="Arial" w:hAnsi="Arial"/>
          <w:sz w:val="19"/>
          <w:szCs w:val="19"/>
          <w:color w:val="auto"/>
        </w:rPr>
        <w:t>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184" w:lineRule="exact"/>
        <w:rPr>
          <w:sz w:val="20"/>
          <w:szCs w:val="20"/>
          <w:color w:val="auto"/>
        </w:rPr>
      </w:pPr>
    </w:p>
    <w:p>
      <w:pPr>
        <w:ind w:left="900" w:firstLine="739"/>
        <w:spacing w:after="0" w:line="260" w:lineRule="auto"/>
        <w:tabs>
          <w:tab w:leader="none" w:pos="249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income (loss) for such period attributable to the early extinguishment of Indebtedness, hedging agreements or other derivative instruments,</w:t>
      </w:r>
    </w:p>
    <w:p>
      <w:pPr>
        <w:spacing w:after="0" w:line="202" w:lineRule="exact"/>
        <w:rPr>
          <w:rFonts w:ascii="Arial" w:cs="Arial" w:eastAsia="Arial" w:hAnsi="Arial"/>
          <w:sz w:val="20"/>
          <w:szCs w:val="20"/>
          <w:color w:val="auto"/>
        </w:rPr>
      </w:pPr>
    </w:p>
    <w:p>
      <w:pPr>
        <w:jc w:val="both"/>
        <w:ind w:left="900" w:right="20" w:firstLine="739"/>
        <w:spacing w:after="0" w:line="246" w:lineRule="auto"/>
        <w:tabs>
          <w:tab w:leader="none" w:pos="249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w:t>
      </w:r>
    </w:p>
    <w:p>
      <w:pPr>
        <w:spacing w:after="0" w:line="27" w:lineRule="exact"/>
        <w:rPr>
          <w:rFonts w:ascii="Arial" w:cs="Arial" w:eastAsia="Arial" w:hAnsi="Arial"/>
          <w:sz w:val="20"/>
          <w:szCs w:val="20"/>
          <w:color w:val="auto"/>
        </w:rPr>
      </w:pPr>
    </w:p>
    <w:p>
      <w:pPr>
        <w:ind w:left="2480" w:hanging="841"/>
        <w:spacing w:after="0"/>
        <w:tabs>
          <w:tab w:leader="none" w:pos="24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stock-based award compensation expenses,</w:t>
      </w:r>
    </w:p>
    <w:p>
      <w:pPr>
        <w:spacing w:after="0" w:line="228" w:lineRule="exact"/>
        <w:rPr>
          <w:rFonts w:ascii="Arial" w:cs="Arial" w:eastAsia="Arial" w:hAnsi="Arial"/>
          <w:sz w:val="20"/>
          <w:szCs w:val="20"/>
          <w:color w:val="auto"/>
        </w:rPr>
      </w:pPr>
    </w:p>
    <w:p>
      <w:pPr>
        <w:ind w:left="2480" w:hanging="841"/>
        <w:spacing w:after="0"/>
        <w:tabs>
          <w:tab w:leader="none" w:pos="24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income (loss) attributable to deferred compensation plans or trusts,</w:t>
      </w:r>
    </w:p>
    <w:p>
      <w:pPr>
        <w:spacing w:after="0" w:line="241" w:lineRule="exact"/>
        <w:rPr>
          <w:rFonts w:ascii="Arial" w:cs="Arial" w:eastAsia="Arial" w:hAnsi="Arial"/>
          <w:sz w:val="20"/>
          <w:szCs w:val="20"/>
          <w:color w:val="auto"/>
        </w:rPr>
      </w:pPr>
    </w:p>
    <w:p>
      <w:pPr>
        <w:ind w:left="900" w:right="20" w:firstLine="739"/>
        <w:spacing w:after="0" w:line="260" w:lineRule="auto"/>
        <w:tabs>
          <w:tab w:leader="none" w:pos="249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amount of any expense required to be recorded as compensation expense related to contingent transaction consideration,</w:t>
      </w:r>
    </w:p>
    <w:p>
      <w:pPr>
        <w:spacing w:after="0" w:line="202" w:lineRule="exact"/>
        <w:rPr>
          <w:rFonts w:ascii="Arial" w:cs="Arial" w:eastAsia="Arial" w:hAnsi="Arial"/>
          <w:sz w:val="20"/>
          <w:szCs w:val="20"/>
          <w:color w:val="auto"/>
        </w:rPr>
      </w:pPr>
    </w:p>
    <w:p>
      <w:pPr>
        <w:jc w:val="both"/>
        <w:ind w:left="900" w:firstLine="739"/>
        <w:spacing w:after="0" w:line="249" w:lineRule="auto"/>
        <w:tabs>
          <w:tab w:leader="none" w:pos="249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currency translation gains and losses related to currency remeasurements of assets, liabilities or indebtedness (including the net loss or gain resulting from hedging agreements for currency exchange risk and revaluations of intercompany balances),</w:t>
      </w:r>
    </w:p>
    <w:p>
      <w:pPr>
        <w:spacing w:after="0" w:line="201" w:lineRule="exact"/>
        <w:rPr>
          <w:rFonts w:ascii="Arial" w:cs="Arial" w:eastAsia="Arial" w:hAnsi="Arial"/>
          <w:sz w:val="20"/>
          <w:szCs w:val="20"/>
          <w:color w:val="auto"/>
        </w:rPr>
      </w:pPr>
    </w:p>
    <w:p>
      <w:pPr>
        <w:ind w:left="2480" w:hanging="841"/>
        <w:spacing w:after="0"/>
        <w:tabs>
          <w:tab w:leader="none" w:pos="2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costs related to the implementation of operational and reporting systems and technology initiatives; and</w:t>
      </w:r>
    </w:p>
    <w:p>
      <w:pPr>
        <w:spacing w:after="0" w:line="264" w:lineRule="exact"/>
        <w:rPr>
          <w:rFonts w:ascii="Arial" w:cs="Arial" w:eastAsia="Arial" w:hAnsi="Arial"/>
          <w:sz w:val="18"/>
          <w:szCs w:val="18"/>
          <w:color w:val="auto"/>
        </w:rPr>
      </w:pPr>
    </w:p>
    <w:p>
      <w:pPr>
        <w:ind w:left="900" w:right="20" w:firstLine="739"/>
        <w:spacing w:after="0" w:line="260" w:lineRule="auto"/>
        <w:tabs>
          <w:tab w:leader="none" w:pos="249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non-cash portion of “straight-line” rent expense less the cash portion of “straight-line” rent expense which exceeds the amount expensed in respect of such rent expense,</w:t>
      </w:r>
    </w:p>
    <w:p>
      <w:pPr>
        <w:spacing w:after="0" w:line="203" w:lineRule="exact"/>
        <w:rPr>
          <w:sz w:val="20"/>
          <w:szCs w:val="20"/>
          <w:color w:val="auto"/>
        </w:rPr>
      </w:pPr>
    </w:p>
    <w:p>
      <w:pPr>
        <w:jc w:val="both"/>
        <w:ind w:right="40" w:firstLine="1498"/>
        <w:spacing w:after="0" w:line="256" w:lineRule="auto"/>
        <w:rPr>
          <w:sz w:val="20"/>
          <w:szCs w:val="20"/>
          <w:color w:val="auto"/>
        </w:rPr>
      </w:pPr>
      <w:r>
        <w:rPr>
          <w:rFonts w:ascii="Arial" w:cs="Arial" w:eastAsia="Arial" w:hAnsi="Arial"/>
          <w:sz w:val="19"/>
          <w:szCs w:val="19"/>
          <w:color w:val="auto"/>
        </w:rPr>
        <w:t>There shall be included in Consolidated Net Income, without duplication, (i) the amount of any cash tax benefits related to the tax amortization of intangible assets in such period, (ii) any dividends or other distributions received in cash or other Permitted Investments from Unrestricted Subsidiaries and (iii) the effects from applying acquisition method accounting, including applying acquisition method accounting or recapitalization accounting adjustments to inventory, property and equipment, loans and leases, software, goodwill, in process research and development and other intangible assets and deferred revenue (including deferred costs related thereto) required or permitted by GAAP and related authoritative pronouncements (including the effects of such adjustments pushed down to the Borrower and its Restricted Subsidiaries), as a result of the Transactions, any acquisition or Investment consummated prior to the Effective Date and any Permitted Acquisitions (or other Investment not prohibited hereunder) or the amortization or write-off of any amounts thereof.</w:t>
      </w:r>
    </w:p>
    <w:p>
      <w:pPr>
        <w:spacing w:after="0" w:line="195" w:lineRule="exact"/>
        <w:rPr>
          <w:sz w:val="20"/>
          <w:szCs w:val="20"/>
          <w:color w:val="auto"/>
        </w:rPr>
      </w:pPr>
    </w:p>
    <w:p>
      <w:pPr>
        <w:jc w:val="both"/>
        <w:ind w:right="20"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Tangible Assets</w:t>
      </w:r>
      <w:r>
        <w:rPr>
          <w:rFonts w:ascii="Arial" w:cs="Arial" w:eastAsia="Arial" w:hAnsi="Arial"/>
          <w:sz w:val="20"/>
          <w:szCs w:val="20"/>
          <w:color w:val="auto"/>
        </w:rPr>
        <w:t>” means the aggregate amount of assets (including deferred tax assets (without reducing such deferred tax assets by deferred tax liabilities) after deducting therefrom all goodwill, trade names, trademarks, patents, unamortized debt discount and expense, investments and other like intangibles, all as set forth in the most recent consolidated balance sheet of the Borrower and its Restricted Subsidiaries, determined on a Pro Forma Basis.</w:t>
      </w:r>
    </w:p>
    <w:p>
      <w:pPr>
        <w:spacing w:after="0" w:line="203" w:lineRule="exact"/>
        <w:rPr>
          <w:sz w:val="20"/>
          <w:szCs w:val="20"/>
          <w:color w:val="auto"/>
        </w:rPr>
      </w:pPr>
    </w:p>
    <w:p>
      <w:pPr>
        <w:jc w:val="both"/>
        <w:ind w:right="60"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Senior Secured First Lien Net Indebtedness</w:t>
      </w:r>
      <w:r>
        <w:rPr>
          <w:rFonts w:ascii="Arial" w:cs="Arial" w:eastAsia="Arial" w:hAnsi="Arial"/>
          <w:sz w:val="20"/>
          <w:szCs w:val="20"/>
          <w:color w:val="auto"/>
        </w:rPr>
        <w:t>” means, as of any date of determination, the aggregate amount of Senior Secured First Lien Indebtedness of the Borrower and its Restricted Subsidiaries outstanding on such date, determined on a consolidated basis in accordance with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73" w:name="page174"/>
    <w:bookmarkEnd w:id="173"/>
    <w:p>
      <w:pPr>
        <w:jc w:val="both"/>
        <w:ind w:right="20"/>
        <w:spacing w:after="0" w:line="276" w:lineRule="auto"/>
        <w:rPr>
          <w:sz w:val="20"/>
          <w:szCs w:val="20"/>
          <w:color w:val="auto"/>
        </w:rPr>
      </w:pPr>
      <w:r>
        <w:rPr>
          <w:rFonts w:ascii="Arial" w:cs="Arial" w:eastAsia="Arial" w:hAnsi="Arial"/>
          <w:sz w:val="18"/>
          <w:szCs w:val="18"/>
          <w:color w:val="auto"/>
        </w:rPr>
        <w:t xml:space="preserve">GAAP, consisting only of Senior Secured First Lien Indebtedness for borrowed money, drawn but unreimbursed obligations under letters of credit (and in the case of trade letters of credit, unreimbursed for more than three (3) Business Days) and the principal portion of obligations in respect of Capitalized Leases but excluding any obligations under or in respect of Qualified Securitization Facilities,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Permitted Investments of the Borrower and its Restricted Subsidiaries (excluding cash and Permitted Investments that are listed as “restricted” on the consolidated balance sheet of the Borrower and its Restricted Subsidiaries as of such date, other than any such amounts that are restricted in favor of the Administrative Agent).</w:t>
      </w:r>
    </w:p>
    <w:p>
      <w:pPr>
        <w:spacing w:after="0" w:line="178" w:lineRule="exact"/>
        <w:rPr>
          <w:sz w:val="20"/>
          <w:szCs w:val="20"/>
          <w:color w:val="auto"/>
        </w:rPr>
      </w:pPr>
    </w:p>
    <w:p>
      <w:pPr>
        <w:jc w:val="both"/>
        <w:ind w:firstLine="149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Senior Secured Net Indebtedness</w:t>
      </w:r>
      <w:r>
        <w:rPr>
          <w:rFonts w:ascii="Arial" w:cs="Arial" w:eastAsia="Arial" w:hAnsi="Arial"/>
          <w:sz w:val="18"/>
          <w:szCs w:val="18"/>
          <w:color w:val="auto"/>
        </w:rPr>
        <w:t xml:space="preserve">” means, as of any date of determination, the aggregate amount of Senior Secured Indebtedness of the Borrower and its Restricted Subsidiaries outstanding on such date, determined on a consolidated basis in accordance with GAAP, consisting only of Senior Secured Indebtedness for borrowed money, drawn but unreimbursed obligations under letters of credit (and in the case of trade letters of credit, unreimbursed for more than three (3) Business Days) and the principal portion of obligations in respect of Capitalized Leases, but excluding any obligations under or in respect of Qualified Securitization Facilities,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Permitted Investments of the Borrower and its Restricted Subsidiaries (excluding cash and Permitted Investments that are listed as “restricted” on the consolidated balance sheet of the Borrower and its Restricted Subsidiaries as of such date, other than any such amounts that are restricted in favor of the Administrative Agent).</w:t>
      </w:r>
    </w:p>
    <w:p>
      <w:pPr>
        <w:spacing w:after="0" w:line="200"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Net Indebtedness</w:t>
      </w:r>
      <w:r>
        <w:rPr>
          <w:rFonts w:ascii="Arial" w:cs="Arial" w:eastAsia="Arial" w:hAnsi="Arial"/>
          <w:sz w:val="19"/>
          <w:szCs w:val="19"/>
          <w:color w:val="auto"/>
        </w:rPr>
        <w:t xml:space="preserve">” means, as of any date of determination, the aggregate amount of Indebtedness of the Borrower and its Restricted Subsidiaries outstanding on such date, determined on a consolidated basis in accordance with GAAP, consisting only of Indebtedness for borrowed money, drawn but unreimbursed obligations under letters of credit (and in the case of trade letters of credit, unreimbursed for more than three (3) Business Days) and the principal portion of obligations in respect of Capitalized Leases, but excluding any obligations under or in respect of Qualified Securitization Facilities,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aggregate amount of cash and Permitted Investments of the Borrower and its Restricted Subsidiaries (excluding cash and Permitted Investments that are listed as “restricted” on the consolidated balance sheet of the Borrower and its Restricted Subsidiaries as of such date, other than any such amounts that are restricted in favor of the Administrative Agent).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174" w:name="page175"/>
    <w:bookmarkEnd w:id="174"/>
    <w:p>
      <w:pPr>
        <w:jc w:val="both"/>
        <w:ind w:firstLine="149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xml:space="preserve">” means, at any date, the excess (which may be negative) of (a) the sum of all amounts (other than cash and Permitted Investments) that would, in conformity with GAAP, be set forth opposite the caption “total current assets” (or any like caption) on a consolidated balance sheet of the Borrower and its Restricted Subsidiaries at such date, excluding the current portion of deferred income taxes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sum of all amounts that would, in conformity with GAAP, be set forth opposite the caption “total current liabilities” (or any like caption) on a consolidated balance sheet of the Borrower and its Restricted Subsidiaries on such date, but excluding, without duplication, (i) the current portion of any Funded Debt, (ii) all Indebtedness consisting of Loans and obligations under Letters of Credit and Capital Lease Obligations to the extent otherwise included therein, (iii) the current portion of interest, (iv) the current portion of current and deferred income taxes, (v) accrual of any costs or expenses related to restructuring reserves, (vi) the current portion of pension liabilities and (vii) deferred revenue;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Excess Cash Flow, increases or decreases in working capital (A) arising from acquisitions or dispositions by the Borrower and its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or (y) any reclassification in accordance with GAAP of assets or liabilities, as applicable, between current and noncurrent.</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 Consideration</w:t>
      </w:r>
      <w:r>
        <w:rPr>
          <w:rFonts w:ascii="Arial" w:cs="Arial" w:eastAsia="Arial" w:hAnsi="Arial"/>
          <w:sz w:val="20"/>
          <w:szCs w:val="20"/>
          <w:color w:val="auto"/>
        </w:rPr>
        <w:t>” has the meaning assigned to such term in the definition of “Excess Cash Flow.”</w:t>
      </w:r>
    </w:p>
    <w:p>
      <w:pPr>
        <w:spacing w:after="0" w:line="22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Converted Restricted Subsidiary</w:t>
      </w:r>
      <w:r>
        <w:rPr>
          <w:rFonts w:ascii="Arial" w:cs="Arial" w:eastAsia="Arial" w:hAnsi="Arial"/>
          <w:sz w:val="19"/>
          <w:szCs w:val="19"/>
          <w:color w:val="auto"/>
        </w:rPr>
        <w:t>” has the meaning given such term in the definition of “Consolidated EBITDA.”</w:t>
      </w:r>
    </w:p>
    <w:p>
      <w:pPr>
        <w:spacing w:after="0" w:line="25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Unrestricted Subsidiary</w:t>
      </w:r>
      <w:r>
        <w:rPr>
          <w:rFonts w:ascii="Arial" w:cs="Arial" w:eastAsia="Arial" w:hAnsi="Arial"/>
          <w:sz w:val="18"/>
          <w:szCs w:val="18"/>
          <w:color w:val="auto"/>
        </w:rPr>
        <w:t>” has the meaning given such term in the definition of “Consolidated EBITDA.”</w:t>
      </w:r>
    </w:p>
    <w:p>
      <w:pPr>
        <w:spacing w:after="0" w:line="251"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w:t>
      </w:r>
      <w:r>
        <w:rPr>
          <w:rFonts w:ascii="Arial" w:cs="Arial" w:eastAsia="Arial" w:hAnsi="Arial"/>
          <w:sz w:val="20"/>
          <w:szCs w:val="20"/>
          <w:color w:val="auto"/>
        </w:rPr>
        <w:t>” has the meaning assigned to such term in the Collateral Agreement. “</w:t>
      </w:r>
      <w:r>
        <w:rPr>
          <w:rFonts w:ascii="Arial" w:cs="Arial" w:eastAsia="Arial" w:hAnsi="Arial"/>
          <w:sz w:val="20"/>
          <w:szCs w:val="20"/>
          <w:u w:val="single" w:color="auto"/>
          <w:color w:val="auto"/>
        </w:rPr>
        <w:t>Corresponding Tenor</w:t>
      </w:r>
      <w:r>
        <w:rPr>
          <w:rFonts w:ascii="Arial" w:cs="Arial" w:eastAsia="Arial" w:hAnsi="Arial"/>
          <w:sz w:val="20"/>
          <w:szCs w:val="20"/>
          <w:color w:val="auto"/>
        </w:rPr>
        <w:t>” with respect to a Benchmark Replacement means a tenor (including overnight) having approximately the same length (disregarding business day adjustment) as the applicable tenor for the applicable Interest Period with respect to the Benchmark. “</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2" w:lineRule="exact"/>
        <w:rPr>
          <w:sz w:val="20"/>
          <w:szCs w:val="20"/>
          <w:color w:val="auto"/>
        </w:rPr>
      </w:pPr>
    </w:p>
    <w:p>
      <w:pPr>
        <w:ind w:left="3460" w:hanging="682"/>
        <w:spacing w:after="0"/>
        <w:tabs>
          <w:tab w:leader="none" w:pos="3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w:t>
      </w:r>
    </w:p>
    <w:p>
      <w:pPr>
        <w:spacing w:after="0" w:line="22"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20"/>
          <w:szCs w:val="20"/>
          <w:color w:val="auto"/>
        </w:rPr>
        <w:t>252.82(b);</w:t>
      </w:r>
    </w:p>
    <w:p>
      <w:pPr>
        <w:spacing w:after="0" w:line="225" w:lineRule="exact"/>
        <w:rPr>
          <w:rFonts w:ascii="Arial" w:cs="Arial" w:eastAsia="Arial" w:hAnsi="Arial"/>
          <w:sz w:val="18"/>
          <w:szCs w:val="18"/>
          <w:color w:val="auto"/>
        </w:rPr>
      </w:pPr>
    </w:p>
    <w:p>
      <w:pPr>
        <w:ind w:left="3460" w:hanging="682"/>
        <w:spacing w:after="0"/>
        <w:tabs>
          <w:tab w:leader="none" w:pos="3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w:t>
      </w:r>
    </w:p>
    <w:p>
      <w:pPr>
        <w:spacing w:after="0" w:line="38"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20"/>
          <w:szCs w:val="20"/>
          <w:color w:val="auto"/>
        </w:rPr>
        <w:t>47.3(b); or</w:t>
      </w:r>
    </w:p>
    <w:p>
      <w:pPr>
        <w:spacing w:after="0" w:line="212" w:lineRule="exact"/>
        <w:rPr>
          <w:rFonts w:ascii="Arial" w:cs="Arial" w:eastAsia="Arial" w:hAnsi="Arial"/>
          <w:sz w:val="18"/>
          <w:szCs w:val="18"/>
          <w:color w:val="auto"/>
        </w:rPr>
      </w:pPr>
    </w:p>
    <w:p>
      <w:pPr>
        <w:ind w:left="3460" w:hanging="682"/>
        <w:spacing w:after="0"/>
        <w:tabs>
          <w:tab w:leader="none" w:pos="3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w:t>
      </w:r>
    </w:p>
    <w:p>
      <w:pPr>
        <w:spacing w:after="0" w:line="38"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20"/>
          <w:szCs w:val="20"/>
          <w:color w:val="auto"/>
        </w:rPr>
        <w:t>382.2(b).</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175" w:name="page176"/>
    <w:bookmarkEnd w:id="175"/>
    <w:p>
      <w:pPr>
        <w:jc w:val="both"/>
        <w:ind w:left="7" w:firstLine="1572"/>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Refinancing Indebtedness</w:t>
      </w:r>
      <w:r>
        <w:rPr>
          <w:rFonts w:ascii="Arial" w:cs="Arial" w:eastAsia="Arial" w:hAnsi="Arial"/>
          <w:sz w:val="16"/>
          <w:szCs w:val="16"/>
          <w:color w:val="auto"/>
        </w:rPr>
        <w:t>” means Indebtedness issued, incurred or otherwise obtained by the Borrower (including by means of the extension or renewal of existing Indebtedness) in exchange for, or to extend, renew, replace or refinance, in whole or part, existing Term Loans, Revolving Loans (or unused Revolving Commitments), (“</w:t>
      </w:r>
      <w:r>
        <w:rPr>
          <w:rFonts w:ascii="Arial" w:cs="Arial" w:eastAsia="Arial" w:hAnsi="Arial"/>
          <w:sz w:val="16"/>
          <w:szCs w:val="16"/>
          <w:u w:val="single" w:color="auto"/>
          <w:color w:val="auto"/>
        </w:rPr>
        <w:t>Refinanced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exchanging, extending, renewing, replacing or refinancing Indebtedness (a) is in an original aggregate principal amount not greater than the aggregate principal amount of the Refinanced Debt (plus any premium, original issue discount and upfront fees, accrued interest and fees and expenses incurred in connection with such exchange, extension, renewal, repayment, replacement or refinancing and the incurrence of such new Credit Agreement Refinancing Indebtedness) plus additional amounts to the extent otherwise permitted to be incurred under this Agreement (which additional amounts, for the avoidance of doubt, shall constitute a utilization of the relevant basket or exception pursuant to which such additional amount is permitted to be incurred), (b) (i) except in the case of Extendable Bridge Loans, does not mature earlier than or, except in the case of Revolving Commitments, have a Weighted Average Life to Maturity shorter than the Refinanced Debt and (ii) if such Indebtedness is unsecured or secured by the Collateral on a junior lien basis to the Secured Obligations, does not have scheduled amortization or required payments of principal prior to the maturity date of the Refinanced Debt (except in the case of Extendable Bridge Loans) (except for customary payments in respect of asset sales, insurance and condemnation proceeds events, change of control or similar events and AHYDO catch up payments and offers to purchase upon an event of default),</w:t>
      </w:r>
    </w:p>
    <w:p>
      <w:pPr>
        <w:spacing w:after="0" w:line="187" w:lineRule="exact"/>
        <w:rPr>
          <w:sz w:val="20"/>
          <w:szCs w:val="20"/>
          <w:color w:val="auto"/>
        </w:rPr>
      </w:pPr>
    </w:p>
    <w:p>
      <w:pPr>
        <w:jc w:val="both"/>
        <w:ind w:left="7" w:hanging="7"/>
        <w:spacing w:after="0" w:line="267" w:lineRule="auto"/>
        <w:tabs>
          <w:tab w:leader="none" w:pos="2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shall not be guaranteed by any entity that is not, or that does not substantially concurrently become, a Loan Party, (d) in the case of any secured Indebtedness that is (i) not secured by any assets not securing the Secured Obligations and (ii) subject to the relevant Intercreditor Agreement(s), (e) solely in the case such Credit Agreement Refinancing Indebtedness is pari passu in right of payment and security with the Initial Term Loans, such Credit Agreement Refinancing Indebtedness may participate on a pro rata basis (or on less than a pro rata basis if the Borrower and the Lenders thereunder elect lesser payments) (but not greater than pro rata basis) in any mandatory prepayments hereunder (other than mandatory prepayments resulting from a refinancing of any facility which may be applied exclusively to the facility being refinanced), and (f) has covenants and events of default (excluding, for the avoidance of doubt, pricing, interest rate margins, rate floors, discounts, fees, collateral, guarantees, premiums and prepayment or redemption provisions) that are not materially more favorable (when taken as a whole) to the lenders or investors providing such Indebtedness than the covenants and events of default of this Agreement (when taken as a whole) are to the Lenders (unless (x) such covenants or other provisions are applicable only to periods after the maturity date of the Refinanced Debt at the time of such refinancing, (y) the Revolving Lenders or the Lenders under the Initial Term Loans, as applicable, also receive the benefit of such more favorable covenants and events of default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by the Administrative Agent or any of the Lenders if such covenant, event of default or guarantee is (i) also added or modified for the benefit of any corresponding Loans remaining outstanding after the issuance or incurrence of such Indebtedness, or (ii) with respect to any “springing” financial maintenance covenant or other covenant only applicable to, or for the benefit of, a revolving credit facility, also added for the benefit of each revolving credit facility hereunder (and not for the benefit of any term loan facility hereunder) or (iii) only applicable after the Latest Maturity Date at the time of such refinancing) or (z) such terms and conditions are otherwise on current market terms (in the good faith judgment of the Borrower)). For the avoidance of doubt, it is understood and agreed that (x) notwithstanding anything in this Agreement to the contrary, in the case of any Indebtedness incurred to modify, refinance, refund,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w:t>
      </w:r>
    </w:p>
    <w:p>
      <w:pPr>
        <w:spacing w:after="0" w:line="173" w:lineRule="exact"/>
        <w:rPr>
          <w:sz w:val="20"/>
          <w:szCs w:val="20"/>
          <w:color w:val="auto"/>
        </w:rPr>
      </w:pPr>
    </w:p>
    <w:p>
      <w:pPr>
        <w:jc w:val="center"/>
        <w:ind w:right="-46"/>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66040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7"/>
          </w:cols>
          <w:pgMar w:left="493" w:top="122" w:right="539" w:bottom="1440" w:gutter="0" w:footer="0" w:header="0"/>
        </w:sectPr>
      </w:pPr>
    </w:p>
    <w:bookmarkStart w:id="176" w:name="page177"/>
    <w:bookmarkEnd w:id="176"/>
    <w:p>
      <w:pPr>
        <w:jc w:val="both"/>
        <w:ind w:right="20"/>
        <w:spacing w:after="0" w:line="261" w:lineRule="auto"/>
        <w:rPr>
          <w:sz w:val="20"/>
          <w:szCs w:val="20"/>
          <w:color w:val="auto"/>
        </w:rPr>
      </w:pPr>
      <w:r>
        <w:rPr>
          <w:rFonts w:ascii="Arial" w:cs="Arial" w:eastAsia="Arial" w:hAnsi="Arial"/>
          <w:sz w:val="20"/>
          <w:szCs w:val="20"/>
          <w:color w:val="auto"/>
        </w:rPr>
        <w:t>long as such incurrence otherwise constitutes “Credit Agreement Refinancing Indebtedness” and (y) such Credit Agreement Refinancing Indebtedness shall not be subject to any “most favored nation” pricing provisions.</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Amount</w:t>
      </w:r>
      <w:r>
        <w:rPr>
          <w:rFonts w:ascii="Arial" w:cs="Arial" w:eastAsia="Arial" w:hAnsi="Arial"/>
          <w:sz w:val="20"/>
          <w:szCs w:val="20"/>
          <w:color w:val="auto"/>
        </w:rPr>
        <w:t>” has the meaning assigned to such term in Section 7.02(a).</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Right</w:t>
      </w:r>
      <w:r>
        <w:rPr>
          <w:rFonts w:ascii="Arial" w:cs="Arial" w:eastAsia="Arial" w:hAnsi="Arial"/>
          <w:sz w:val="20"/>
          <w:szCs w:val="20"/>
          <w:color w:val="auto"/>
        </w:rPr>
        <w:t>” has the meaning assigned to such term in Section 7.02(a).</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Termination Date</w:t>
      </w:r>
      <w:r>
        <w:rPr>
          <w:rFonts w:ascii="Arial" w:cs="Arial" w:eastAsia="Arial" w:hAnsi="Arial"/>
          <w:sz w:val="20"/>
          <w:szCs w:val="20"/>
          <w:color w:val="auto"/>
        </w:rPr>
        <w:t>” has the meaning assigned to such term in Section 7.02(a).</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Cured Default</w:t>
      </w:r>
      <w:r>
        <w:rPr>
          <w:rFonts w:ascii="Arial" w:cs="Arial" w:eastAsia="Arial" w:hAnsi="Arial"/>
          <w:sz w:val="20"/>
          <w:szCs w:val="20"/>
          <w:color w:val="auto"/>
        </w:rPr>
        <w:t>” has the meaning assigned to such term in Section 1.03.</w:t>
      </w:r>
    </w:p>
    <w:p>
      <w:pPr>
        <w:spacing w:after="0" w:line="236" w:lineRule="exact"/>
        <w:rPr>
          <w:sz w:val="20"/>
          <w:szCs w:val="20"/>
          <w:color w:val="auto"/>
        </w:rPr>
      </w:pPr>
    </w:p>
    <w:p>
      <w:pPr>
        <w:jc w:val="both"/>
        <w:ind w:firstLine="149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means, for any day</w:t>
      </w:r>
      <w:r>
        <w:rPr>
          <w:rFonts w:ascii="Arial" w:cs="Arial" w:eastAsia="Arial" w:hAnsi="Arial"/>
          <w:sz w:val="18"/>
          <w:szCs w:val="18"/>
          <w:b w:val="1"/>
          <w:bCs w:val="1"/>
          <w:color w:val="FF0000"/>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 “</w:t>
      </w:r>
      <w:r>
        <w:rPr>
          <w:rFonts w:ascii="Arial" w:cs="Arial" w:eastAsia="Arial" w:hAnsi="Arial"/>
          <w:sz w:val="18"/>
          <w:szCs w:val="18"/>
          <w:color w:val="auto"/>
        </w:rPr>
        <w:t>SOFR</w:t>
      </w:r>
      <w:r>
        <w:rPr>
          <w:rFonts w:ascii="Arial" w:cs="Arial" w:eastAsia="Arial" w:hAnsi="Arial"/>
          <w:sz w:val="18"/>
          <w:szCs w:val="18"/>
          <w:b w:val="1"/>
          <w:bCs w:val="1"/>
          <w:color w:val="FF0000"/>
          <w:strike w:val="1"/>
        </w:rPr>
        <w:t>, with the conventions for this rate (which may include a</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 xml:space="preserve">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w:t>
      </w:r>
      <w:r>
        <w:rPr>
          <w:rFonts w:ascii="Arial" w:cs="Arial" w:eastAsia="Arial" w:hAnsi="Arial"/>
          <w:sz w:val="18"/>
          <w:szCs w:val="18"/>
          <w:b w:val="1"/>
          <w:bCs w:val="1"/>
          <w:u w:val="single" w:color="auto"/>
          <w:color w:val="0000FF"/>
          <w:strike w:val="1"/>
        </w:rPr>
        <w:t>Rate Day”),</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a rate per annum equal to SOFR for the day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spacing w:after="0" w:line="187" w:lineRule="exact"/>
        <w:rPr>
          <w:sz w:val="20"/>
          <w:szCs w:val="20"/>
          <w:color w:val="auto"/>
        </w:rPr>
      </w:pPr>
    </w:p>
    <w:p>
      <w:pPr>
        <w:jc w:val="both"/>
        <w:ind w:firstLine="14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Repayment</w:t>
      </w:r>
      <w:r>
        <w:rPr>
          <w:rFonts w:ascii="Arial" w:cs="Arial" w:eastAsia="Arial" w:hAnsi="Arial"/>
          <w:sz w:val="16"/>
          <w:szCs w:val="16"/>
          <w:color w:val="auto"/>
        </w:rPr>
        <w:t>” means the repayment, refinancing, roll over, termination, discharge, defeasance or release, or the arrangement for the repayment, refinancing, roll over, termination, discharge, defeasance or release in a manner reasonably satisfactory to the Administrative Agent of all Indebtedness (including any accrued and unpaid interest and any make whole or other premiums thereon) and guaranties and security granted by (i) Borrower and its Subsidiaries under the 9.875% secured notes facility evidenced by that certain Indenture, dated as of April 25, 2019 (as amended, restated, supplemented or otherwise modified), among the Borrower, Gogo Finance Co. Inc. and the other parties thereto and (ii) Holdings and its Subsidiaries under the asset based credit facilities evidenced by that certain Credit Agreement, dated as of August 26, 2019 (as amended, restated, supplemented or otherwise modified), among Holdings, the Borrower, Gogo Finance Co. Inc. and JPMorgan Chase Bank, N.A., as administrative agent and the other parties thereto.</w:t>
      </w:r>
    </w:p>
    <w:p>
      <w:pPr>
        <w:spacing w:after="0" w:line="169" w:lineRule="exact"/>
        <w:rPr>
          <w:sz w:val="20"/>
          <w:szCs w:val="20"/>
          <w:color w:val="auto"/>
        </w:rPr>
      </w:pPr>
    </w:p>
    <w:p>
      <w:pPr>
        <w:jc w:val="both"/>
        <w:ind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and all other liquidation, conservatorship, bankruptcy, assignment for the benefit of creditors, moratorium, rearrangement, receivership, insolvency, reorganization, examinership or similar debtor relief laws of the United States or other applicable jurisdictions (domestic or foreign) from time to time in effect and affecting the rights of creditors generally.</w:t>
      </w:r>
    </w:p>
    <w:p>
      <w:pPr>
        <w:spacing w:after="0" w:line="203" w:lineRule="exact"/>
        <w:rPr>
          <w:sz w:val="20"/>
          <w:szCs w:val="20"/>
          <w:color w:val="auto"/>
        </w:rPr>
      </w:pPr>
    </w:p>
    <w:p>
      <w:pPr>
        <w:ind w:right="4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upon notice, lapse of time or both would, unless cured or waived, become an Event of Default.</w:t>
      </w:r>
    </w:p>
    <w:p>
      <w:pPr>
        <w:spacing w:after="0" w:line="189"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Direction</w:t>
      </w:r>
      <w:r>
        <w:rPr>
          <w:rFonts w:ascii="Arial" w:cs="Arial" w:eastAsia="Arial" w:hAnsi="Arial"/>
          <w:sz w:val="18"/>
          <w:szCs w:val="18"/>
          <w:color w:val="auto"/>
        </w:rPr>
        <w:t>” has the meaning assigned to such term in Section 9.24(c). “</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subject to Section 2.22(b), any Lender that (a) has failed to perform any of its funding obligations hereunder (or otherwise failed to pay over to the Administrative Agent any amounts owed by such Lender hereunder), including in respect of its Loans or participations in respect of Letters of Credit, within one (1) Business Days of the date required to be funded by it hereunder unless such Lender notifies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177" w:name="page178"/>
    <w:bookmarkEnd w:id="177"/>
    <w:p>
      <w:pPr>
        <w:jc w:val="both"/>
        <w:ind w:right="20"/>
        <w:spacing w:after="0" w:line="268" w:lineRule="auto"/>
        <w:rPr>
          <w:sz w:val="20"/>
          <w:szCs w:val="20"/>
          <w:color w:val="auto"/>
        </w:rPr>
      </w:pPr>
      <w:r>
        <w:rPr>
          <w:rFonts w:ascii="Arial" w:cs="Arial" w:eastAsia="Arial" w:hAnsi="Arial"/>
          <w:sz w:val="18"/>
          <w:szCs w:val="18"/>
          <w:color w:val="auto"/>
        </w:rPr>
        <w:t xml:space="preserve">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Administrative Agent, any Issuing Bank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Administrative Agent (whether acting on its own behalf or at the reasonable request of the Borrower (it being understood that the Administrative Agent shall comply with any such reasonable request)) or any Issuing Bank, to confirm in a manner satisfactory to the Administrative Agent, such Issuing Bank and the Borrower that it will comply with its funding obligations (provided that such Lender shall cease to be a Defaulting Lender pursuant to this clause (c) upon receipt of such written confirmation by the Administrative Agent and the Borrower), or (d) has, or has a direct or indirect parent company that has, (i) become or is insolvent (or has admitted in writing that it is insolvent), (ii) become the subject of a proceeding under any Debtor Relief Law, (iii) had a receiver, conservator, trustee, administrator, examiner, assignee for the benefit of creditors or similar Person charged with reorganization or liquidation of its business or a substantial part of its assets or a custodian appointed for it or a substantial part of its assets, (iv) taken any action in furtherance of, or indicated its consent to, approval of or acquiescence in any such proceeding or appointment or (v)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spacing w:after="0" w:line="202" w:lineRule="exact"/>
        <w:rPr>
          <w:sz w:val="20"/>
          <w:szCs w:val="20"/>
          <w:color w:val="auto"/>
        </w:rPr>
      </w:pPr>
    </w:p>
    <w:p>
      <w:pPr>
        <w:jc w:val="both"/>
        <w:ind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 Fronting Exposure</w:t>
      </w:r>
      <w:r>
        <w:rPr>
          <w:rFonts w:ascii="Arial" w:cs="Arial" w:eastAsia="Arial" w:hAnsi="Arial"/>
          <w:sz w:val="20"/>
          <w:szCs w:val="20"/>
          <w:color w:val="auto"/>
        </w:rPr>
        <w:t>” means, at any time there is a Defaulting Lender, with respect to any Issuing Bank, such Defaulting Lender’s Applicable Percentage of the Loan Document Obligations with respect to the Letters of Credit issued by such Issuing Bank other than Loan Document Obligations as to which such Defaulting Lender’s participation obligation has been reallocated to other Lenders or cash collateralized in accordance with the terms hereof.</w:t>
      </w:r>
    </w:p>
    <w:p>
      <w:pPr>
        <w:spacing w:after="0" w:line="203" w:lineRule="exact"/>
        <w:rPr>
          <w:sz w:val="20"/>
          <w:szCs w:val="20"/>
          <w:color w:val="auto"/>
        </w:rPr>
      </w:pPr>
    </w:p>
    <w:p>
      <w:pPr>
        <w:ind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203" w:lineRule="exact"/>
        <w:rPr>
          <w:sz w:val="20"/>
          <w:szCs w:val="20"/>
          <w:color w:val="auto"/>
        </w:rPr>
      </w:pPr>
    </w:p>
    <w:p>
      <w:pPr>
        <w:jc w:val="both"/>
        <w:ind w:right="40" w:firstLine="149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Derivative Instrument</w:t>
      </w:r>
      <w:r>
        <w:rPr>
          <w:rFonts w:ascii="Arial" w:cs="Arial" w:eastAsia="Arial" w:hAnsi="Arial"/>
          <w:sz w:val="20"/>
          <w:szCs w:val="20"/>
          <w:color w:val="auto"/>
        </w:rPr>
        <w:t>” means with respect to a Person, any contract or instrument to which such Person is a party (whether or not requiring further performance by such Person), the value and/or cash flows of which (or any portion thereof) are based on the value and/or performance of the Loans and/or any Deliverable Obligations or “Obligations” (as defined in the ISDA CDS Definitions) with respect to the Loan Parties; provided that a “Derivative Instrument” will not include any contract or instrument that is entered into pursuant to bona fide market-making activities.</w:t>
      </w:r>
    </w:p>
    <w:p>
      <w:pPr>
        <w:spacing w:after="0" w:line="206" w:lineRule="exact"/>
        <w:rPr>
          <w:sz w:val="20"/>
          <w:szCs w:val="20"/>
          <w:color w:val="auto"/>
        </w:rPr>
      </w:pPr>
    </w:p>
    <w:p>
      <w:pPr>
        <w:jc w:val="both"/>
        <w:ind w:right="40" w:firstLine="149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Non-Cash Consideration</w:t>
      </w:r>
      <w:r>
        <w:rPr>
          <w:rFonts w:ascii="Arial" w:cs="Arial" w:eastAsia="Arial" w:hAnsi="Arial"/>
          <w:sz w:val="19"/>
          <w:szCs w:val="19"/>
          <w:color w:val="auto"/>
        </w:rPr>
        <w:t>” means the fair market value of non-cash consideration received by the Borrower or a Subsidiary in connection with a Disposition pursuant to Section 6.05(k)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color w:val="auto"/>
        </w:rPr>
        <w:t>days following the consummation of the applicable Disposition).</w:t>
      </w:r>
    </w:p>
    <w:p>
      <w:pPr>
        <w:spacing w:after="0" w:line="230"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 Prepayment Accepting Lender</w:t>
      </w:r>
      <w:r>
        <w:rPr>
          <w:rFonts w:ascii="Arial" w:cs="Arial" w:eastAsia="Arial" w:hAnsi="Arial"/>
          <w:sz w:val="19"/>
          <w:szCs w:val="19"/>
          <w:color w:val="auto"/>
        </w:rPr>
        <w:t>” has the meaning assigned to such term in Section 2.11(a)(ii)(B)(2).</w:t>
      </w:r>
    </w:p>
    <w:p>
      <w:pPr>
        <w:spacing w:after="0" w:line="21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Range</w:t>
      </w:r>
      <w:r>
        <w:rPr>
          <w:rFonts w:ascii="Arial" w:cs="Arial" w:eastAsia="Arial" w:hAnsi="Arial"/>
          <w:sz w:val="20"/>
          <w:szCs w:val="20"/>
          <w:color w:val="auto"/>
        </w:rPr>
        <w:t>” has the meaning assigned to such term in Section 2.11(a)(ii)(C)(1).</w:t>
      </w:r>
    </w:p>
    <w:p>
      <w:pPr>
        <w:spacing w:after="0" w:line="202" w:lineRule="exact"/>
        <w:rPr>
          <w:sz w:val="20"/>
          <w:szCs w:val="20"/>
          <w:color w:val="auto"/>
        </w:rPr>
      </w:pPr>
    </w:p>
    <w:p>
      <w:pPr>
        <w:ind w:right="2960" w:firstLine="150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Range Prepayment Amount</w:t>
      </w:r>
      <w:r>
        <w:rPr>
          <w:rFonts w:ascii="Arial" w:cs="Arial" w:eastAsia="Arial" w:hAnsi="Arial"/>
          <w:sz w:val="20"/>
          <w:szCs w:val="20"/>
          <w:color w:val="auto"/>
        </w:rPr>
        <w:t>” has the meaning assigned to such term in Section 2.11(a)(ii)(C)(1).</w:t>
      </w:r>
    </w:p>
    <w:p>
      <w:pPr>
        <w:spacing w:after="0" w:line="189" w:lineRule="exact"/>
        <w:rPr>
          <w:sz w:val="20"/>
          <w:szCs w:val="20"/>
          <w:color w:val="auto"/>
        </w:rPr>
      </w:pPr>
    </w:p>
    <w:p>
      <w:pPr>
        <w:jc w:val="both"/>
        <w:ind w:right="2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Range Prepayment Notice</w:t>
      </w:r>
      <w:r>
        <w:rPr>
          <w:rFonts w:ascii="Arial" w:cs="Arial" w:eastAsia="Arial" w:hAnsi="Arial"/>
          <w:sz w:val="20"/>
          <w:szCs w:val="20"/>
          <w:color w:val="auto"/>
        </w:rPr>
        <w:t>” means a written notice of a Borrower Solicitation of Discount Range Prepayment Offers made pursuant to Section 2.11(a)(ii)(C) substantially in the form of Exhibit I.</w:t>
      </w:r>
    </w:p>
    <w:p>
      <w:pPr>
        <w:spacing w:after="0" w:line="203" w:lineRule="exact"/>
        <w:rPr>
          <w:sz w:val="20"/>
          <w:szCs w:val="20"/>
          <w:color w:val="auto"/>
        </w:rPr>
      </w:pPr>
    </w:p>
    <w:p>
      <w:pPr>
        <w:jc w:val="both"/>
        <w:ind w:right="4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Range Prepayment Offer</w:t>
      </w:r>
      <w:r>
        <w:rPr>
          <w:rFonts w:ascii="Arial" w:cs="Arial" w:eastAsia="Arial" w:hAnsi="Arial"/>
          <w:sz w:val="20"/>
          <w:szCs w:val="20"/>
          <w:color w:val="auto"/>
        </w:rPr>
        <w:t>” means the irrevocable written offer by a Term Lender, substantially in the form of Exhibit J, submitted in response to an invitation to submit offers following the Auction Agent’s receipt of a Discount Range Prepayment Notice.</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Response Date</w:t>
      </w:r>
      <w:r>
        <w:rPr>
          <w:rFonts w:ascii="Arial" w:cs="Arial" w:eastAsia="Arial" w:hAnsi="Arial"/>
          <w:sz w:val="18"/>
          <w:szCs w:val="18"/>
          <w:color w:val="auto"/>
        </w:rPr>
        <w:t>” has the meaning assigned to such term in Section 2.11(a)(ii)(C)(1).</w:t>
      </w:r>
    </w:p>
    <w:p>
      <w:pPr>
        <w:spacing w:after="0" w:line="25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Range Proration</w:t>
      </w:r>
      <w:r>
        <w:rPr>
          <w:rFonts w:ascii="Arial" w:cs="Arial" w:eastAsia="Arial" w:hAnsi="Arial"/>
          <w:sz w:val="20"/>
          <w:szCs w:val="20"/>
          <w:color w:val="auto"/>
        </w:rPr>
        <w:t>” has the meaning assigned to such term in Section 2.11(a)(ii)(C)(3).</w:t>
      </w:r>
    </w:p>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Prepayment Determination Date</w:t>
      </w:r>
      <w:r>
        <w:rPr>
          <w:rFonts w:ascii="Arial" w:cs="Arial" w:eastAsia="Arial" w:hAnsi="Arial"/>
          <w:sz w:val="18"/>
          <w:szCs w:val="18"/>
          <w:color w:val="auto"/>
        </w:rPr>
        <w:t>” has the meaning assigned to such term in Section 2.11(a)(ii)(D)(3).</w:t>
      </w:r>
    </w:p>
    <w:p>
      <w:pPr>
        <w:spacing w:after="0" w:line="251" w:lineRule="exact"/>
        <w:rPr>
          <w:sz w:val="20"/>
          <w:szCs w:val="20"/>
          <w:color w:val="auto"/>
        </w:rPr>
      </w:pPr>
    </w:p>
    <w:p>
      <w:pPr>
        <w:jc w:val="both"/>
        <w:ind w:firstLine="149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Discounted Prepayment Effective Date</w:t>
      </w:r>
      <w:r>
        <w:rPr>
          <w:rFonts w:ascii="Arial" w:cs="Arial" w:eastAsia="Arial" w:hAnsi="Arial"/>
          <w:sz w:val="20"/>
          <w:szCs w:val="20"/>
          <w:color w:val="auto"/>
        </w:rPr>
        <w:t>” means in the case of a Borrower Offer of Specified Discount Prepayment, Borrower Solicitation of Discount Range Prepayment Offer or Borrower Solicitation of Discounted Prepayment Offers, five (5) Business Days following the receipt by each relevant Term Lender of notice from the Auction Agent in accordance with Section 2.11(a)(ii)(B), Section 2.11(a)(ii)(C) or Section 2.11(a)(ii)(D), as applicable unless a shorter period is agreed to between the Borrower and the Auction Agent.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Discounted Term Loan Prepayment</w:t>
      </w:r>
      <w:r>
        <w:rPr>
          <w:rFonts w:ascii="Arial" w:cs="Arial" w:eastAsia="Arial" w:hAnsi="Arial"/>
          <w:sz w:val="20"/>
          <w:szCs w:val="20"/>
          <w:color w:val="auto"/>
        </w:rPr>
        <w:t>” has the meaning assigned to such term in Section 2.11(a)(ii)(A).</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Dispose</w:t>
      </w:r>
      <w:r>
        <w:rPr>
          <w:rFonts w:ascii="Arial" w:cs="Arial" w:eastAsia="Arial" w:hAnsi="Arial"/>
          <w:sz w:val="20"/>
          <w:szCs w:val="20"/>
          <w:color w:val="auto"/>
        </w:rPr>
        <w:t>” and “</w:t>
      </w:r>
      <w:r>
        <w:rPr>
          <w:rFonts w:ascii="Arial" w:cs="Arial" w:eastAsia="Arial" w:hAnsi="Arial"/>
          <w:sz w:val="20"/>
          <w:szCs w:val="20"/>
          <w:u w:val="single" w:color="auto"/>
          <w:color w:val="auto"/>
        </w:rPr>
        <w:t>Disposition</w:t>
      </w:r>
      <w:r>
        <w:rPr>
          <w:rFonts w:ascii="Arial" w:cs="Arial" w:eastAsia="Arial" w:hAnsi="Arial"/>
          <w:sz w:val="20"/>
          <w:szCs w:val="20"/>
          <w:color w:val="auto"/>
        </w:rPr>
        <w:t>” each have the meaning assigned to such term in Section 6.05.</w:t>
      </w:r>
    </w:p>
    <w:p>
      <w:pPr>
        <w:spacing w:after="0" w:line="228" w:lineRule="exact"/>
        <w:rPr>
          <w:sz w:val="20"/>
          <w:szCs w:val="20"/>
          <w:color w:val="auto"/>
        </w:rPr>
      </w:pPr>
    </w:p>
    <w:p>
      <w:pPr>
        <w:jc w:val="both"/>
        <w:ind w:right="40" w:firstLine="149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EBITDA</w:t>
      </w:r>
      <w:r>
        <w:rPr>
          <w:rFonts w:ascii="Arial" w:cs="Arial" w:eastAsia="Arial" w:hAnsi="Arial"/>
          <w:sz w:val="18"/>
          <w:szCs w:val="18"/>
          <w:color w:val="auto"/>
        </w:rPr>
        <w:t>” means, with respect to any Sold Entity or Business or Converted Unrestricted Subsidiary for any period through (but not after) the date of such disposition or conversion, the amount for such period of Consolidated EBITDA of such Sold Entity or Business or Converted Unrestricted Subsidiary (determined as if references to the Borrower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95" w:lineRule="exact"/>
        <w:rPr>
          <w:sz w:val="20"/>
          <w:szCs w:val="20"/>
          <w:color w:val="auto"/>
        </w:rPr>
      </w:pPr>
    </w:p>
    <w:p>
      <w:pPr>
        <w:jc w:val="both"/>
        <w:ind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Equity Interest</w:t>
      </w:r>
      <w:r>
        <w:rPr>
          <w:rFonts w:ascii="Arial" w:cs="Arial" w:eastAsia="Arial" w:hAnsi="Arial"/>
          <w:sz w:val="20"/>
          <w:szCs w:val="20"/>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179" w:name="page180"/>
    <w:bookmarkEnd w:id="179"/>
    <w:p>
      <w:pPr>
        <w:ind w:left="5"/>
        <w:spacing w:after="0"/>
        <w:rPr>
          <w:sz w:val="20"/>
          <w:szCs w:val="20"/>
          <w:color w:val="auto"/>
        </w:rPr>
      </w:pPr>
      <w:r>
        <w:rPr>
          <w:rFonts w:ascii="Arial" w:cs="Arial" w:eastAsia="Arial" w:hAnsi="Arial"/>
          <w:sz w:val="20"/>
          <w:szCs w:val="20"/>
          <w:color w:val="auto"/>
        </w:rPr>
        <w:t>or condition:</w:t>
      </w:r>
    </w:p>
    <w:p>
      <w:pPr>
        <w:spacing w:after="0" w:line="243" w:lineRule="exact"/>
        <w:rPr>
          <w:sz w:val="20"/>
          <w:szCs w:val="20"/>
          <w:color w:val="auto"/>
        </w:rPr>
      </w:pPr>
    </w:p>
    <w:p>
      <w:pPr>
        <w:jc w:val="both"/>
        <w:ind w:left="745" w:right="40" w:firstLine="750"/>
        <w:spacing w:after="0" w:line="249" w:lineRule="auto"/>
        <w:tabs>
          <w:tab w:leader="none" w:pos="217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201" w:lineRule="exact"/>
        <w:rPr>
          <w:rFonts w:ascii="Arial" w:cs="Arial" w:eastAsia="Arial" w:hAnsi="Arial"/>
          <w:sz w:val="20"/>
          <w:szCs w:val="20"/>
          <w:color w:val="auto"/>
        </w:rPr>
      </w:pPr>
    </w:p>
    <w:p>
      <w:pPr>
        <w:jc w:val="both"/>
        <w:ind w:left="745" w:right="20" w:firstLine="750"/>
        <w:spacing w:after="0" w:line="249" w:lineRule="auto"/>
        <w:tabs>
          <w:tab w:leader="none" w:pos="2178"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214" w:lineRule="exact"/>
        <w:rPr>
          <w:rFonts w:ascii="Arial" w:cs="Arial" w:eastAsia="Arial" w:hAnsi="Arial"/>
          <w:sz w:val="20"/>
          <w:szCs w:val="20"/>
          <w:color w:val="auto"/>
        </w:rPr>
      </w:pPr>
    </w:p>
    <w:p>
      <w:pPr>
        <w:jc w:val="both"/>
        <w:ind w:left="745" w:right="40" w:firstLine="750"/>
        <w:spacing w:after="0" w:line="249" w:lineRule="auto"/>
        <w:tabs>
          <w:tab w:leader="none" w:pos="217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201" w:lineRule="exact"/>
        <w:rPr>
          <w:sz w:val="20"/>
          <w:szCs w:val="20"/>
          <w:color w:val="auto"/>
        </w:rPr>
      </w:pPr>
    </w:p>
    <w:p>
      <w:pPr>
        <w:jc w:val="both"/>
        <w:ind w:left="5"/>
        <w:spacing w:after="0" w:line="256" w:lineRule="auto"/>
        <w:rPr>
          <w:sz w:val="20"/>
          <w:szCs w:val="20"/>
          <w:color w:val="auto"/>
        </w:rPr>
      </w:pPr>
      <w:r>
        <w:rPr>
          <w:rFonts w:ascii="Arial" w:cs="Arial" w:eastAsia="Arial" w:hAnsi="Arial"/>
          <w:sz w:val="19"/>
          <w:szCs w:val="19"/>
          <w:color w:val="auto"/>
        </w:rPr>
        <w:t xml:space="preserve">in each case, on or prior to the date ninety-one (91) days after the Latest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in control” or similar event shall not constitute a Disqualified Equity Interest if any such requirement becomes operative only after the Termination Date and (ii) if an Equity Interest in any Person is issued pursuant to any plan for the benefit of employees of the Borrower (or any direct or indirect parent thereof) or any of its Subsidiaries or by any such plan to such employees, such Equity Interest shall not constitute a Disqualified Equity Interest solely because it may be required to be repurchased by the Borrower (or any direct or indirect parent company thereof) or any of its Subsidiaries in order to satisfy applicable statutory or regulatory obligations of such Person or as a result of such employee’s termination, death or disability.</w:t>
      </w:r>
    </w:p>
    <w:p>
      <w:pPr>
        <w:spacing w:after="0" w:line="208" w:lineRule="exact"/>
        <w:rPr>
          <w:sz w:val="20"/>
          <w:szCs w:val="20"/>
          <w:color w:val="auto"/>
        </w:rPr>
      </w:pPr>
    </w:p>
    <w:p>
      <w:pPr>
        <w:jc w:val="both"/>
        <w:ind w:left="5" w:right="40" w:firstLine="149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Lenders</w:t>
      </w:r>
      <w:r>
        <w:rPr>
          <w:rFonts w:ascii="Arial" w:cs="Arial" w:eastAsia="Arial" w:hAnsi="Arial"/>
          <w:sz w:val="18"/>
          <w:szCs w:val="18"/>
          <w:color w:val="auto"/>
        </w:rPr>
        <w:t>” means (i) those Persons identified by the Borrower to the Joint Lead Arrangers in writing prior to the Effective Date as being “Disqualified Lenders”, (ii) those Persons who are competitors of the Borrower and its Subsidiaries,</w:t>
      </w:r>
    </w:p>
    <w:p>
      <w:pPr>
        <w:jc w:val="both"/>
        <w:ind w:left="5" w:right="20" w:hanging="5"/>
        <w:spacing w:after="0" w:line="268" w:lineRule="auto"/>
        <w:tabs>
          <w:tab w:leader="none" w:pos="36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Excluded Affiliates, (iv) in the case of each Person identified pursuant to clauses (i) or (ii) above, any of their Affiliates that are either (x) identified in writing by the Borrower to the Administrative Agent from time to time or (y) known or reasonably identifiable as an Affiliate of any such Person, but excluding any Affiliate that is primarily engaged in, or that advises funds other investment vehicles that are engaged in, making, purchasing, holding or otherwise investing in commercial loans, bonds and similar extensions of credit or securities in the ordinary course and with respect to which such Person included pursuant to clause (ii) does not, directly or indirectly, possess the power to direct or cause the direction of the investment policies of such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additional designation permitted by the foregoing shall not apply retroactively to any prior assignment to any Lender (or prior participation in the Loans) so long as such Lender or Participant continues to hold or participate in such Loans) and (v) at any time, or with respect to any action (or proposed action) in connection with which, a Net Short Representation is required to be made (or deemed made) hereunder, any Lender (or prospective Lender) that the Borrower has designated in a written notice to the Administrative Agent as a Disqualified Institution on the basis that the Borrower has determined in good faith that such Person has breached its Net Short Representation at such time or in connection with such action (or proposed action). Upon inquiry by any Lender to the Administrative Agent as to whether a specified potential assignee or prospective participant is a Disqualified Lender, the Administrative Agent shall be permitted to disclose to such Lender the list of Disqualified Lenders.</w:t>
      </w:r>
    </w:p>
    <w:p>
      <w:pPr>
        <w:spacing w:after="0" w:line="200" w:lineRule="exact"/>
        <w:rPr>
          <w:sz w:val="20"/>
          <w:szCs w:val="20"/>
          <w:color w:val="auto"/>
        </w:rPr>
      </w:pPr>
    </w:p>
    <w:p>
      <w:pPr>
        <w:ind w:left="1505"/>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Amount</w:t>
      </w:r>
      <w:r>
        <w:rPr>
          <w:rFonts w:ascii="Arial" w:cs="Arial" w:eastAsia="Arial" w:hAnsi="Arial"/>
          <w:sz w:val="20"/>
          <w:szCs w:val="20"/>
          <w:color w:val="auto"/>
        </w:rPr>
        <w:t>” means, at any time:</w:t>
      </w:r>
    </w:p>
    <w:p>
      <w:pPr>
        <w:spacing w:after="0" w:line="200" w:lineRule="exact"/>
        <w:rPr>
          <w:sz w:val="20"/>
          <w:szCs w:val="20"/>
          <w:color w:val="auto"/>
        </w:rPr>
      </w:pPr>
    </w:p>
    <w:p>
      <w:pPr>
        <w:spacing w:after="0" w:line="231" w:lineRule="exact"/>
        <w:rPr>
          <w:sz w:val="20"/>
          <w:szCs w:val="20"/>
          <w:color w:val="auto"/>
        </w:rPr>
      </w:pPr>
    </w:p>
    <w:p>
      <w:pPr>
        <w:jc w:val="center"/>
        <w:ind w:right="-24"/>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66040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5"/>
          </w:cols>
          <w:pgMar w:left="495" w:top="122" w:right="519" w:bottom="1440" w:gutter="0" w:footer="0" w:header="0"/>
        </w:sectPr>
      </w:pPr>
    </w:p>
    <w:bookmarkStart w:id="180" w:name="page181"/>
    <w:bookmarkEnd w:id="180"/>
    <w:p>
      <w:pPr>
        <w:ind w:left="2320" w:hanging="681"/>
        <w:spacing w:after="0"/>
        <w:tabs>
          <w:tab w:leader="none" w:pos="232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with respect to an amount denominated in Dollars, such amount;</w:t>
      </w:r>
    </w:p>
    <w:p>
      <w:pPr>
        <w:spacing w:after="0" w:line="243" w:lineRule="exact"/>
        <w:rPr>
          <w:rFonts w:ascii="Arial" w:cs="Arial" w:eastAsia="Arial" w:hAnsi="Arial"/>
          <w:sz w:val="20"/>
          <w:szCs w:val="20"/>
          <w:color w:val="auto"/>
        </w:rPr>
      </w:pPr>
    </w:p>
    <w:p>
      <w:pPr>
        <w:jc w:val="both"/>
        <w:ind w:left="900" w:firstLine="739"/>
        <w:spacing w:after="0" w:line="260" w:lineRule="auto"/>
        <w:tabs>
          <w:tab w:leader="none" w:pos="232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with respect to any amount denominated in a currency other than Dollars, where a determination of such amount is required to be made under any Loan Document by the Administrative Agent or any Issuing Bank, the equivalent amount thereof in Dollars as determined by the Administrative Agent or such Issuing Bank, as the case may be, at such time on the basis of the Spot Rate (determined in respect of the most recent Revaluation Date or other applicable date of determination) for the purchase of Dollars with such alternative currency; and</w:t>
      </w:r>
    </w:p>
    <w:p>
      <w:pPr>
        <w:spacing w:after="0" w:line="191" w:lineRule="exact"/>
        <w:rPr>
          <w:rFonts w:ascii="Arial" w:cs="Arial" w:eastAsia="Arial" w:hAnsi="Arial"/>
          <w:sz w:val="19"/>
          <w:szCs w:val="19"/>
          <w:color w:val="auto"/>
        </w:rPr>
      </w:pPr>
    </w:p>
    <w:p>
      <w:pPr>
        <w:jc w:val="both"/>
        <w:ind w:left="900" w:firstLine="739"/>
        <w:spacing w:after="0" w:line="246" w:lineRule="auto"/>
        <w:tabs>
          <w:tab w:leader="none" w:pos="232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with respect to any amount denominated in a currency other than Dollars, where a determination of such amount is required to be made under any Loan Document by Holdings, the Borrower or any Restricted Subsidiary, the equivalent amount thereof in Dollars as determined on the basis of the Exchange Rate for such currency and as determined in accordance with Section 1.08.</w:t>
      </w:r>
    </w:p>
    <w:p>
      <w:pPr>
        <w:spacing w:after="0" w:line="21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228"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of the Borrower organized or incorporated in the United States (or any state thereof or the District of Columbia).</w:t>
      </w:r>
    </w:p>
    <w:p>
      <w:pPr>
        <w:spacing w:after="0" w:line="203" w:lineRule="exact"/>
        <w:rPr>
          <w:sz w:val="20"/>
          <w:szCs w:val="20"/>
          <w:color w:val="auto"/>
        </w:rPr>
      </w:pPr>
    </w:p>
    <w:p>
      <w:pPr>
        <w:jc w:val="both"/>
        <w:ind w:firstLine="149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means, with respect to the prepayment required by Section 2.11(d) with respect to any fiscal year of the Borrower, if the Senior Secured First Lien Net Leverage Ratio (after giving effect to the applicable prepayment pursuant to Section 2.11(d), and after giving effect to any voluntary prepayments made pursuant to Section 2.11(a) prior to the date of such prepayment as the Senior Secured First Lien Net Leverage Ratio may be recalculated to give pro forma effect to the making of the foregoing payments) as of the end of such fiscal year (as adjusted pursuant to the foregoing) is (a) greater than 4.50 to 1.00, 50% of Excess Cash Flow for such fiscal year, (b) greater than 4.00 to 1.00, but less than or equal to 4.50 to 1.00, 25% of Excess Cash Flow for such fiscal year and (c) less than or equal to 4.00 to 1.00, 0% of Excess Cash Flow for such fiscal year.</w:t>
      </w:r>
    </w:p>
    <w:p>
      <w:pPr>
        <w:spacing w:after="0" w:line="180"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51" w:lineRule="exact"/>
        <w:rPr>
          <w:sz w:val="20"/>
          <w:szCs w:val="20"/>
          <w:color w:val="auto"/>
        </w:rPr>
      </w:pPr>
    </w:p>
    <w:p>
      <w:pPr>
        <w:jc w:val="both"/>
        <w:ind w:right="6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9"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Early Opt-in Election</w:t>
      </w:r>
      <w:r>
        <w:rPr>
          <w:rFonts w:ascii="Arial" w:cs="Arial" w:eastAsia="Arial" w:hAnsi="Arial"/>
          <w:sz w:val="20"/>
          <w:szCs w:val="20"/>
          <w:b w:val="1"/>
          <w:bCs w:val="1"/>
          <w:color w:val="FF0000"/>
          <w:strike w:val="1"/>
        </w:rPr>
        <w:t>” means the occurrence of:</w:t>
      </w:r>
    </w:p>
    <w:p>
      <w:pPr>
        <w:spacing w:after="0" w:line="323" w:lineRule="exact"/>
        <w:rPr>
          <w:sz w:val="20"/>
          <w:szCs w:val="20"/>
          <w:color w:val="auto"/>
        </w:rPr>
      </w:pPr>
    </w:p>
    <w:p>
      <w:pPr>
        <w:jc w:val="both"/>
        <w:ind w:right="60" w:firstLine="1490"/>
        <w:spacing w:after="0" w:line="246" w:lineRule="auto"/>
        <w:tabs>
          <w:tab w:leader="none" w:pos="2679" w:val="left"/>
        </w:tabs>
        <w:numPr>
          <w:ilvl w:val="0"/>
          <w:numId w:val="116"/>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a determination by the Administrative Agent and the Borrower or (ii) a notification by the Required Lenders to the Administrative Agent (with the consent of the Borrower) that the Required Lenders have determined that U.S. dollar-denominated syndicated credit facilities being executed at such time, or that include language similar to that contained in Section 1.10, are being executed or amended, as applicable, to incorporate or adopt a new benchmark interest rate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81" w:name="page182"/>
    <w:bookmarkEnd w:id="181"/>
    <w:p>
      <w:pPr>
        <w:ind w:left="7"/>
        <w:spacing w:after="0"/>
        <w:rPr>
          <w:sz w:val="20"/>
          <w:szCs w:val="20"/>
          <w:color w:val="auto"/>
        </w:rPr>
      </w:pPr>
      <w:r>
        <w:rPr>
          <w:rFonts w:ascii="Arial" w:cs="Arial" w:eastAsia="Arial" w:hAnsi="Arial"/>
          <w:sz w:val="20"/>
          <w:szCs w:val="20"/>
          <w:b w:val="1"/>
          <w:bCs w:val="1"/>
          <w:color w:val="FF0000"/>
          <w:strike w:val="1"/>
        </w:rPr>
        <w:t>replace the Benchmark, and</w:t>
      </w:r>
    </w:p>
    <w:p>
      <w:pPr>
        <w:spacing w:after="0" w:line="323" w:lineRule="exact"/>
        <w:rPr>
          <w:sz w:val="20"/>
          <w:szCs w:val="20"/>
          <w:color w:val="auto"/>
        </w:rPr>
      </w:pPr>
    </w:p>
    <w:p>
      <w:pPr>
        <w:jc w:val="both"/>
        <w:ind w:left="7" w:firstLine="1467"/>
        <w:spacing w:after="0" w:line="248" w:lineRule="auto"/>
        <w:tabs>
          <w:tab w:leader="none" w:pos="2669" w:val="left"/>
        </w:tabs>
        <w:numPr>
          <w:ilvl w:val="0"/>
          <w:numId w:val="117"/>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the election by the Administrative Agent and the Borrower or (ii) the election by the Required Lenders (with the consent of the Borrower)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282"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April 30, 2021.</w:t>
      </w:r>
    </w:p>
    <w:p>
      <w:pPr>
        <w:spacing w:after="0" w:line="242" w:lineRule="exact"/>
        <w:rPr>
          <w:sz w:val="20"/>
          <w:szCs w:val="20"/>
          <w:color w:val="auto"/>
        </w:rPr>
      </w:pPr>
    </w:p>
    <w:p>
      <w:pPr>
        <w:jc w:val="both"/>
        <w:ind w:left="7"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 Loan Parties</w:t>
      </w:r>
      <w:r>
        <w:rPr>
          <w:rFonts w:ascii="Arial" w:cs="Arial" w:eastAsia="Arial" w:hAnsi="Arial"/>
          <w:sz w:val="20"/>
          <w:szCs w:val="20"/>
          <w:color w:val="auto"/>
        </w:rPr>
        <w:t>” means (i) Holdings, (ii) the Borrower and (iii) each other Restricted Subsidiary of the Borrower that is a Loan Party as of the Effective Date.</w:t>
      </w:r>
    </w:p>
    <w:p>
      <w:pPr>
        <w:spacing w:after="0" w:line="203" w:lineRule="exact"/>
        <w:rPr>
          <w:sz w:val="20"/>
          <w:szCs w:val="20"/>
          <w:color w:val="auto"/>
        </w:rPr>
      </w:pPr>
    </w:p>
    <w:p>
      <w:pPr>
        <w:jc w:val="both"/>
        <w:ind w:left="7" w:firstLine="1498"/>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Yield</w:t>
      </w:r>
      <w:r>
        <w:rPr>
          <w:rFonts w:ascii="Arial" w:cs="Arial" w:eastAsia="Arial" w:hAnsi="Arial"/>
          <w:sz w:val="16"/>
          <w:szCs w:val="16"/>
          <w:color w:val="auto"/>
        </w:rPr>
        <w:t xml:space="preserve">” means, as to any Indebtedness, the effective yield on such Indebtedness in the reasonable determination of the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(amortized over the shorter of (a) the remaining Weighted Average Life to Maturity of such Indebtedness and (b) four years following the date of incurrence thereof) payable generally to lenders or other institutions providing such Indebtedness, but excluding any underwriting, arrangement, syndication, commitment, unused line, prepayment, amendment, structuring, ticking or other similar fees payable in connection therewith (regardless of whether paid in whole or in part to the relevant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Indebtedness that includes a “</w:t>
      </w:r>
      <w:r>
        <w:rPr>
          <w:rFonts w:ascii="Arial" w:cs="Arial" w:eastAsia="Arial" w:hAnsi="Arial"/>
          <w:sz w:val="16"/>
          <w:szCs w:val="16"/>
          <w:b w:val="1"/>
          <w:bCs w:val="1"/>
          <w:color w:val="FF0000"/>
          <w:strike w:val="1"/>
        </w:rPr>
        <w:t>LIBOR</w:t>
      </w:r>
      <w:r>
        <w:rPr>
          <w:rFonts w:ascii="Arial" w:cs="Arial" w:eastAsia="Arial" w:hAnsi="Arial"/>
          <w:sz w:val="16"/>
          <w:szCs w:val="16"/>
          <w:b w:val="1"/>
          <w:bCs w:val="1"/>
          <w:u w:val="single" w:color="auto"/>
          <w:color w:val="0000FF"/>
        </w:rPr>
        <w:t>Term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SOFR</w:t>
      </w:r>
      <w:r>
        <w:rPr>
          <w:rFonts w:ascii="Arial" w:cs="Arial" w:eastAsia="Arial" w:hAnsi="Arial"/>
          <w:sz w:val="16"/>
          <w:szCs w:val="16"/>
          <w:b w:val="1"/>
          <w:bCs w:val="1"/>
          <w:color w:val="0000FF"/>
        </w:rPr>
        <w:t xml:space="preserve"> </w:t>
      </w:r>
      <w:r>
        <w:rPr>
          <w:rFonts w:ascii="Arial" w:cs="Arial" w:eastAsia="Arial" w:hAnsi="Arial"/>
          <w:sz w:val="16"/>
          <w:szCs w:val="16"/>
          <w:color w:val="000000"/>
        </w:rPr>
        <w:t>floor” or “Base Rate floor,” (i) to the extent that the</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LIBO</w:t>
      </w:r>
      <w:r>
        <w:rPr>
          <w:rFonts w:ascii="Arial" w:cs="Arial" w:eastAsia="Arial" w:hAnsi="Arial"/>
          <w:sz w:val="16"/>
          <w:szCs w:val="16"/>
          <w:b w:val="1"/>
          <w:bCs w:val="1"/>
          <w:u w:val="single" w:color="auto"/>
          <w:color w:val="0000FF"/>
        </w:rPr>
        <w:t>Term SOFR</w:t>
      </w:r>
      <w:r>
        <w:rPr>
          <w:rFonts w:ascii="Arial" w:cs="Arial" w:eastAsia="Arial" w:hAnsi="Arial"/>
          <w:sz w:val="16"/>
          <w:szCs w:val="16"/>
          <w:b w:val="1"/>
          <w:bCs w:val="1"/>
          <w:color w:val="0000FF"/>
        </w:rPr>
        <w:t xml:space="preserve"> </w:t>
      </w:r>
      <w:r>
        <w:rPr>
          <w:rFonts w:ascii="Arial" w:cs="Arial" w:eastAsia="Arial" w:hAnsi="Arial"/>
          <w:sz w:val="16"/>
          <w:szCs w:val="16"/>
          <w:color w:val="000000"/>
        </w:rPr>
        <w:t>Rate or Alternate Base Rate (without giving effect to any</w:t>
      </w:r>
      <w:r>
        <w:rPr>
          <w:rFonts w:ascii="Arial" w:cs="Arial" w:eastAsia="Arial" w:hAnsi="Arial"/>
          <w:sz w:val="16"/>
          <w:szCs w:val="16"/>
          <w:b w:val="1"/>
          <w:bCs w:val="1"/>
          <w:color w:val="0000FF"/>
        </w:rPr>
        <w:t xml:space="preserve"> </w:t>
      </w:r>
      <w:r>
        <w:rPr>
          <w:rFonts w:ascii="Arial" w:cs="Arial" w:eastAsia="Arial" w:hAnsi="Arial"/>
          <w:sz w:val="16"/>
          <w:szCs w:val="16"/>
          <w:color w:val="000000"/>
        </w:rPr>
        <w:t>floors in such definitions), as applicable, on the date that the Effective Yield is being calculated is less than such floor, the amount of such difference shall be deemed added to the interest rate margin for such Indebtedness for the purpose of calculating the Effective Yield and</w:t>
      </w:r>
    </w:p>
    <w:p>
      <w:pPr>
        <w:spacing w:after="0" w:line="184" w:lineRule="exact"/>
        <w:rPr>
          <w:sz w:val="20"/>
          <w:szCs w:val="20"/>
          <w:color w:val="auto"/>
        </w:rPr>
      </w:pPr>
    </w:p>
    <w:p>
      <w:pPr>
        <w:jc w:val="both"/>
        <w:ind w:left="7" w:hanging="7"/>
        <w:spacing w:after="0" w:line="241" w:lineRule="auto"/>
        <w:tabs>
          <w:tab w:leader="none" w:pos="321"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to the extent that the </w:t>
      </w: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rPr>
        <w:t>Term SOFR</w:t>
      </w:r>
      <w:r>
        <w:rPr>
          <w:rFonts w:ascii="Arial" w:cs="Arial" w:eastAsia="Arial" w:hAnsi="Arial"/>
          <w:sz w:val="20"/>
          <w:szCs w:val="20"/>
          <w:color w:val="auto"/>
        </w:rPr>
        <w:t xml:space="preserve"> Rate or Alternate Base Rate (without giving effect to any floors in such definitions), as applicable, on the date that the Effective Yield is being calculated is greater than such floor, then the floor shall be disregarded in calculating the Effective Yield.</w:t>
      </w:r>
    </w:p>
    <w:p>
      <w:pPr>
        <w:spacing w:after="0" w:line="208" w:lineRule="exact"/>
        <w:rPr>
          <w:sz w:val="20"/>
          <w:szCs w:val="20"/>
          <w:color w:val="auto"/>
        </w:rPr>
      </w:pPr>
    </w:p>
    <w:p>
      <w:pPr>
        <w:jc w:val="both"/>
        <w:ind w:left="7" w:right="4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Electing Foreign Guarantor</w:t>
      </w:r>
      <w:r>
        <w:rPr>
          <w:rFonts w:ascii="Arial" w:cs="Arial" w:eastAsia="Arial" w:hAnsi="Arial"/>
          <w:sz w:val="20"/>
          <w:szCs w:val="20"/>
          <w:color w:val="auto"/>
        </w:rPr>
        <w:t>” means any Foreign Subsidiary domiciled in an Applicable Country that, at the option and in the sole discretion of the Borrower, has been designated a Subsidiary Loan Party in an Applicable Country in accordance with Section 5.11.</w:t>
      </w:r>
    </w:p>
    <w:p>
      <w:pPr>
        <w:spacing w:after="0" w:line="201" w:lineRule="exact"/>
        <w:rPr>
          <w:sz w:val="20"/>
          <w:szCs w:val="20"/>
          <w:color w:val="auto"/>
        </w:rPr>
      </w:pPr>
    </w:p>
    <w:p>
      <w:pPr>
        <w:ind w:left="7"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Electing Guarantor</w:t>
      </w:r>
      <w:r>
        <w:rPr>
          <w:rFonts w:ascii="Arial" w:cs="Arial" w:eastAsia="Arial" w:hAnsi="Arial"/>
          <w:sz w:val="20"/>
          <w:szCs w:val="20"/>
          <w:color w:val="auto"/>
        </w:rPr>
        <w:t>” means any Excluded Subsidiary that, at the option and in the sole discretion of the Borrower, has been designated a Subsidiary Loan Party in accordance with Section 5.11.</w:t>
      </w:r>
    </w:p>
    <w:p>
      <w:pPr>
        <w:spacing w:after="0" w:line="203" w:lineRule="exact"/>
        <w:rPr>
          <w:sz w:val="20"/>
          <w:szCs w:val="20"/>
          <w:color w:val="auto"/>
        </w:rPr>
      </w:pPr>
    </w:p>
    <w:p>
      <w:pPr>
        <w:jc w:val="both"/>
        <w:ind w:left="7" w:right="40" w:firstLine="149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means (a) a Lender, (b) an Affiliate of a Lender, (c) an Approved Fund and (d) any other Person (other than Holdings, the Borrower or any of their respective Affiliates), other than, in each case, (i) a natural person (or a holding company, investment vehicle or trust for, or owned and operated by a natural person), (ii) a Defaulting Lender or (iii) a Disqualified Lender. Notwithstanding the foregoing, each Loan Party and the Lenders acknowledge and agree that the Administrative Agent shall have no responsibility or liability for monitoring or enforcing the list of Disqualified Lenders or for any assignment made to a Disqualified Lender unless (A) such assignment resulted from the Administrative Agent’s gross negligence, bad faith or willful misconduct (as determined by a court of competent jurisdiction in a final and non-appealable judgment) or (B) such assignment resulted from a material breach of the Loan Documents by the Administrative Agent (as determined by a court of competent jurisdiction in a final and non-appealable judgment).</w:t>
      </w:r>
    </w:p>
    <w:p>
      <w:pPr>
        <w:spacing w:after="0" w:line="200" w:lineRule="exact"/>
        <w:rPr>
          <w:sz w:val="20"/>
          <w:szCs w:val="20"/>
          <w:color w:val="auto"/>
        </w:rPr>
      </w:pPr>
    </w:p>
    <w:p>
      <w:pPr>
        <w:spacing w:after="0" w:line="21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66040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7"/>
          </w:cols>
          <w:pgMar w:left="493" w:top="198" w:right="499" w:bottom="1440" w:gutter="0" w:footer="0" w:header="0"/>
        </w:sectPr>
      </w:pPr>
    </w:p>
    <w:bookmarkStart w:id="182" w:name="page183"/>
    <w:bookmarkEnd w:id="182"/>
    <w:p>
      <w:pPr>
        <w:jc w:val="both"/>
        <w:ind w:right="40" w:firstLine="1498"/>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 Legislation</w:t>
      </w:r>
      <w:r>
        <w:rPr>
          <w:rFonts w:ascii="Arial" w:cs="Arial" w:eastAsia="Arial" w:hAnsi="Arial"/>
          <w:sz w:val="20"/>
          <w:szCs w:val="20"/>
          <w:color w:val="auto"/>
        </w:rPr>
        <w:t>” means the legislative measures of the European Council for the introduction of, changeover to or operation of a single or unified European currency.</w:t>
      </w:r>
    </w:p>
    <w:p>
      <w:pPr>
        <w:spacing w:after="0" w:line="202" w:lineRule="exact"/>
        <w:rPr>
          <w:sz w:val="20"/>
          <w:szCs w:val="20"/>
          <w:color w:val="auto"/>
        </w:rPr>
      </w:pPr>
    </w:p>
    <w:p>
      <w:pPr>
        <w:jc w:val="both"/>
        <w:ind w:right="40" w:firstLine="149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206" w:lineRule="exact"/>
        <w:rPr>
          <w:sz w:val="20"/>
          <w:szCs w:val="20"/>
          <w:color w:val="auto"/>
        </w:rPr>
      </w:pPr>
    </w:p>
    <w:p>
      <w:pPr>
        <w:jc w:val="both"/>
        <w:ind w:firstLine="149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Environmental Law or permit, license or approval issued thereunder, (b) the generation, use, handling, transportation, storage, disposal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4" w:lineRule="exact"/>
        <w:rPr>
          <w:sz w:val="20"/>
          <w:szCs w:val="20"/>
          <w:color w:val="auto"/>
        </w:rPr>
      </w:pPr>
    </w:p>
    <w:p>
      <w:pPr>
        <w:jc w:val="both"/>
        <w:ind w:right="60" w:firstLine="149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shares of capital stock, partnership interests, membership interests in a limited liability company, beneficial interests in a trust or other equity ownership interests in a Person (whether evidenced by share certificates (or similar) or not).</w:t>
      </w:r>
    </w:p>
    <w:p>
      <w:pPr>
        <w:spacing w:after="0" w:line="208" w:lineRule="exact"/>
        <w:rPr>
          <w:sz w:val="20"/>
          <w:szCs w:val="20"/>
          <w:color w:val="auto"/>
        </w:rPr>
      </w:pPr>
    </w:p>
    <w:p>
      <w:pPr>
        <w:ind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 and the rules and regulations promulgated thereunder.</w:t>
      </w:r>
    </w:p>
    <w:p>
      <w:pPr>
        <w:spacing w:after="0" w:line="189" w:lineRule="exact"/>
        <w:rPr>
          <w:sz w:val="20"/>
          <w:szCs w:val="20"/>
          <w:color w:val="auto"/>
        </w:rPr>
      </w:pPr>
    </w:p>
    <w:p>
      <w:pPr>
        <w:jc w:val="both"/>
        <w:ind w:right="6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spacing w:after="0" w:line="201" w:lineRule="exact"/>
        <w:rPr>
          <w:sz w:val="20"/>
          <w:szCs w:val="20"/>
          <w:color w:val="auto"/>
        </w:rPr>
      </w:pPr>
    </w:p>
    <w:p>
      <w:pPr>
        <w:jc w:val="both"/>
        <w:ind w:right="20" w:firstLine="1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4043(c) of ERISA or the regulations issued thereunder with respect to a Pension Plan (other than an event for which the 30-day notice period is waived); (b) any failure by any Pension Plan to satisfy the minimum funding standard (within the meaning of Section 412 of the Code or Section 302 of ERISA) applicable to such Pension Plan, in each case whether or not waived; (c) the filing pursuant to Section 412(c) of the Code or Section 302(c) of ERISA, of an application for a waiver of the minimum funding standard with respect to any Pension Plan; (d) a determination that any Pension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Pension Plan or by application of Section 4069 of ERISA with respect to any terminated plan; (f) the receipt by a Loan Party or any ERISA Affiliate from the PBGC or a plan administrator of any notice relating to an intention to terminate any Pension Plan or Pension Plans or to appoint a trustee to administer any Pension Plan, or to an intention 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Pension Plan subject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83" w:name="page184"/>
    <w:bookmarkEnd w:id="183"/>
    <w:p>
      <w:pPr>
        <w:ind w:right="200"/>
        <w:spacing w:after="0" w:line="261" w:lineRule="auto"/>
        <w:rPr>
          <w:sz w:val="20"/>
          <w:szCs w:val="20"/>
          <w:color w:val="auto"/>
        </w:rPr>
      </w:pPr>
      <w:r>
        <w:rPr>
          <w:rFonts w:ascii="Arial" w:cs="Arial" w:eastAsia="Arial" w:hAnsi="Arial"/>
          <w:sz w:val="20"/>
          <w:szCs w:val="20"/>
          <w:color w:val="auto"/>
        </w:rPr>
        <w:t>Section 4063 of ERISA during a plan year in which such entity was a “substantial employer” as defined in Section 4001(a)(2) of ERISA or a cessation of operations that is treated as such a withdrawal under Section 4062(e) of ERISA.</w:t>
      </w:r>
    </w:p>
    <w:p>
      <w:pPr>
        <w:spacing w:after="0" w:line="202" w:lineRule="exact"/>
        <w:rPr>
          <w:sz w:val="20"/>
          <w:szCs w:val="20"/>
          <w:color w:val="auto"/>
        </w:rPr>
      </w:pPr>
    </w:p>
    <w:p>
      <w:pPr>
        <w:jc w:val="both"/>
        <w:ind w:right="160" w:firstLine="149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Escrowed Proceeds</w:t>
      </w:r>
      <w:r>
        <w:rPr>
          <w:rFonts w:ascii="Arial" w:cs="Arial" w:eastAsia="Arial" w:hAnsi="Arial"/>
          <w:sz w:val="20"/>
          <w:szCs w:val="20"/>
          <w:color w:val="auto"/>
        </w:rPr>
        <w:t>” means the proceeds from the offering of any debt securities plus any deposit to cover accrued interest or other breakage costs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spacing w:after="0" w:line="206" w:lineRule="exact"/>
        <w:rPr>
          <w:sz w:val="20"/>
          <w:szCs w:val="20"/>
          <w:color w:val="auto"/>
        </w:rPr>
      </w:pPr>
    </w:p>
    <w:p>
      <w:pPr>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203" w:lineRule="exact"/>
        <w:rPr>
          <w:sz w:val="20"/>
          <w:szCs w:val="20"/>
          <w:color w:val="auto"/>
        </w:rPr>
      </w:pPr>
    </w:p>
    <w:p>
      <w:pPr>
        <w:ind w:right="220" w:firstLine="1499"/>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w:t>
      </w:r>
      <w:r>
        <w:rPr>
          <w:rFonts w:ascii="Arial" w:cs="Arial" w:eastAsia="Arial" w:hAnsi="Arial"/>
          <w:sz w:val="19"/>
          <w:szCs w:val="19"/>
          <w:color w:val="auto"/>
        </w:rPr>
        <w:t xml:space="preserve"> means the lawful single currency of any member state of the European Union that has the euro as its lawful currency in accordance with legislation of the European Union relating to Economic and Monetary Union..</w:t>
      </w:r>
    </w:p>
    <w:p>
      <w:pPr>
        <w:ind w:right="200" w:firstLine="1499"/>
        <w:spacing w:after="0" w:line="293" w:lineRule="auto"/>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Eurodollar</w:t>
      </w:r>
      <w:r>
        <w:rPr>
          <w:rFonts w:ascii="Arial" w:cs="Arial" w:eastAsia="Arial" w:hAnsi="Arial"/>
          <w:sz w:val="19"/>
          <w:szCs w:val="19"/>
          <w:b w:val="1"/>
          <w:bCs w:val="1"/>
          <w:color w:val="FF0000"/>
          <w:strike w:val="1"/>
        </w:rPr>
        <w:t>” when used in reference to any Loan or Borrowing, refers to whether such Loan, or the Loans comprising such Borrowing, are bearing interest at a rate determined by reference to the Adjusted LIBO Rate.</w:t>
      </w:r>
    </w:p>
    <w:p>
      <w:pPr>
        <w:spacing w:after="0" w:line="12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assigned to such term in Section 7.01.</w:t>
      </w:r>
    </w:p>
    <w:p>
      <w:pPr>
        <w:spacing w:after="0" w:line="20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Cash Flow</w:t>
      </w:r>
      <w:r>
        <w:rPr>
          <w:rFonts w:ascii="Arial" w:cs="Arial" w:eastAsia="Arial" w:hAnsi="Arial"/>
          <w:sz w:val="20"/>
          <w:szCs w:val="20"/>
          <w:color w:val="auto"/>
        </w:rPr>
        <w:t>” means, for any period, an amount equal to the excess of:</w:t>
      </w:r>
    </w:p>
    <w:p>
      <w:pPr>
        <w:spacing w:after="0" w:line="202" w:lineRule="exact"/>
        <w:rPr>
          <w:sz w:val="20"/>
          <w:szCs w:val="20"/>
          <w:color w:val="auto"/>
        </w:rPr>
      </w:pPr>
    </w:p>
    <w:p>
      <w:pPr>
        <w:ind w:left="2320" w:hanging="681"/>
        <w:spacing w:after="0"/>
        <w:tabs>
          <w:tab w:leader="none" w:pos="232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28" w:lineRule="exact"/>
        <w:rPr>
          <w:rFonts w:ascii="Arial" w:cs="Arial" w:eastAsia="Arial" w:hAnsi="Arial"/>
          <w:sz w:val="20"/>
          <w:szCs w:val="20"/>
          <w:color w:val="auto"/>
        </w:rPr>
      </w:pPr>
    </w:p>
    <w:p>
      <w:pPr>
        <w:ind w:left="3480" w:hanging="1092"/>
        <w:spacing w:after="0"/>
        <w:tabs>
          <w:tab w:leader="none" w:pos="3480" w:val="left"/>
        </w:tabs>
        <w:numPr>
          <w:ilvl w:val="2"/>
          <w:numId w:val="119"/>
        </w:numPr>
        <w:rPr>
          <w:rFonts w:ascii="Arial" w:cs="Arial" w:eastAsia="Arial" w:hAnsi="Arial"/>
          <w:sz w:val="20"/>
          <w:szCs w:val="20"/>
          <w:color w:val="auto"/>
        </w:rPr>
      </w:pPr>
      <w:r>
        <w:rPr>
          <w:rFonts w:ascii="Arial" w:cs="Arial" w:eastAsia="Arial" w:hAnsi="Arial"/>
          <w:sz w:val="20"/>
          <w:szCs w:val="20"/>
          <w:color w:val="auto"/>
        </w:rPr>
        <w:t>Consolidated Net Income for such period,</w:t>
      </w:r>
    </w:p>
    <w:p>
      <w:pPr>
        <w:spacing w:after="0" w:line="241" w:lineRule="exact"/>
        <w:rPr>
          <w:rFonts w:ascii="Arial" w:cs="Arial" w:eastAsia="Arial" w:hAnsi="Arial"/>
          <w:sz w:val="20"/>
          <w:szCs w:val="20"/>
          <w:color w:val="auto"/>
        </w:rPr>
      </w:pPr>
    </w:p>
    <w:p>
      <w:pPr>
        <w:ind w:left="3480" w:hanging="1092"/>
        <w:spacing w:after="0"/>
        <w:tabs>
          <w:tab w:leader="none" w:pos="348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an amount equal to the amount of all Non-Cash Charges to the extent deducted in arriving at</w:t>
      </w:r>
    </w:p>
    <w:p>
      <w:pPr>
        <w:spacing w:after="0" w:line="38"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20"/>
          <w:szCs w:val="20"/>
          <w:color w:val="auto"/>
        </w:rPr>
        <w:t>such Consolidated Net Income,</w:t>
      </w:r>
    </w:p>
    <w:p>
      <w:pPr>
        <w:spacing w:after="0" w:line="225" w:lineRule="exact"/>
        <w:rPr>
          <w:rFonts w:ascii="Arial" w:cs="Arial" w:eastAsia="Arial" w:hAnsi="Arial"/>
          <w:sz w:val="18"/>
          <w:szCs w:val="18"/>
          <w:color w:val="auto"/>
        </w:rPr>
      </w:pPr>
    </w:p>
    <w:p>
      <w:pPr>
        <w:ind w:left="3480" w:hanging="1092"/>
        <w:spacing w:after="0"/>
        <w:tabs>
          <w:tab w:leader="none" w:pos="3480" w:val="left"/>
        </w:tabs>
        <w:numPr>
          <w:ilvl w:val="2"/>
          <w:numId w:val="119"/>
        </w:numPr>
        <w:rPr>
          <w:rFonts w:ascii="Arial" w:cs="Arial" w:eastAsia="Arial" w:hAnsi="Arial"/>
          <w:sz w:val="20"/>
          <w:szCs w:val="20"/>
          <w:color w:val="auto"/>
        </w:rPr>
      </w:pPr>
      <w:r>
        <w:rPr>
          <w:rFonts w:ascii="Arial" w:cs="Arial" w:eastAsia="Arial" w:hAnsi="Arial"/>
          <w:sz w:val="20"/>
          <w:szCs w:val="20"/>
          <w:color w:val="auto"/>
        </w:rPr>
        <w:t>decreases in Consolidated Working Capital,</w:t>
      </w:r>
    </w:p>
    <w:p>
      <w:pPr>
        <w:spacing w:after="0" w:line="228" w:lineRule="exact"/>
        <w:rPr>
          <w:rFonts w:ascii="Arial" w:cs="Arial" w:eastAsia="Arial" w:hAnsi="Arial"/>
          <w:sz w:val="20"/>
          <w:szCs w:val="20"/>
          <w:color w:val="auto"/>
        </w:rPr>
      </w:pPr>
    </w:p>
    <w:p>
      <w:pPr>
        <w:jc w:val="both"/>
        <w:ind w:left="900" w:right="160" w:firstLine="1488"/>
        <w:spacing w:after="0" w:line="249" w:lineRule="auto"/>
        <w:tabs>
          <w:tab w:leader="none" w:pos="3487" w:val="left"/>
        </w:tabs>
        <w:numPr>
          <w:ilvl w:val="2"/>
          <w:numId w:val="119"/>
        </w:numPr>
        <w:rPr>
          <w:rFonts w:ascii="Arial" w:cs="Arial" w:eastAsia="Arial" w:hAnsi="Arial"/>
          <w:sz w:val="20"/>
          <w:szCs w:val="20"/>
          <w:color w:val="auto"/>
        </w:rPr>
      </w:pPr>
      <w:r>
        <w:rPr>
          <w:rFonts w:ascii="Arial" w:cs="Arial" w:eastAsia="Arial" w:hAnsi="Arial"/>
          <w:sz w:val="20"/>
          <w:szCs w:val="20"/>
          <w:color w:val="auto"/>
        </w:rPr>
        <w:t>an amount equal to the aggregate net non-cash loss on dispositions by the Borrower and its Restricted Subsidiaries during such period (other than dispositions in the ordinary course of business) to the extent deducted in arriving at such Consolidated Net Income; and</w:t>
      </w:r>
    </w:p>
    <w:p>
      <w:pPr>
        <w:spacing w:after="0" w:line="214" w:lineRule="exact"/>
        <w:rPr>
          <w:rFonts w:ascii="Arial" w:cs="Arial" w:eastAsia="Arial" w:hAnsi="Arial"/>
          <w:sz w:val="20"/>
          <w:szCs w:val="20"/>
          <w:color w:val="auto"/>
        </w:rPr>
      </w:pPr>
    </w:p>
    <w:p>
      <w:pPr>
        <w:ind w:left="3480" w:hanging="1092"/>
        <w:spacing w:after="0"/>
        <w:tabs>
          <w:tab w:leader="none" w:pos="3480" w:val="left"/>
        </w:tabs>
        <w:numPr>
          <w:ilvl w:val="2"/>
          <w:numId w:val="119"/>
        </w:numPr>
        <w:rPr>
          <w:rFonts w:ascii="Arial" w:cs="Arial" w:eastAsia="Arial" w:hAnsi="Arial"/>
          <w:sz w:val="20"/>
          <w:szCs w:val="20"/>
          <w:color w:val="auto"/>
        </w:rPr>
      </w:pPr>
      <w:r>
        <w:rPr>
          <w:rFonts w:ascii="Arial" w:cs="Arial" w:eastAsia="Arial" w:hAnsi="Arial"/>
          <w:sz w:val="20"/>
          <w:szCs w:val="20"/>
          <w:color w:val="auto"/>
        </w:rPr>
        <w:t xml:space="preserve">all cash taxes and cash distributions deducted from Consolidated Net Income, </w:t>
      </w:r>
      <w:r>
        <w:rPr>
          <w:rFonts w:ascii="Arial" w:cs="Arial" w:eastAsia="Arial" w:hAnsi="Arial"/>
          <w:sz w:val="20"/>
          <w:szCs w:val="20"/>
          <w:u w:val="single" w:color="auto"/>
          <w:color w:val="auto"/>
        </w:rPr>
        <w:t>less</w:t>
      </w:r>
    </w:p>
    <w:p>
      <w:pPr>
        <w:spacing w:after="0" w:line="322" w:lineRule="exact"/>
        <w:rPr>
          <w:rFonts w:ascii="Arial" w:cs="Arial" w:eastAsia="Arial" w:hAnsi="Arial"/>
          <w:sz w:val="20"/>
          <w:szCs w:val="20"/>
          <w:color w:val="auto"/>
        </w:rPr>
      </w:pPr>
    </w:p>
    <w:p>
      <w:pPr>
        <w:ind w:left="2240" w:hanging="750"/>
        <w:spacing w:after="0"/>
        <w:tabs>
          <w:tab w:leader="none" w:pos="224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28" w:lineRule="exact"/>
        <w:rPr>
          <w:rFonts w:ascii="Arial" w:cs="Arial" w:eastAsia="Arial" w:hAnsi="Arial"/>
          <w:sz w:val="20"/>
          <w:szCs w:val="20"/>
          <w:color w:val="auto"/>
        </w:rPr>
      </w:pPr>
    </w:p>
    <w:p>
      <w:pPr>
        <w:jc w:val="both"/>
        <w:ind w:left="900" w:right="200" w:firstLine="1488"/>
        <w:spacing w:after="0" w:line="244" w:lineRule="auto"/>
        <w:tabs>
          <w:tab w:leader="none" w:pos="3483" w:val="left"/>
        </w:tabs>
        <w:numPr>
          <w:ilvl w:val="2"/>
          <w:numId w:val="120"/>
        </w:numPr>
        <w:rPr>
          <w:rFonts w:ascii="Arial" w:cs="Arial" w:eastAsia="Arial" w:hAnsi="Arial"/>
          <w:sz w:val="20"/>
          <w:szCs w:val="20"/>
          <w:color w:val="auto"/>
        </w:rPr>
      </w:pPr>
      <w:r>
        <w:rPr>
          <w:rFonts w:ascii="Arial" w:cs="Arial" w:eastAsia="Arial" w:hAnsi="Arial"/>
          <w:sz w:val="20"/>
          <w:szCs w:val="20"/>
          <w:color w:val="auto"/>
        </w:rPr>
        <w:t>an amount equal to the amount of all non-cash credits included in arriving at such Consolidated Net Income (including any amounts included in Consolidated Net Income of proceeds received or due from business interruption insurance or reimbursement of expenses and charges pursuant to indemnification and other reimbursement provisions in connection with any acquisition or other Investment or any disposition of any asset permitted under this</w:t>
      </w:r>
    </w:p>
    <w:p>
      <w:pPr>
        <w:spacing w:after="0" w:line="193"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2" w:right="339" w:bottom="1440" w:gutter="0" w:footer="0" w:header="0"/>
        </w:sectPr>
      </w:pPr>
    </w:p>
    <w:bookmarkStart w:id="184" w:name="page185"/>
    <w:bookmarkEnd w:id="184"/>
    <w:p>
      <w:pPr>
        <w:jc w:val="both"/>
        <w:ind w:right="40"/>
        <w:spacing w:after="0" w:line="244" w:lineRule="auto"/>
        <w:rPr>
          <w:sz w:val="20"/>
          <w:szCs w:val="20"/>
          <w:color w:val="auto"/>
        </w:rPr>
      </w:pPr>
      <w:r>
        <w:rPr>
          <w:rFonts w:ascii="Arial" w:cs="Arial" w:eastAsia="Arial" w:hAnsi="Arial"/>
          <w:sz w:val="20"/>
          <w:szCs w:val="20"/>
          <w:color w:val="auto"/>
        </w:rPr>
        <w:t>Agreement to the extent such amounts are due but not received during such period) and cash charges, expenditures and losses added to (or excluded from the determination of) Consolidated Net Income pursuant to clauses (a) through (l) of the definition of “Consolidated Net Income” (other than cash charges in respect of Transaction Costs paid on or about the Effective Date to the extent financed with the proceeds of long-term Indebtedness (other than revolving loans) incurred on the Effective Date),</w:t>
      </w:r>
    </w:p>
    <w:p>
      <w:pPr>
        <w:spacing w:after="0" w:line="207" w:lineRule="exact"/>
        <w:rPr>
          <w:sz w:val="20"/>
          <w:szCs w:val="20"/>
          <w:color w:val="auto"/>
        </w:rPr>
      </w:pPr>
    </w:p>
    <w:p>
      <w:pPr>
        <w:ind w:left="2580" w:hanging="1092"/>
        <w:spacing w:after="0"/>
        <w:tabs>
          <w:tab w:leader="none" w:pos="25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[reserved],</w:t>
      </w:r>
    </w:p>
    <w:p>
      <w:pPr>
        <w:spacing w:after="0" w:line="241" w:lineRule="exact"/>
        <w:rPr>
          <w:rFonts w:ascii="Arial" w:cs="Arial" w:eastAsia="Arial" w:hAnsi="Arial"/>
          <w:sz w:val="20"/>
          <w:szCs w:val="20"/>
          <w:color w:val="auto"/>
        </w:rPr>
      </w:pPr>
    </w:p>
    <w:p>
      <w:pPr>
        <w:ind w:left="2580" w:hanging="1092"/>
        <w:spacing w:after="0"/>
        <w:tabs>
          <w:tab w:leader="none" w:pos="25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[reserved],</w:t>
      </w:r>
    </w:p>
    <w:p>
      <w:pPr>
        <w:spacing w:after="0" w:line="241" w:lineRule="exact"/>
        <w:rPr>
          <w:rFonts w:ascii="Arial" w:cs="Arial" w:eastAsia="Arial" w:hAnsi="Arial"/>
          <w:sz w:val="20"/>
          <w:szCs w:val="20"/>
          <w:color w:val="auto"/>
        </w:rPr>
      </w:pPr>
    </w:p>
    <w:p>
      <w:pPr>
        <w:jc w:val="both"/>
        <w:ind w:firstLine="1488"/>
        <w:spacing w:after="0" w:line="249" w:lineRule="auto"/>
        <w:tabs>
          <w:tab w:leader="none" w:pos="258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201" w:lineRule="exact"/>
        <w:rPr>
          <w:rFonts w:ascii="Arial" w:cs="Arial" w:eastAsia="Arial" w:hAnsi="Arial"/>
          <w:sz w:val="20"/>
          <w:szCs w:val="20"/>
          <w:color w:val="auto"/>
        </w:rPr>
      </w:pPr>
    </w:p>
    <w:p>
      <w:pPr>
        <w:ind w:left="2580" w:hanging="1092"/>
        <w:spacing w:after="0"/>
        <w:tabs>
          <w:tab w:leader="none" w:pos="25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increases in Consolidated Working Capital for such period,</w:t>
      </w:r>
    </w:p>
    <w:p>
      <w:pPr>
        <w:spacing w:after="0" w:line="53" w:lineRule="exact"/>
        <w:rPr>
          <w:rFonts w:ascii="Arial" w:cs="Arial" w:eastAsia="Arial" w:hAnsi="Arial"/>
          <w:sz w:val="20"/>
          <w:szCs w:val="20"/>
          <w:color w:val="auto"/>
        </w:rPr>
      </w:pPr>
    </w:p>
    <w:p>
      <w:pPr>
        <w:ind w:firstLine="1488"/>
        <w:spacing w:after="0" w:line="260" w:lineRule="auto"/>
        <w:tabs>
          <w:tab w:leader="none" w:pos="258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cash payments by the Borrower and its Restricted Subsidiaries during such period in respect of long-term liabilities of the Borrower and its Restricted Subsidiaries other than Indebtedness,</w:t>
      </w:r>
    </w:p>
    <w:p>
      <w:pPr>
        <w:spacing w:after="0" w:line="202" w:lineRule="exact"/>
        <w:rPr>
          <w:rFonts w:ascii="Arial" w:cs="Arial" w:eastAsia="Arial" w:hAnsi="Arial"/>
          <w:sz w:val="20"/>
          <w:szCs w:val="20"/>
          <w:color w:val="auto"/>
        </w:rPr>
      </w:pPr>
    </w:p>
    <w:p>
      <w:pPr>
        <w:ind w:left="2580" w:hanging="1092"/>
        <w:spacing w:after="0"/>
        <w:tabs>
          <w:tab w:leader="none" w:pos="25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[reserved]</w:t>
      </w:r>
    </w:p>
    <w:p>
      <w:pPr>
        <w:spacing w:after="0" w:line="241" w:lineRule="exact"/>
        <w:rPr>
          <w:rFonts w:ascii="Arial" w:cs="Arial" w:eastAsia="Arial" w:hAnsi="Arial"/>
          <w:sz w:val="20"/>
          <w:szCs w:val="20"/>
          <w:color w:val="auto"/>
        </w:rPr>
      </w:pPr>
    </w:p>
    <w:p>
      <w:pPr>
        <w:ind w:left="2580" w:hanging="1092"/>
        <w:spacing w:after="0"/>
        <w:tabs>
          <w:tab w:leader="none" w:pos="25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[reserved];</w:t>
      </w:r>
    </w:p>
    <w:p>
      <w:pPr>
        <w:spacing w:after="0" w:line="228" w:lineRule="exact"/>
        <w:rPr>
          <w:rFonts w:ascii="Arial" w:cs="Arial" w:eastAsia="Arial" w:hAnsi="Arial"/>
          <w:sz w:val="20"/>
          <w:szCs w:val="20"/>
          <w:color w:val="auto"/>
        </w:rPr>
      </w:pPr>
    </w:p>
    <w:p>
      <w:pPr>
        <w:ind w:left="2580" w:hanging="1092"/>
        <w:spacing w:after="0"/>
        <w:tabs>
          <w:tab w:leader="none" w:pos="25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[reserved],</w:t>
      </w:r>
    </w:p>
    <w:p>
      <w:pPr>
        <w:spacing w:after="0" w:line="241" w:lineRule="exact"/>
        <w:rPr>
          <w:rFonts w:ascii="Arial" w:cs="Arial" w:eastAsia="Arial" w:hAnsi="Arial"/>
          <w:sz w:val="20"/>
          <w:szCs w:val="20"/>
          <w:color w:val="auto"/>
        </w:rPr>
      </w:pPr>
    </w:p>
    <w:p>
      <w:pPr>
        <w:ind w:firstLine="1488"/>
        <w:spacing w:after="0" w:line="260" w:lineRule="auto"/>
        <w:tabs>
          <w:tab w:leader="none" w:pos="258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cash payments by the Borrower and its Restricted Subsidiaries during such period in respect of Non-Cash Charges included in the calculation of Consolidated Net Income in any prior period,</w:t>
      </w:r>
    </w:p>
    <w:p>
      <w:pPr>
        <w:spacing w:after="0" w:line="189" w:lineRule="exact"/>
        <w:rPr>
          <w:rFonts w:ascii="Arial" w:cs="Arial" w:eastAsia="Arial" w:hAnsi="Arial"/>
          <w:sz w:val="20"/>
          <w:szCs w:val="20"/>
          <w:color w:val="auto"/>
        </w:rPr>
      </w:pPr>
    </w:p>
    <w:p>
      <w:pPr>
        <w:jc w:val="both"/>
        <w:ind w:firstLine="1488"/>
        <w:spacing w:after="0" w:line="290" w:lineRule="auto"/>
        <w:tabs>
          <w:tab w:leader="none" w:pos="25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aggregate amount of any premium, make-whole or penalty payments actually paid in cash by the Borrower and its Restricted Subsidiaries during such period that are required to be made in connection with any prepayment of Indebtedness, in each case to the extent not deducted in determining Consolidated Net Income,</w:t>
      </w:r>
    </w:p>
    <w:p>
      <w:pPr>
        <w:spacing w:after="0" w:line="180" w:lineRule="exact"/>
        <w:rPr>
          <w:rFonts w:ascii="Arial" w:cs="Arial" w:eastAsia="Arial" w:hAnsi="Arial"/>
          <w:sz w:val="18"/>
          <w:szCs w:val="18"/>
          <w:color w:val="auto"/>
        </w:rPr>
      </w:pPr>
    </w:p>
    <w:p>
      <w:pPr>
        <w:ind w:left="2580" w:hanging="1092"/>
        <w:spacing w:after="0"/>
        <w:tabs>
          <w:tab w:leader="none" w:pos="25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41" w:lineRule="exact"/>
        <w:rPr>
          <w:rFonts w:ascii="Arial" w:cs="Arial" w:eastAsia="Arial" w:hAnsi="Arial"/>
          <w:sz w:val="20"/>
          <w:szCs w:val="20"/>
          <w:color w:val="auto"/>
        </w:rPr>
      </w:pPr>
    </w:p>
    <w:p>
      <w:pPr>
        <w:jc w:val="both"/>
        <w:ind w:right="20" w:firstLine="1488"/>
        <w:spacing w:after="0" w:line="249" w:lineRule="auto"/>
        <w:tabs>
          <w:tab w:leader="none" w:pos="258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amount of taxes (including penalties and interest) paid in cash and/or tax reserves set aside or payable (without duplication) in such period to the extent they exceed the amount of tax expense deducted in determining Consolidated Net Income for such period; and</w:t>
      </w:r>
    </w:p>
    <w:p>
      <w:pPr>
        <w:spacing w:after="0" w:line="160" w:lineRule="exact"/>
        <w:rPr>
          <w:rFonts w:ascii="Arial" w:cs="Arial" w:eastAsia="Arial" w:hAnsi="Arial"/>
          <w:sz w:val="20"/>
          <w:szCs w:val="20"/>
          <w:color w:val="auto"/>
        </w:rPr>
      </w:pPr>
    </w:p>
    <w:p>
      <w:pPr>
        <w:ind w:left="2580" w:hanging="1092"/>
        <w:spacing w:after="0"/>
        <w:tabs>
          <w:tab w:leader="none" w:pos="25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aggregate amount of Transaction Costs incurred during such period.</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United States Securities Exchange Act of 1934, as amended from time to time.</w:t>
      </w:r>
    </w:p>
    <w:p>
      <w:pPr>
        <w:spacing w:after="0" w:line="200" w:lineRule="exact"/>
        <w:rPr>
          <w:sz w:val="20"/>
          <w:szCs w:val="20"/>
          <w:color w:val="auto"/>
        </w:rPr>
      </w:pPr>
    </w:p>
    <w:p>
      <w:pPr>
        <w:spacing w:after="0" w:line="24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66040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00" w:top="122" w:right="499" w:bottom="1440" w:gutter="0" w:footer="0" w:header="0"/>
        </w:sectPr>
      </w:pPr>
    </w:p>
    <w:bookmarkStart w:id="185" w:name="page186"/>
    <w:bookmarkEnd w:id="185"/>
    <w:p>
      <w:pPr>
        <w:jc w:val="both"/>
        <w:ind w:firstLine="149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xml:space="preserve">” means, on any day, for purposes of determining the Dollar Amount of any currency, the currency exchange rate at which such other currency may be exchanged into Dollars at the time of determination based on such rate in effect on the first Business Day of the fiscal quarter of the Borrower in which such determination occurs or in respect of which such determination is made, for the most recently ended fiscal month of the Borrower, as reasonably determined in good faith by the Borrower based on commonly used financial reporting sources;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 in such Swap Agreement (copies of which shall be made available to the Administrative Agent upon request).</w:t>
      </w:r>
    </w:p>
    <w:p>
      <w:pPr>
        <w:spacing w:after="0" w:line="181"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Convertible Notes</w:t>
      </w:r>
      <w:r>
        <w:rPr>
          <w:rFonts w:ascii="Arial" w:cs="Arial" w:eastAsia="Arial" w:hAnsi="Arial"/>
          <w:sz w:val="20"/>
          <w:szCs w:val="20"/>
          <w:color w:val="auto"/>
        </w:rPr>
        <w:t>” means the 6.00% convertible senior notes due 2022 issued by Holdings on November 31, 2019 in an original aggregate principal amount of $215,000,000.</w:t>
      </w:r>
    </w:p>
    <w:p>
      <w:pPr>
        <w:spacing w:after="0" w:line="203"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Affiliates</w:t>
      </w:r>
      <w:r>
        <w:rPr>
          <w:rFonts w:ascii="Arial" w:cs="Arial" w:eastAsia="Arial" w:hAnsi="Arial"/>
          <w:sz w:val="19"/>
          <w:szCs w:val="19"/>
          <w:color w:val="auto"/>
        </w:rPr>
        <w:t xml:space="preserve"> ” means (a) any Affiliates of any Joint Lead Arranger that are engaged as principals primarily in private equity, mezzanine financing or venture capital transactions or any such Affiliate’s officers, directors, employees, legal counsel, independent auditors, professionals and other experts or agents and (b) any Affiliates of any Joint Lead Arranger and any of their employees that are engaged directly or indirectly in the sale of Gogo as sell-side representatives or any such Affiliate’s officers, directors, legal counsel, independent auditors, professionals and other experts or agents (other than, in the case of clauses (a) and (b) above, (x) such employees that are required, in accordance with industry regulations or such Joint Lead Arranger’s (or its Affiliate’s) internal policies and procedures, to act in a supervisory capacity or (y) such Joint Lead Arranger’s (or its Affiliate’s) internal legal, compliance, risk management, credit or investment committee members).</w:t>
      </w:r>
    </w:p>
    <w:p>
      <w:pPr>
        <w:spacing w:after="0" w:line="212" w:lineRule="exact"/>
        <w:rPr>
          <w:sz w:val="20"/>
          <w:szCs w:val="20"/>
          <w:color w:val="auto"/>
        </w:rPr>
      </w:pPr>
    </w:p>
    <w:p>
      <w:pPr>
        <w:jc w:val="both"/>
        <w:ind w:firstLine="14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(to the extent a security interest therein cannot be perfected by the filing of a UCC-1 financing statement), (c) letter of credit rights (except to the extent constituting supporting obligations (as defined under the UCC) in which a security interest can be perfected with the filing of a UCC-1 financing statement), (d) commercial tort claims with a value of less than $25,000,000, (e) Excluded Equity Interests, (f) any lease, contract, license, sublicense, other agreement or document, government approval, charter, authorization or franchise (or any asset subject to such agreement or arrangement) with any Person if, to the extent and for so long as, the grant of a Lien thereon to secure the Secured Obligations would require the consent of a third party (unless such consent has been received) or violate or invalidate, constitute a breach of or a default under, or create a right of termination in favor of any party (other than any Loan Party) to, such lease, contract, license, sublicense, other agreement or document, government approval, charter, authorization or franchise (but after giving effect to the applicable anti-assignment provisions of the Uniform Commercial Code, or any other applicable Requirements of Law), (g) any asset subject to a Lien of the type permitted by Section 6.02(iv) (whether or not incurred pursuant to such Section) or a Lien permitted by Section 6.02(xi),,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after giving effect to the applicable anti-assignment provisions of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86" w:name="page187"/>
    <w:bookmarkEnd w:id="186"/>
    <w:p>
      <w:pPr>
        <w:jc w:val="both"/>
        <w:spacing w:after="0" w:line="267" w:lineRule="auto"/>
        <w:rPr>
          <w:sz w:val="20"/>
          <w:szCs w:val="20"/>
          <w:color w:val="auto"/>
        </w:rPr>
      </w:pPr>
      <w:r>
        <w:rPr>
          <w:rFonts w:ascii="Arial" w:cs="Arial" w:eastAsia="Arial" w:hAnsi="Arial"/>
          <w:sz w:val="18"/>
          <w:szCs w:val="18"/>
          <w:color w:val="auto"/>
        </w:rPr>
        <w:t>any jurisdiction where such pledge or security interest would cause the invalidation or abandonment of such Intellectual Property under applicable law, (i) any asset (including Equity Interests) if, to the extent and for so long as the grant of a Lien thereon to secure the Secured Obligations is prohibited by any Requirements of Law, rule or regulation, contractual obligation existing on the Effective Date (or, if later, the date the Person owning the asset becomes a Restricted Subsidiary, so long as the applicable contractual obligation was not entered into in contemplation of such Person becoming a Restricted Subsidiary) or agreements with any Governmental Authority (other than to the extent that any such prohibition would be rendered ineffective pursuant to the applicable anti-assignment provisions of the Uniform Commercial Code, or any other applicable Requirements of Law) or which would require consent, approval, license or authorization from any Governmental Authority or regulatory authority (provided that there shall be no requirement to obtain the consent of any governmental authority or third party, including, without limitation, no requirement to comply with the Federal Assignment of Claims Act or any similar statute), unless such consent, approval, license or authorization has been received, (j) margin stock (within the meaning of Regulation U of the Board of Governors, as in effect from time to time) and pledges and security interests prohibited by applicable law, rule or regulation or agreements with any Governmental Authority, (k) Securitization Assets subject to a Qualified Securitization Facility, (l) cash, Permitted Investments and any Deposit Accounts (as defined in the Collateral Agreement) (other than cash, Permitted Investments and Deposit Accounts representing proceeds of other “Collateral”), any Securities Account (as defined in the Collateral Agreement), commodities account or similar account (including securities entitlements and related assets) (except in each case to the extent perfected solely through the filing of a UCC financing statement) and any other assets requiring perfection through control agreements or perfection by “control”, other than with respect to the pledge of Equity Interests by a Loan Party, (m) other than with respect to the pledge of Equity Interests by a Loan Party, any assets located or titled outside of the United States or, in the case of any Electing Foreign Guarantor, any Applicable Country, (n) any assets to the extent that the granting of a Lien thereon to secure the Secured Obligations could reasonably be expected to result in adverse (other than de minimis consequences) tax consequences or adverse regulatory consequences (including as a result of the operation of Section 956 of the Code or any similar law or regulation in any applicable jurisdiction), in each case, as reasonably determined by the Borrower, (o) any assets with respect to which, in the reasonable judgment of the Administrative Agent and the Borrower (as agreed to in writing), the cost or other consequences (including adverse tax consequences) of pledging such assets shall be excessive in view of the benefits to be obtained by the Lenders therefrom, (p) any aircraft, airframes, aircraft engines or helicopters, or any Equipment (as defined under the UCC) or other assets constituting a part hereof, to the extent a Lien on any such assets may not be perfected by the filing of a UCC-1 financing statement or (q) leased cell towers to the extent a leasehold mortgage is required to create or perfect a security interest therein.</w:t>
      </w:r>
    </w:p>
    <w:p>
      <w:pPr>
        <w:spacing w:after="0" w:line="202"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Equity Interests</w:t>
      </w:r>
      <w:r>
        <w:rPr>
          <w:rFonts w:ascii="Arial" w:cs="Arial" w:eastAsia="Arial" w:hAnsi="Arial"/>
          <w:sz w:val="19"/>
          <w:szCs w:val="19"/>
          <w:color w:val="auto"/>
        </w:rPr>
        <w:t>” means Equity Interests in any (a) Unrestricted Subsidiary, (b) Immaterial Subsidiary, (c) Subsidiary of a Domestic Subsidiary that is a CFC (except that up to 65% of the equity interests of any CFC that is owned directly and indirectly by Loan Parties that are not CFCs, other than a U.S. Loan Party described in clause (e) of this definition of “Excluded Equity Interests,” shall not be Excluded Equity Interests), (d) joint ventures and Non-Wholly Owned Subsidiaries to the extent a security interest therein would be prohibited by the terms of the applicable Person’s organizational or joint venture document (after giving effect to applicable anti-assignment provisions of the Uniform Commercial Code), (e) Domestic Subsidiary that has no material assets other than the equity and/or debt of one or more CFCs and cash or cash equivalents (except that up to 65% of the equity interests of any such Subsidiary shall not be Excluded Equity Interests) and (f) not-for-profit Subsidiary, captive insurance company or special purpose securitization vehicle (or similar entity), including any Securitization Subsidiary.</w:t>
      </w:r>
    </w:p>
    <w:p>
      <w:pPr>
        <w:spacing w:after="0" w:line="19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Information</w:t>
      </w:r>
      <w:r>
        <w:rPr>
          <w:rFonts w:ascii="Arial" w:cs="Arial" w:eastAsia="Arial" w:hAnsi="Arial"/>
          <w:sz w:val="20"/>
          <w:szCs w:val="20"/>
          <w:color w:val="auto"/>
        </w:rPr>
        <w:t>” has the meaning assigned to such term in Section 2.11(a)(ii)(A). “</w:t>
      </w:r>
      <w:r>
        <w:rPr>
          <w:rFonts w:ascii="Arial" w:cs="Arial" w:eastAsia="Arial" w:hAnsi="Arial"/>
          <w:sz w:val="20"/>
          <w:szCs w:val="20"/>
          <w:u w:val="single" w:color="auto"/>
          <w:color w:val="auto"/>
        </w:rPr>
        <w:t>Excluded Subsidiary</w:t>
      </w:r>
      <w:r>
        <w:rPr>
          <w:rFonts w:ascii="Arial" w:cs="Arial" w:eastAsia="Arial" w:hAnsi="Arial"/>
          <w:sz w:val="20"/>
          <w:szCs w:val="20"/>
          <w:color w:val="auto"/>
        </w:rPr>
        <w:t>” means (a) any Subsidiary that is not a Wholly Owned Subsidiary of the Borrower, (b) each Subsidiary listed on Schedule 1.01, (c) any Subsidiary that is prohibited by applicable law, rule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87" w:name="page188"/>
    <w:bookmarkEnd w:id="187"/>
    <w:p>
      <w:pPr>
        <w:jc w:val="both"/>
        <w:ind w:left="7"/>
        <w:spacing w:after="0" w:line="304" w:lineRule="auto"/>
        <w:rPr>
          <w:sz w:val="20"/>
          <w:szCs w:val="20"/>
          <w:color w:val="auto"/>
        </w:rPr>
      </w:pPr>
      <w:r>
        <w:rPr>
          <w:rFonts w:ascii="Arial" w:cs="Arial" w:eastAsia="Arial" w:hAnsi="Arial"/>
          <w:sz w:val="16"/>
          <w:szCs w:val="16"/>
          <w:color w:val="auto"/>
        </w:rPr>
        <w:t>regulation or contractual obligation existing on the Effective Date or, if later, the date such Subsidiary first becomes a Restricted Subsidiary (but, in the case of a contractual obligation, to the extent not incurred in contemplation of such Subsidiary becoming a Restricted Subsidiary), from guaranteeing the Secured Obligations or which would require any governmental or regulatory consent, or third party consent, approval, license or authorization to do so, unless such consent, approval, license or authorization has been obtained,</w:t>
      </w:r>
    </w:p>
    <w:p>
      <w:pPr>
        <w:spacing w:after="0" w:line="2" w:lineRule="exact"/>
        <w:rPr>
          <w:sz w:val="20"/>
          <w:szCs w:val="20"/>
          <w:color w:val="auto"/>
        </w:rPr>
      </w:pPr>
    </w:p>
    <w:p>
      <w:pPr>
        <w:jc w:val="both"/>
        <w:ind w:left="7" w:hanging="7"/>
        <w:spacing w:after="0" w:line="267" w:lineRule="auto"/>
        <w:tabs>
          <w:tab w:leader="none" w:pos="3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any Immaterial Subsidiary, (e) any Subsidiary to the extent the provision of a Guarantee by such Subsidiary could reasonably be expected to result in adverse (other than de minimis) tax consequences as reasonably determined by the Borrower, (f) any Subsidiary with respect to which, in the reasonable judgment of the Administrative Agent and the Borrower (as agreed in writing), the cost, burden or other consequences of providing the Guarantee shall be excessive in view of the benefits to be obtained by the Lenders therefrom, (g) any Subsidiary that is (or, if it were a Loan Party, would be) an “investment company” under the Investment Company Act of 1940, as amended, (h) any not-for profit Subsidiaries, captive insurance companies or other special purpose subsidiaries, (i) any Foreign Subsidiary other than a Foreign Subsidiary that becomes a Loan Party pursuant to Section 5.11, (j) any direct or indirect Subsidiary of a CFC that is a direct or indirect Subsidiary of the Borrower or any other Domestic Subsidiary), (k) any direct or indirect Foreign Subsidiary of any other Domestic Subsidiary that is a CFC, (l) any special purpose securitization vehicle (or similar entity), including any Securitization Subsidiary, (m) any Domestic Subsidiary that has no material assets other than the equity and/or debt of one or more CFCs and cash or cash equivalents (and any Subsidiary of such Domestic Subsidiary), (n) each Unrestricted Subsidiary, (o) any Subsidiary for which the providing of a Guarantee could reasonably be expected to result in any violation or breach of, or conflict with, fiduciary duties of such Subsidiary’s officers, directors (or other governing body) or managers and (p) any Restricted Subsidiary acquired pursuant to a Permitted Acquisition (or other Investment not prohibited by this Agreement) financed with Indebtedness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hereof as assumed Indebtedness and any Restricted Subsidiary thereof that Guarantees such Indebtedness, in each case to the extent such Indebtedness prohibits such Subsidiary from becoming a Loan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Immaterial Subsidiary that is a signatory to any Collateral Agreement or the Guarantee Agreement shall be deemed not to be an Excluded Subsidiary for purposes of this Agreement and the other Loan Documents unless the Borrower has otherwise notified the Administrative Agent.</w:t>
      </w:r>
    </w:p>
    <w:p>
      <w:pPr>
        <w:spacing w:after="0" w:line="195" w:lineRule="exact"/>
        <w:rPr>
          <w:sz w:val="20"/>
          <w:szCs w:val="20"/>
          <w:color w:val="auto"/>
        </w:rPr>
      </w:pPr>
    </w:p>
    <w:p>
      <w:pPr>
        <w:jc w:val="both"/>
        <w:ind w:left="7" w:firstLine="149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Loan Guarantor at any time, any Secured Swap Obligation under any 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“eligible contract participant,” as defined in the 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spacing w:after="0" w:line="197" w:lineRule="exact"/>
        <w:rPr>
          <w:sz w:val="20"/>
          <w:szCs w:val="20"/>
          <w:color w:val="auto"/>
        </w:rPr>
      </w:pPr>
    </w:p>
    <w:p>
      <w:pPr>
        <w:jc w:val="both"/>
        <w:ind w:left="7" w:firstLine="149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with respect to the Administrative Agent, any Lender, any Issuing Bank or any other recipient of any payment to be made by or on account of any obligation of any Loan Party hereunder or under any other Loan Document,</w:t>
      </w:r>
    </w:p>
    <w:p>
      <w:pPr>
        <w:jc w:val="both"/>
        <w:ind w:left="7" w:hanging="7"/>
        <w:spacing w:after="0"/>
        <w:tabs>
          <w:tab w:leader="none" w:pos="281"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(ii) Other Connection Taxes, (b) any branch profits tax imposed under Section 884(a) of the Code, or any similar Tax, imposed by any</w:t>
      </w:r>
    </w:p>
    <w:p>
      <w:pPr>
        <w:spacing w:after="0" w:line="1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66040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7"/>
          </w:cols>
          <w:pgMar w:left="493" w:top="122" w:right="499" w:bottom="1440" w:gutter="0" w:footer="0" w:header="0"/>
        </w:sectPr>
      </w:pPr>
    </w:p>
    <w:bookmarkStart w:id="188" w:name="page189"/>
    <w:bookmarkEnd w:id="188"/>
    <w:p>
      <w:pPr>
        <w:jc w:val="both"/>
        <w:spacing w:after="0" w:line="243" w:lineRule="auto"/>
        <w:rPr>
          <w:sz w:val="20"/>
          <w:szCs w:val="20"/>
          <w:color w:val="auto"/>
        </w:rPr>
      </w:pPr>
      <w:r>
        <w:rPr>
          <w:rFonts w:ascii="Arial" w:cs="Arial" w:eastAsia="Arial" w:hAnsi="Arial"/>
          <w:sz w:val="20"/>
          <w:szCs w:val="20"/>
          <w:color w:val="auto"/>
        </w:rPr>
        <w:t>jurisdiction described in clause (a) above, (c) any withholding Tax imposed pursuant to FATCA, (d) any withholding Tax that is attributable to a Lender’s failure to comply with Section 2.17(f), and (e) except in the case of an assignee pursuant to a request by the Borrower under Section 2.19 hereto, any withholding Taxes imposed on amounts payable to a Lender pursuant to a Requirement of Law in effect at the time such Lender becomes a party hereto (or designates a new lending office), except to the extent that such Lender (or its assignor, if any) was entitled, at the time of designation of a new lending office (or assignment), to receive additional amounts with respect to such withholding Tax under Section 2.17(a).</w:t>
      </w:r>
    </w:p>
    <w:p>
      <w:pPr>
        <w:spacing w:after="0" w:line="209"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Extendable Bridge Loans</w:t>
      </w:r>
      <w:r>
        <w:rPr>
          <w:rFonts w:ascii="Arial" w:cs="Arial" w:eastAsia="Arial" w:hAnsi="Arial"/>
          <w:sz w:val="20"/>
          <w:szCs w:val="20"/>
          <w:color w:val="auto"/>
        </w:rPr>
        <w:t>” means bridge facilities which, subject to customary conditions, would either automatically be converted into or required to be exchanged for permanent refinancing that does not mature earlier than the Latest Maturity Date for the Initial Term Loans.</w:t>
      </w:r>
    </w:p>
    <w:p>
      <w:pPr>
        <w:spacing w:after="0" w:line="21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FAA</w:t>
      </w:r>
      <w:r>
        <w:rPr>
          <w:rFonts w:ascii="Arial" w:cs="Arial" w:eastAsia="Arial" w:hAnsi="Arial"/>
          <w:sz w:val="20"/>
          <w:szCs w:val="20"/>
          <w:color w:val="auto"/>
        </w:rPr>
        <w:t>” means the Federal Aviation Administration, and any successor agency of the United States government exercising substantially equivalent powers.</w:t>
      </w:r>
    </w:p>
    <w:p>
      <w:pPr>
        <w:spacing w:after="0" w:line="189"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FAA Approval</w:t>
      </w:r>
      <w:r>
        <w:rPr>
          <w:rFonts w:ascii="Arial" w:cs="Arial" w:eastAsia="Arial" w:hAnsi="Arial"/>
          <w:sz w:val="20"/>
          <w:szCs w:val="20"/>
          <w:color w:val="auto"/>
        </w:rPr>
        <w:t>” means any governmental certification, authorization or approval granted by the FAA, or by any other Governmental Authority pursuant to applicable law, to any Loan Party or assigned or transferred to any Loan Party pursuant to applicable law.</w:t>
      </w:r>
    </w:p>
    <w:p>
      <w:pPr>
        <w:spacing w:after="0" w:line="215" w:lineRule="exact"/>
        <w:rPr>
          <w:sz w:val="20"/>
          <w:szCs w:val="20"/>
          <w:color w:val="auto"/>
        </w:rPr>
      </w:pPr>
    </w:p>
    <w:p>
      <w:pPr>
        <w:jc w:val="both"/>
        <w:ind w:firstLine="149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thereto), any current or future U.S. Department of the Treasury regulations thereunder or other official administrative interpretations thereof, any agreements entered into pursuant to current Section 1471(b)(1) of the Code as of the date of this Agreement (or any amended or successor version described above) and any intergovernmental agreements implementing the foregoing or any treaty, regulation or law implementing any such intergovernmental agreement.</w:t>
      </w:r>
    </w:p>
    <w:p>
      <w:pPr>
        <w:spacing w:after="0" w:line="177"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FCC</w:t>
      </w:r>
      <w:r>
        <w:rPr>
          <w:rFonts w:ascii="Arial" w:cs="Arial" w:eastAsia="Arial" w:hAnsi="Arial"/>
          <w:sz w:val="20"/>
          <w:szCs w:val="20"/>
          <w:color w:val="auto"/>
        </w:rPr>
        <w:t>” means the Federal Communications Commission, and any successor agency of the United States government exercising substantially equivalent powers.</w:t>
      </w:r>
    </w:p>
    <w:p>
      <w:pPr>
        <w:spacing w:after="0" w:line="203" w:lineRule="exact"/>
        <w:rPr>
          <w:sz w:val="20"/>
          <w:szCs w:val="20"/>
          <w:color w:val="auto"/>
        </w:rPr>
      </w:pPr>
    </w:p>
    <w:p>
      <w:pPr>
        <w:jc w:val="both"/>
        <w:ind w:right="20"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FCC License</w:t>
      </w:r>
      <w:r>
        <w:rPr>
          <w:rFonts w:ascii="Arial" w:cs="Arial" w:eastAsia="Arial" w:hAnsi="Arial"/>
          <w:sz w:val="20"/>
          <w:szCs w:val="20"/>
          <w:color w:val="auto"/>
        </w:rPr>
        <w:t>” means any governmental authorization granted by the FCC pursuant to the Communications Act or by any other Governmental Authority pursuant to Communications Laws, to any Loan Party or assigned or transferred to any Loan Party pursuant to Communications Laws.</w:t>
      </w:r>
    </w:p>
    <w:p>
      <w:pPr>
        <w:spacing w:after="0" w:line="215"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FCC License Holder</w:t>
      </w:r>
      <w:r>
        <w:rPr>
          <w:rFonts w:ascii="Arial" w:cs="Arial" w:eastAsia="Arial" w:hAnsi="Arial"/>
          <w:sz w:val="20"/>
          <w:szCs w:val="20"/>
          <w:color w:val="auto"/>
        </w:rPr>
        <w:t>” means (a) as of the Effective Date, AC BidCo LLC and (b) after the Effective Date, any Subsidiary that the Borrower designates to hold FCC Licenses.</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has the meaning specified in Section 3.16(a).</w:t>
      </w:r>
    </w:p>
    <w:p>
      <w:pPr>
        <w:spacing w:after="0" w:line="242"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Federal Funds Effective Rate, if negative, shall be deemed to be 0.00%.</w:t>
      </w:r>
    </w:p>
    <w:p>
      <w:pPr>
        <w:spacing w:after="0" w:line="192"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Bank of New York’s Website</w:t>
      </w:r>
      <w:r>
        <w:rPr>
          <w:rFonts w:ascii="Arial" w:cs="Arial" w:eastAsia="Arial" w:hAnsi="Arial"/>
          <w:sz w:val="20"/>
          <w:szCs w:val="20"/>
          <w:color w:val="auto"/>
        </w:rPr>
        <w:t>” means the website of the Federal Reserve Bank of New York at http://www.newyorkfed.org, or any successor source.</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fee letter among the Borrower and the Joint Lead Arrangers dated as of March 31, 2021.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89" w:name="page190"/>
    <w:bookmarkEnd w:id="189"/>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corporate controller (or other officer of equivalent duties) of Holdings or the Borrower, as applicable.</w:t>
      </w:r>
    </w:p>
    <w:p>
      <w:pPr>
        <w:spacing w:after="0" w:line="189"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Performance Covenant</w:t>
      </w:r>
      <w:r>
        <w:rPr>
          <w:rFonts w:ascii="Arial" w:cs="Arial" w:eastAsia="Arial" w:hAnsi="Arial"/>
          <w:sz w:val="20"/>
          <w:szCs w:val="20"/>
          <w:color w:val="auto"/>
        </w:rPr>
        <w:t>” means the covenant set forth in Section 6.11. “</w:t>
      </w:r>
      <w:r>
        <w:rPr>
          <w:rFonts w:ascii="Arial" w:cs="Arial" w:eastAsia="Arial" w:hAnsi="Arial"/>
          <w:sz w:val="20"/>
          <w:szCs w:val="20"/>
          <w:u w:val="single" w:color="auto"/>
          <w:color w:val="auto"/>
        </w:rPr>
        <w:t>Financing Transactions</w:t>
      </w:r>
      <w:r>
        <w:rPr>
          <w:rFonts w:ascii="Arial" w:cs="Arial" w:eastAsia="Arial" w:hAnsi="Arial"/>
          <w:sz w:val="20"/>
          <w:szCs w:val="20"/>
          <w:color w:val="auto"/>
        </w:rPr>
        <w:t>” means (a) the execution, delivery and performance by each Loan Party of the Loan Documents to which it is to be a party, (b) the borrowing of Loans hereunder and the use of the proceeds thereof and (c) the issuance, amendment or extension of Letters of Credit hereunder and the use of proceeds thereof.</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FIRREA</w:t>
      </w:r>
      <w:r>
        <w:rPr>
          <w:rFonts w:ascii="Arial" w:cs="Arial" w:eastAsia="Arial" w:hAnsi="Arial"/>
          <w:sz w:val="20"/>
          <w:szCs w:val="20"/>
          <w:color w:val="auto"/>
        </w:rPr>
        <w:t>” means the Financial Institutions Reform, Recovery and Enforcement Act of 1989, as amended.</w:t>
      </w:r>
    </w:p>
    <w:p>
      <w:pPr>
        <w:spacing w:after="0" w:line="196"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b w:val="1"/>
          <w:bCs w:val="1"/>
          <w:u w:val="single" w:color="auto"/>
          <w:color w:val="0000FF"/>
        </w:rPr>
        <w:t>“First Amendment” means that certain First Amendment to Credit Agreement, dated as of February 2, 2023, by and between the Borrower, Holdings, the Administrative Agent and the Collateral Agent.</w:t>
      </w:r>
    </w:p>
    <w:p>
      <w:pPr>
        <w:spacing w:after="0" w:line="278"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Flood Insurance Laws</w:t>
      </w:r>
      <w:r>
        <w:rPr>
          <w:rFonts w:ascii="Arial" w:cs="Arial" w:eastAsia="Arial" w:hAnsi="Arial"/>
          <w:sz w:val="19"/>
          <w:szCs w:val="19"/>
          <w:color w:val="auto"/>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86"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b w:val="1"/>
          <w:bCs w:val="1"/>
          <w:u w:val="single" w:color="auto"/>
          <w:color w:val="0000FF"/>
        </w:rPr>
        <w:t>“Floor” means a rate of interest, (i) in the case of Term Loans, equal to 0.75% and (ii) in the case of Revolving Loans, equal to 0.00%.</w:t>
      </w:r>
    </w:p>
    <w:p>
      <w:pPr>
        <w:spacing w:after="0" w:line="2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United States Person (as defined in Section 7701(a)(30) of the Code).</w:t>
      </w:r>
    </w:p>
    <w:p>
      <w:pPr>
        <w:spacing w:after="0" w:line="25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Restricted Subsidiary of the Borrower, other than a Domestic Subsidiary.</w:t>
      </w:r>
    </w:p>
    <w:p>
      <w:pPr>
        <w:spacing w:after="0" w:line="242"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Exposure Cap</w:t>
      </w:r>
      <w:r>
        <w:rPr>
          <w:rFonts w:ascii="Arial" w:cs="Arial" w:eastAsia="Arial" w:hAnsi="Arial"/>
          <w:sz w:val="20"/>
          <w:szCs w:val="20"/>
          <w:color w:val="auto"/>
        </w:rPr>
        <w:t xml:space="preserve">” means, with respect to each Issuing Bank, the product of (i) the Letter of Credit Sublimit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(ii) the Applicable Percentage of such Issuing Bank (or its affiliated Revolving Lender). The initial amount of each Issuing Bank’s Fronting Exposure Cap is set forth on Schedule 2.01(C).</w:t>
      </w:r>
    </w:p>
    <w:p>
      <w:pPr>
        <w:spacing w:after="0" w:line="215"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Funded Debt</w:t>
      </w:r>
      <w:r>
        <w:rPr>
          <w:rFonts w:ascii="Arial" w:cs="Arial" w:eastAsia="Arial" w:hAnsi="Arial"/>
          <w:sz w:val="20"/>
          <w:szCs w:val="20"/>
          <w:color w:val="auto"/>
        </w:rPr>
        <w:t>” 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206" w:lineRule="exact"/>
        <w:rPr>
          <w:sz w:val="20"/>
          <w:szCs w:val="20"/>
          <w:color w:val="auto"/>
        </w:rPr>
      </w:pPr>
    </w:p>
    <w:p>
      <w:pPr>
        <w:jc w:val="both"/>
        <w:ind w:right="20"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Funds Certain Provision</w:t>
      </w:r>
      <w:r>
        <w:rPr>
          <w:rFonts w:ascii="Arial" w:cs="Arial" w:eastAsia="Arial" w:hAnsi="Arial"/>
          <w:sz w:val="18"/>
          <w:szCs w:val="18"/>
          <w:color w:val="auto"/>
        </w:rPr>
        <w:t>” has the meaning assigned to such term in Section 4.01. “</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of America,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66" w:right="499" w:bottom="1440" w:gutter="0" w:footer="0" w:header="0"/>
        </w:sectPr>
      </w:pPr>
    </w:p>
    <w:bookmarkStart w:id="190" w:name="page191"/>
    <w:bookmarkEnd w:id="190"/>
    <w:p>
      <w:pPr>
        <w:jc w:val="both"/>
        <w:spacing w:after="0" w:line="272" w:lineRule="auto"/>
        <w:rPr>
          <w:sz w:val="20"/>
          <w:szCs w:val="20"/>
          <w:color w:val="auto"/>
        </w:rPr>
      </w:pPr>
      <w:r>
        <w:rPr>
          <w:rFonts w:ascii="Arial" w:cs="Arial" w:eastAsia="Arial" w:hAnsi="Arial"/>
          <w:sz w:val="18"/>
          <w:szCs w:val="18"/>
          <w:color w:val="auto"/>
        </w:rPr>
        <w:t>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182"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General Investment Basket</w:t>
      </w:r>
      <w:r>
        <w:rPr>
          <w:rFonts w:ascii="Arial" w:cs="Arial" w:eastAsia="Arial" w:hAnsi="Arial"/>
          <w:sz w:val="20"/>
          <w:szCs w:val="20"/>
          <w:color w:val="auto"/>
        </w:rPr>
        <w:t>” has the meaning given to such term in Section 6.04(m). “</w:t>
      </w:r>
      <w:r>
        <w:rPr>
          <w:rFonts w:ascii="Arial" w:cs="Arial" w:eastAsia="Arial" w:hAnsi="Arial"/>
          <w:sz w:val="20"/>
          <w:szCs w:val="20"/>
          <w:u w:val="single" w:color="auto"/>
          <w:color w:val="auto"/>
        </w:rPr>
        <w:t>Gogo</w:t>
      </w:r>
      <w:r>
        <w:rPr>
          <w:rFonts w:ascii="Arial" w:cs="Arial" w:eastAsia="Arial" w:hAnsi="Arial"/>
          <w:sz w:val="20"/>
          <w:szCs w:val="20"/>
          <w:color w:val="auto"/>
        </w:rPr>
        <w:t>” has the meaning given to such term in the preliminary statements hereto.</w:t>
      </w:r>
    </w:p>
    <w:p>
      <w:pPr>
        <w:spacing w:after="0" w:line="189" w:lineRule="exact"/>
        <w:rPr>
          <w:sz w:val="20"/>
          <w:szCs w:val="20"/>
          <w:color w:val="auto"/>
        </w:rPr>
      </w:pPr>
    </w:p>
    <w:p>
      <w:pPr>
        <w:jc w:val="both"/>
        <w:ind w:right="20" w:firstLine="158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Approvals</w:t>
      </w:r>
      <w:r>
        <w:rPr>
          <w:rFonts w:ascii="Arial" w:cs="Arial" w:eastAsia="Arial" w:hAnsi="Arial"/>
          <w:sz w:val="20"/>
          <w:szCs w:val="20"/>
          <w:color w:val="auto"/>
        </w:rPr>
        <w:t>” means all authorizations, consents, approvals, permits, licenses and exemptions of, registrations and filings with, and reports to, Governmental Authorities.</w:t>
      </w:r>
    </w:p>
    <w:p>
      <w:pPr>
        <w:spacing w:after="0" w:line="203"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 any jurisdiction (including any supra national bodies such as the European Union or the European Central Bank).</w:t>
      </w:r>
    </w:p>
    <w:p>
      <w:pPr>
        <w:spacing w:after="0" w:line="206"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GTCR Group</w:t>
      </w:r>
      <w:r>
        <w:rPr>
          <w:rFonts w:ascii="Arial" w:cs="Arial" w:eastAsia="Arial" w:hAnsi="Arial"/>
          <w:sz w:val="20"/>
          <w:szCs w:val="20"/>
          <w:color w:val="auto"/>
        </w:rPr>
        <w:t>” means GTCR LLC, GTCR Fund XII/A LP, GTCR Fund XII/C LP, GTCR Co Invest XII, LP and any of their respective funds or partnerships managed or advised by them, or any of their respective Affiliates (other than any portfolio companies of any of the foregoing).</w:t>
      </w:r>
    </w:p>
    <w:p>
      <w:pPr>
        <w:spacing w:after="0" w:line="215" w:lineRule="exact"/>
        <w:rPr>
          <w:sz w:val="20"/>
          <w:szCs w:val="20"/>
          <w:color w:val="auto"/>
        </w:rPr>
      </w:pPr>
    </w:p>
    <w:p>
      <w:pPr>
        <w:jc w:val="both"/>
        <w:ind w:firstLine="149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91"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 Agreement</w:t>
      </w:r>
      <w:r>
        <w:rPr>
          <w:rFonts w:ascii="Arial" w:cs="Arial" w:eastAsia="Arial" w:hAnsi="Arial"/>
          <w:sz w:val="20"/>
          <w:szCs w:val="20"/>
          <w:color w:val="auto"/>
        </w:rPr>
        <w:t>” means the Master Guarantee Agreement among the Loan Parties and the Administrative Agent, substantially in the form of Exhibit B.</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91" w:name="page192"/>
    <w:bookmarkEnd w:id="191"/>
    <w:p>
      <w:pPr>
        <w:jc w:val="both"/>
        <w:ind w:left="7"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spacing w:after="0" w:line="257" w:lineRule="exact"/>
        <w:rPr>
          <w:sz w:val="20"/>
          <w:szCs w:val="20"/>
          <w:color w:val="auto"/>
        </w:rPr>
      </w:pPr>
    </w:p>
    <w:p>
      <w:pPr>
        <w:jc w:val="both"/>
        <w:ind w:left="7"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Holdings</w:t>
      </w:r>
      <w:r>
        <w:rPr>
          <w:rFonts w:ascii="Arial" w:cs="Arial" w:eastAsia="Arial" w:hAnsi="Arial"/>
          <w:sz w:val="20"/>
          <w:szCs w:val="20"/>
          <w:color w:val="auto"/>
        </w:rPr>
        <w:t>” has the meaning given to such term in the preliminary statements hereto. The term “Holdings” shall also include any Successor Holdings created pursuant to Section 6.03(a)(iv).</w:t>
      </w:r>
    </w:p>
    <w:p>
      <w:pPr>
        <w:spacing w:after="0" w:line="203"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Holdings Parent</w:t>
      </w:r>
      <w:r>
        <w:rPr>
          <w:rFonts w:ascii="Arial" w:cs="Arial" w:eastAsia="Arial" w:hAnsi="Arial"/>
          <w:sz w:val="20"/>
          <w:szCs w:val="20"/>
          <w:color w:val="auto"/>
        </w:rPr>
        <w:t>” means any direct or indirect parent company of Holdings.</w:t>
      </w:r>
    </w:p>
    <w:p>
      <w:pPr>
        <w:spacing w:after="0" w:line="228" w:lineRule="exact"/>
        <w:rPr>
          <w:sz w:val="20"/>
          <w:szCs w:val="20"/>
          <w:color w:val="auto"/>
        </w:rPr>
      </w:pPr>
    </w:p>
    <w:p>
      <w:pPr>
        <w:jc w:val="both"/>
        <w:ind w:left="7"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Holdings Parent Specified Expenses</w:t>
      </w:r>
      <w:r>
        <w:rPr>
          <w:rFonts w:ascii="Arial" w:cs="Arial" w:eastAsia="Arial" w:hAnsi="Arial"/>
          <w:sz w:val="20"/>
          <w:szCs w:val="20"/>
          <w:color w:val="auto"/>
        </w:rPr>
        <w:t>” shall mean any charge, tax or expense incurred or accrued by Holdings or any Holdings Parent during any period to the extent that the Borrower has made a Restricted Payment (or has made any Investment in lieu thereof pursuant to Section 6.04(l)) to Holdings or such Holdings Parent in respect thereof pursuant to Section 6.07(a)(vii), but in each case limited to the amount of such Restricted Payment or Investment.</w:t>
      </w:r>
    </w:p>
    <w:p>
      <w:pPr>
        <w:spacing w:after="0" w:line="211" w:lineRule="exact"/>
        <w:rPr>
          <w:sz w:val="20"/>
          <w:szCs w:val="20"/>
          <w:color w:val="auto"/>
        </w:rPr>
      </w:pPr>
    </w:p>
    <w:p>
      <w:pPr>
        <w:ind w:left="1507"/>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ICE LIBOR</w:t>
      </w:r>
      <w:r>
        <w:rPr>
          <w:rFonts w:ascii="Arial" w:cs="Arial" w:eastAsia="Arial" w:hAnsi="Arial"/>
          <w:sz w:val="20"/>
          <w:szCs w:val="20"/>
          <w:b w:val="1"/>
          <w:bCs w:val="1"/>
          <w:color w:val="FF0000"/>
          <w:strike w:val="1"/>
        </w:rPr>
        <w:t>” has the meaning assigned to such term in the definition of “Alternate Base Rate.”</w:t>
      </w:r>
    </w:p>
    <w:p>
      <w:pPr>
        <w:spacing w:after="0" w:line="315"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Identified Participating Lenders</w:t>
      </w:r>
      <w:r>
        <w:rPr>
          <w:rFonts w:ascii="Arial" w:cs="Arial" w:eastAsia="Arial" w:hAnsi="Arial"/>
          <w:sz w:val="20"/>
          <w:szCs w:val="20"/>
          <w:color w:val="auto"/>
        </w:rPr>
        <w:t>” has the meaning assigned to such term in Section 2.11(a)(ii)(C)(3).</w:t>
      </w:r>
    </w:p>
    <w:p>
      <w:pPr>
        <w:spacing w:after="0" w:line="242"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Identified Qualifying Lenders</w:t>
      </w:r>
      <w:r>
        <w:rPr>
          <w:rFonts w:ascii="Arial" w:cs="Arial" w:eastAsia="Arial" w:hAnsi="Arial"/>
          <w:sz w:val="20"/>
          <w:szCs w:val="20"/>
          <w:color w:val="auto"/>
        </w:rPr>
        <w:t>” has the meaning specified in Section 2.11(a)(ii)(D)(3).</w:t>
      </w:r>
    </w:p>
    <w:p>
      <w:pPr>
        <w:spacing w:after="0" w:line="236" w:lineRule="exact"/>
        <w:rPr>
          <w:sz w:val="20"/>
          <w:szCs w:val="20"/>
          <w:color w:val="auto"/>
        </w:rPr>
      </w:pPr>
    </w:p>
    <w:p>
      <w:pPr>
        <w:ind w:left="1507"/>
        <w:spacing w:after="0"/>
        <w:rPr>
          <w:sz w:val="20"/>
          <w:szCs w:val="20"/>
          <w:color w:val="auto"/>
        </w:rPr>
      </w:pPr>
      <w:r>
        <w:rPr>
          <w:rFonts w:ascii="Arial" w:cs="Arial" w:eastAsia="Arial" w:hAnsi="Arial"/>
          <w:sz w:val="20"/>
          <w:szCs w:val="20"/>
          <w:b w:val="1"/>
          <w:bCs w:val="1"/>
          <w:u w:val="single" w:color="auto"/>
          <w:color w:val="0000FF"/>
        </w:rPr>
        <w:t>“Illegality Notice” has the meaning specified in Section 2.23.</w:t>
      </w:r>
    </w:p>
    <w:p>
      <w:pPr>
        <w:spacing w:after="0" w:line="315" w:lineRule="exact"/>
        <w:rPr>
          <w:sz w:val="20"/>
          <w:szCs w:val="20"/>
          <w:color w:val="auto"/>
        </w:rPr>
      </w:pPr>
    </w:p>
    <w:p>
      <w:pPr>
        <w:jc w:val="both"/>
        <w:ind w:left="7" w:right="20" w:firstLine="14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any Subsidiary of the Borrower that, as of the date of the most recent financial statements required to be delivered pursuant to Section 5.01(a) or (b), does not have (a) assets (when combined with the assets of all other Immaterial Subsidiaries, after eliminating intercompany obligations) in excess of 5.0% of Consolidated Net Tangible Assets or (b) Consolidated EBITDA (when combined with the Consolidated EBITDA of all other Immaterial Subsidiaries, after eliminating intercompany obligations) for the period of four consecutive fiscal quarters ending on such date in excess of 5.0% of the Consolidated EBITDA of the Borrower and the Restricted Subsidiaries for such period.</w:t>
      </w:r>
    </w:p>
    <w:p>
      <w:pPr>
        <w:spacing w:after="0" w:line="209" w:lineRule="exact"/>
        <w:rPr>
          <w:sz w:val="20"/>
          <w:szCs w:val="20"/>
          <w:color w:val="auto"/>
        </w:rPr>
      </w:pPr>
    </w:p>
    <w:p>
      <w:pPr>
        <w:jc w:val="both"/>
        <w:ind w:left="7" w:firstLine="149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means, as of any date of determination, the sum of (I)(a) the greater of (A) $140,000,000 and (B) 100% of Consolidated EBITDA computed on a Pro Forma Basis for the most recently ended Test Period as of such time (clause (A) and</w:t>
      </w:r>
    </w:p>
    <w:p>
      <w:pPr>
        <w:jc w:val="both"/>
        <w:ind w:left="7" w:right="20" w:hanging="7"/>
        <w:spacing w:after="0" w:line="265" w:lineRule="auto"/>
        <w:tabs>
          <w:tab w:leader="none" w:pos="33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being the “</w:t>
      </w:r>
      <w:r>
        <w:rPr>
          <w:rFonts w:ascii="Arial" w:cs="Arial" w:eastAsia="Arial" w:hAnsi="Arial"/>
          <w:sz w:val="18"/>
          <w:szCs w:val="18"/>
          <w:u w:val="single" w:color="auto"/>
          <w:color w:val="auto"/>
        </w:rPr>
        <w:t>Starter Amount</w:t>
      </w:r>
      <w:r>
        <w:rPr>
          <w:rFonts w:ascii="Arial" w:cs="Arial" w:eastAsia="Arial" w:hAnsi="Arial"/>
          <w:sz w:val="18"/>
          <w:szCs w:val="18"/>
          <w:color w:val="auto"/>
        </w:rPr>
        <w:t>”) (</w:t>
      </w:r>
      <w:r>
        <w:rPr>
          <w:rFonts w:ascii="Arial" w:cs="Arial" w:eastAsia="Arial" w:hAnsi="Arial"/>
          <w:sz w:val="18"/>
          <w:szCs w:val="18"/>
          <w:i w:val="1"/>
          <w:iCs w:val="1"/>
          <w:color w:val="auto"/>
        </w:rPr>
        <w:t>minus</w:t>
      </w:r>
      <w:r>
        <w:rPr>
          <w:rFonts w:ascii="Arial" w:cs="Arial" w:eastAsia="Arial" w:hAnsi="Arial"/>
          <w:sz w:val="18"/>
          <w:szCs w:val="18"/>
          <w:color w:val="auto"/>
        </w:rPr>
        <w:t xml:space="preserve"> amounts incurred prior to the date of determination in respect of all Incremental Facilities and Incremental Equivalent Debt, in each case, incurred in reliance on this clause (a), and all amounts incurred pursuant to clause (A)(I)(x) of Section 6.01(a)(xv) or clause (A)(I)(x) of Section 6.01(a)(xvi)),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maximum amount deducted pursuant to this clause (I)</w:t>
      </w:r>
    </w:p>
    <w:p>
      <w:pPr>
        <w:spacing w:after="0" w:line="2" w:lineRule="exact"/>
        <w:rPr>
          <w:rFonts w:ascii="Arial" w:cs="Arial" w:eastAsia="Arial" w:hAnsi="Arial"/>
          <w:sz w:val="18"/>
          <w:szCs w:val="18"/>
          <w:color w:val="auto"/>
        </w:rPr>
      </w:pPr>
    </w:p>
    <w:p>
      <w:pPr>
        <w:jc w:val="both"/>
        <w:ind w:left="7"/>
        <w:spacing w:after="0" w:line="315" w:lineRule="auto"/>
        <w:rPr>
          <w:rFonts w:ascii="Arial" w:cs="Arial" w:eastAsia="Arial" w:hAnsi="Arial"/>
          <w:sz w:val="18"/>
          <w:szCs w:val="18"/>
          <w:color w:val="auto"/>
        </w:rPr>
      </w:pPr>
      <w:r>
        <w:rPr>
          <w:rFonts w:ascii="Arial" w:cs="Arial" w:eastAsia="Arial" w:hAnsi="Arial"/>
          <w:sz w:val="16"/>
          <w:szCs w:val="16"/>
          <w:color w:val="auto"/>
        </w:rPr>
        <w:t xml:space="preserve">(a) shall not exceed the greater of $140,000,000 and 100% of Consolidated EBITDA computed on a Pro Forma Basis for the most recently ended Test Period as of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(b)(i) the aggregate principal amount of all Term Loans voluntarily prepaid pursuant to Section 2.11(a)(i), (ii) the aggregate amount of all Term Loans repurchased and prepaid pursuant to Section 2.11(a)(ii) or otherwise in a manner not prohibited by Section 9.04(g) (determined based on the face amount of such prepayment rather than the actual cash applied), (iii) all reductions of Revolving Commitments pursuant to Section 2.08(b) and (iv) the aggregate principal amount of all Incremental</w:t>
      </w:r>
    </w:p>
    <w:p>
      <w:pPr>
        <w:spacing w:after="0" w:line="13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66040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7"/>
          </w:cols>
          <w:pgMar w:left="493" w:top="366" w:right="499" w:bottom="1440" w:gutter="0" w:footer="0" w:header="0"/>
        </w:sectPr>
      </w:pPr>
    </w:p>
    <w:bookmarkStart w:id="192" w:name="page193"/>
    <w:bookmarkEnd w:id="192"/>
    <w:p>
      <w:pPr>
        <w:jc w:val="both"/>
        <w:spacing w:after="0" w:line="267" w:lineRule="auto"/>
        <w:rPr>
          <w:sz w:val="20"/>
          <w:szCs w:val="20"/>
          <w:color w:val="auto"/>
        </w:rPr>
      </w:pPr>
      <w:r>
        <w:rPr>
          <w:rFonts w:ascii="Arial" w:cs="Arial" w:eastAsia="Arial" w:hAnsi="Arial"/>
          <w:sz w:val="18"/>
          <w:szCs w:val="18"/>
          <w:color w:val="auto"/>
        </w:rPr>
        <w:t xml:space="preserve">Facilities, Incremental Equivalent Debt and other Indebtedness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voluntarily prepaid or repurchased (determined based on the face amount of such prepayment rather than the actual cash applied), in each case prior to such date (other than, in each case, prepayments, repurchases and commitment reductions made with the proceeds of the incurrence of Credit Agreement Refinancing Indebtedness or other long-term Indebtedness (other than revolving loans) (the sum of the amounts set forth in this clause (b), the “</w:t>
      </w:r>
      <w:r>
        <w:rPr>
          <w:rFonts w:ascii="Arial" w:cs="Arial" w:eastAsia="Arial" w:hAnsi="Arial"/>
          <w:sz w:val="18"/>
          <w:szCs w:val="18"/>
          <w:u w:val="single" w:color="auto"/>
          <w:color w:val="auto"/>
        </w:rPr>
        <w:t>Voluntary Prepayment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maximum aggregate principal amount that can be incurred without causing the Senior Secured First Lien Net Leverage Ratio, after giving effect to the incurrence of any such Incremental Facility or Incremental Equivalent Debt) (which shall assume that the full amount of any Incremental Revolving Commitment Increase and Additional/Replacement Revolving Commitments being established at such time are fully drawn (but pro forma for the use thereof) and without deducting in calculating the numerator of such Senior Secured First Lien Net Leverage Ratio any cash proceeds thereof, provided that to the extent the proceeds of any such Incremental Facility or Incremental Equivalent Debt are to be used to repay Indebtedness it shall not limit the Borrower’s ability to give pro forma effect to such repayment and all other adjustments contemplated by the definition of “Pro Forma Basis”), and the use of proceeds thereof, on a Pro Forma Basis (but without giving effect to any simultaneous incurrence of any Incremental Facility or Incremental Equivalent Debt made pursuant to the foregoing clause (I)) (i) to exceed 5.00 to 1.00 for the most recent Test Period ended or (ii) if incurred in connection with a Permitted Acquisition or other permitted Investment, to increase immediately after giving effect to such Permitted Acquisition or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 Incremental Facility or Incremental Equivalent Debt that is secured by the Collateral on a junior lien basis to the Secured Obligations, in lieu of complying with the Senior Secured First Lien Net Leverage Ratio set forth above in this clause (II), the Senior Secured Net Leverage Ratio, after giving effect to the incurrence of such junior lien Incremental Facility or Incremental Equivalent Debt (without deducting in calculating the numerator of such Senior Secured Net Leverage Ratio any cash proceeds thereof, provided that to the extent the proceeds of any such Incremental Facility or Incremental Equivalent Debt are to be used to repay Indebtedness it shall not limit the Borrower’s ability to give pro forma effect to such repayment and all other adjustments contemplated by the definition of “Pro Forma Basis”) and the use of proceeds thereof, shall (i) not exceed 5.50 to 1.00 on a Pro Forma Basis for the most recent Test Period ended or (ii) if incurred in connection with a Permitted Acquisition or other permitted Investment, not increase immediately after giving effect to such Permitted Acquisition or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such Incremental Facility or Incremental Equivalent Debt is unsecured or secured by assets not constituting Collateral, in lieu of complying with the Senior Secured First Lien Net Leverage Ratio set forth above in this clause (II), either (A) the Total Net Leverage Ratio, after giving effect to the incurrence of such Incremental Facility or Incremental Equivalent Debt (without deducting in calculating the numerator of such Total Net Leverage Ratio any cash proceeds thereof, provided that to the extent the proceeds of any such Incremental Facility or Incremental Equivalent Debt are to be used to repay Indebtedness it shall not limit the Borrower’s ability to give pro forma effect to such repayment and all other adjustments contemplated by the definition of “Pro Forma Basis”) and the use of proceeds thereof, shall (i) not exceed 6.00 to 1.00 on a Pro Forma Basis for the most recent Test Period ended or (ii) if incurred in connection with a Permitted Acquisition or other permitted Investment, not increase immediately after giving effect to such Permitted Acquisition or Investment or (B) the Cash Interest Coverage Ratio, after giving effect to the incurrence of such Incremental Facility or Incremental Equivalent Debt and the use of proceeds thereof, shall (i) not be less than 2.00 to 1.00 on a Pro Forma Basis for the most recent Test Period ended or (ii) if incurred in connection with a Permitted Acquisition or other permitted Investment, not decrease immediately after giving effect to such Permitted Acquisition or Investment (the sum of the amounts set forth in this clause (II), the “</w:t>
      </w:r>
      <w:r>
        <w:rPr>
          <w:rFonts w:ascii="Arial" w:cs="Arial" w:eastAsia="Arial" w:hAnsi="Arial"/>
          <w:sz w:val="18"/>
          <w:szCs w:val="18"/>
          <w:u w:val="single" w:color="auto"/>
          <w:color w:val="auto"/>
        </w:rPr>
        <w:t>Ratio Incremental Amount</w:t>
      </w:r>
      <w:r>
        <w:rPr>
          <w:rFonts w:ascii="Arial" w:cs="Arial" w:eastAsia="Arial" w:hAnsi="Arial"/>
          <w:sz w:val="18"/>
          <w:szCs w:val="18"/>
          <w:color w:val="auto"/>
        </w:rPr>
        <w:t>”). Any ratio (or with respect to clause (B) of the Starter Amount, Consolidated EBITDA) calculated for purposes of determining the “Incremental Cap” shall be calculated on a Pro Forma Basis for the most recent Test Period ended and subject to Section 1.06 to the extent applicable and, at the option of the Borrower, any unfunded Incremental Facility or Incremental Equivalent Debt may be tested at the time of the initial funding in lieu of the time of establishment. Loans may be incurred under both clauses (I) and (II), and proceeds from any such incurrence may be utilized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93" w:name="page194"/>
    <w:bookmarkEnd w:id="193"/>
    <w:p>
      <w:pPr>
        <w:jc w:val="both"/>
        <w:ind w:left="7"/>
        <w:spacing w:after="0" w:line="255" w:lineRule="auto"/>
        <w:rPr>
          <w:sz w:val="20"/>
          <w:szCs w:val="20"/>
          <w:color w:val="auto"/>
        </w:rPr>
      </w:pPr>
      <w:r>
        <w:rPr>
          <w:rFonts w:ascii="Arial" w:cs="Arial" w:eastAsia="Arial" w:hAnsi="Arial"/>
          <w:sz w:val="19"/>
          <w:szCs w:val="19"/>
          <w:color w:val="auto"/>
        </w:rPr>
        <w:t>a single transaction by first calculating the incurrence under clause (II) above (and any concurrent Borrowing of Revolving Loans) and then calculating the incurrence under clause (I) above) (if any) and, for the avoidance of doubt, the Senior Secured First Lien Net Leverage Ratio, Senior Secured Net Leverage Ratio, Total Net Leverage Ratio, or Cash Interest Coverage Ratio, as applicable shall be permitted to exceed the maximum (or minimum, as applicable) ratio set forth in clause (II) above to the extent of such amounts incurred in reliance on clause (I) (and any concurrent Borrowing of Revolving Loans) at substantially the same time. Unless the Borrower otherwise elects in writing to the Administrative Agent, the Borrower shall be deemed to have used amounts, if any, that are available under clause (II) above prior to the utilization of amounts under clause (I) above. The Borrower may reclassify all or any portion of Indebtedness originally designated as incurred under clause (I) above as having been incurred under clause (II) above so long as, at the time of such reclassification, the Borrower would be permitted to incur the aggregate principal amount of Indebtedness being so reclassified under clause (II) above (it being understood and agreed that such reclassification shall be automatic if at the end of any fiscal quarter such reclassification would then be permitted).</w:t>
      </w:r>
    </w:p>
    <w:p>
      <w:pPr>
        <w:spacing w:after="0" w:line="293"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Equivalent Debt</w:t>
      </w:r>
      <w:r>
        <w:rPr>
          <w:rFonts w:ascii="Arial" w:cs="Arial" w:eastAsia="Arial" w:hAnsi="Arial"/>
          <w:sz w:val="20"/>
          <w:szCs w:val="20"/>
          <w:color w:val="auto"/>
        </w:rPr>
        <w:t>” has the meaning assigned to such term in Section 6.01(a)(xxiii).</w:t>
      </w:r>
    </w:p>
    <w:p>
      <w:pPr>
        <w:spacing w:after="0" w:line="309"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w:t>
      </w:r>
      <w:r>
        <w:rPr>
          <w:rFonts w:ascii="Arial" w:cs="Arial" w:eastAsia="Arial" w:hAnsi="Arial"/>
          <w:sz w:val="20"/>
          <w:szCs w:val="20"/>
          <w:color w:val="auto"/>
        </w:rPr>
        <w:t>” has the meaning assigned to such term in Section 2.20(a).</w:t>
      </w:r>
    </w:p>
    <w:p>
      <w:pPr>
        <w:spacing w:after="0" w:line="323"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 Amendment</w:t>
      </w:r>
      <w:r>
        <w:rPr>
          <w:rFonts w:ascii="Arial" w:cs="Arial" w:eastAsia="Arial" w:hAnsi="Arial"/>
          <w:sz w:val="20"/>
          <w:szCs w:val="20"/>
          <w:color w:val="auto"/>
        </w:rPr>
        <w:t>” has the meaning assigned to such term in Section 2.20(d).</w:t>
      </w:r>
    </w:p>
    <w:p>
      <w:pPr>
        <w:spacing w:after="0" w:line="323"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w:t>
      </w:r>
      <w:r>
        <w:rPr>
          <w:rFonts w:ascii="Arial" w:cs="Arial" w:eastAsia="Arial" w:hAnsi="Arial"/>
          <w:sz w:val="20"/>
          <w:szCs w:val="20"/>
          <w:color w:val="auto"/>
        </w:rPr>
        <w:t>” has the meaning assigned to such term in Section 2.20(a).</w:t>
      </w:r>
    </w:p>
    <w:p>
      <w:pPr>
        <w:spacing w:after="0" w:line="242"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Commitment Increase</w:t>
      </w:r>
      <w:r>
        <w:rPr>
          <w:rFonts w:ascii="Arial" w:cs="Arial" w:eastAsia="Arial" w:hAnsi="Arial"/>
          <w:sz w:val="20"/>
          <w:szCs w:val="20"/>
          <w:color w:val="auto"/>
        </w:rPr>
        <w:t>” has the meaning assigned to such term in Section 2.20(a).</w:t>
      </w:r>
    </w:p>
    <w:p>
      <w:pPr>
        <w:spacing w:after="0" w:line="228"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Facility</w:t>
      </w:r>
      <w:r>
        <w:rPr>
          <w:rFonts w:ascii="Arial" w:cs="Arial" w:eastAsia="Arial" w:hAnsi="Arial"/>
          <w:sz w:val="20"/>
          <w:szCs w:val="20"/>
          <w:color w:val="auto"/>
        </w:rPr>
        <w:t>” has the meaning assigned to such term in Section 2.20(a).</w:t>
      </w:r>
    </w:p>
    <w:p>
      <w:pPr>
        <w:spacing w:after="0" w:line="228"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Increase</w:t>
      </w:r>
      <w:r>
        <w:rPr>
          <w:rFonts w:ascii="Arial" w:cs="Arial" w:eastAsia="Arial" w:hAnsi="Arial"/>
          <w:sz w:val="20"/>
          <w:szCs w:val="20"/>
          <w:color w:val="auto"/>
        </w:rPr>
        <w:t>” has the meaning assigned to such term in Section 2.20(a).</w:t>
      </w:r>
    </w:p>
    <w:p>
      <w:pPr>
        <w:spacing w:after="0" w:line="228"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means any Term Loan provided under any Incremental Facility.</w:t>
      </w:r>
    </w:p>
    <w:p>
      <w:pPr>
        <w:spacing w:after="0" w:line="323" w:lineRule="exact"/>
        <w:rPr>
          <w:sz w:val="20"/>
          <w:szCs w:val="20"/>
          <w:color w:val="auto"/>
        </w:rPr>
      </w:pPr>
    </w:p>
    <w:p>
      <w:pPr>
        <w:jc w:val="both"/>
        <w:ind w:left="7" w:firstLine="149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(excluding prepaid interest thereon),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expenses accrued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spacing w:after="0" w:line="4" w:lineRule="exact"/>
        <w:rPr>
          <w:sz w:val="20"/>
          <w:szCs w:val="20"/>
          <w:color w:val="auto"/>
        </w:rPr>
      </w:pPr>
    </w:p>
    <w:p>
      <w:pPr>
        <w:jc w:val="both"/>
        <w:ind w:left="7" w:right="20" w:hanging="7"/>
        <w:spacing w:after="0" w:line="281" w:lineRule="auto"/>
        <w:tabs>
          <w:tab w:leader="none" w:pos="29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“Indebtedness” shall not include (i)</w:t>
      </w:r>
    </w:p>
    <w:p>
      <w:pPr>
        <w:spacing w:after="0" w:line="16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66040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7"/>
          </w:cols>
          <w:pgMar w:left="493" w:top="122" w:right="499" w:bottom="1440" w:gutter="0" w:footer="0" w:header="0"/>
        </w:sectPr>
      </w:pPr>
    </w:p>
    <w:bookmarkStart w:id="194" w:name="page195"/>
    <w:bookmarkEnd w:id="194"/>
    <w:p>
      <w:pPr>
        <w:jc w:val="both"/>
        <w:spacing w:after="0" w:line="268" w:lineRule="auto"/>
        <w:rPr>
          <w:sz w:val="20"/>
          <w:szCs w:val="20"/>
          <w:color w:val="auto"/>
        </w:rPr>
      </w:pPr>
      <w:r>
        <w:rPr>
          <w:rFonts w:ascii="Arial" w:cs="Arial" w:eastAsia="Arial" w:hAnsi="Arial"/>
          <w:sz w:val="18"/>
          <w:szCs w:val="18"/>
          <w:color w:val="auto"/>
        </w:rPr>
        <w:t>deferred or prepaid revenue, deferred tax liabilities, liabilities associated with customer prepayments and deposits and any such obligations incurred under ERISA and other accrued obligations (including transfer pricing), and customary obligations under employment agreements and deferred compensation, (ii) purchase price holdbacks in respect of a portion of the purchase price of an asset to satisfy warranty, indemnity or other unperformed obligations of the seller, or other contingent post-closing purchase price adjustments, non-compete or consulting obligations, (iii) any obligations attributable to the exercise of appraisal rights and the settlement of any claims or actions (whether actual, contingent or potential) with respect thereto, (iv) Indebtedness of Holdings, or any Person that is a Holdings Parent appearing on the balance sheet of the Borrower solely by reason of push down accounting under GAAP, (v) Indebtedness that is non-recourse to the Borrower or any of its Restricted Subsidiaries or (vi) for the avoidance of doubt, any Qualified Equity Interests issued by Holdings or the Borrower.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(including intercompany liabilities related to the payment of the purchase price for Securitization Assets pursuant to a Qualified Securitization Facility) and intercompany loans, advances or Indebtedness having a term not exceeding 364 days (inclusive of any rollover or extensions of terms) and made in the ordinary course of business.</w:t>
      </w:r>
    </w:p>
    <w:p>
      <w:pPr>
        <w:spacing w:after="0" w:line="19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all Taxes, other than Excluded Taxes and Other Taxes.</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has the meaning assigned to such term in Section 9.03(b).</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has the meaning assigned to such term in Section 9.12(a).</w:t>
      </w:r>
    </w:p>
    <w:p>
      <w:pPr>
        <w:spacing w:after="0" w:line="228"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 Memorandum</w:t>
      </w:r>
      <w:r>
        <w:rPr>
          <w:rFonts w:ascii="Arial" w:cs="Arial" w:eastAsia="Arial" w:hAnsi="Arial"/>
          <w:sz w:val="20"/>
          <w:szCs w:val="20"/>
          <w:color w:val="auto"/>
        </w:rPr>
        <w:t>” means the Confidential Information Memorandum relating to Holdings and the Transactions (if any) and/or the lender presentation delivered to prospective lenders prior to the Effective Date.</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Default</w:t>
      </w:r>
      <w:r>
        <w:rPr>
          <w:rFonts w:ascii="Arial" w:cs="Arial" w:eastAsia="Arial" w:hAnsi="Arial"/>
          <w:sz w:val="20"/>
          <w:szCs w:val="20"/>
          <w:color w:val="auto"/>
        </w:rPr>
        <w:t>” has the meaning assigned to such term in Section 1.03.</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Loans</w:t>
      </w:r>
      <w:r>
        <w:rPr>
          <w:rFonts w:ascii="Arial" w:cs="Arial" w:eastAsia="Arial" w:hAnsi="Arial"/>
          <w:sz w:val="20"/>
          <w:szCs w:val="20"/>
          <w:color w:val="auto"/>
        </w:rPr>
        <w:t>” means the Loans made pursuant to Section 2.01(a).</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has the meaning assigned to such term in the Collateral Agreement.</w:t>
      </w:r>
    </w:p>
    <w:p>
      <w:pPr>
        <w:spacing w:after="0" w:line="309" w:lineRule="exact"/>
        <w:rPr>
          <w:sz w:val="20"/>
          <w:szCs w:val="20"/>
          <w:color w:val="auto"/>
        </w:rPr>
      </w:pPr>
    </w:p>
    <w:p>
      <w:pPr>
        <w:jc w:val="both"/>
        <w:ind w:firstLine="149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Security Agreements</w:t>
      </w:r>
      <w:r>
        <w:rPr>
          <w:rFonts w:ascii="Arial" w:cs="Arial" w:eastAsia="Arial" w:hAnsi="Arial"/>
          <w:sz w:val="19"/>
          <w:szCs w:val="19"/>
          <w:color w:val="auto"/>
        </w:rPr>
        <w:t>” means short-form security agreements, suitable for filing with the United States Patent and Trademark Office or the United States Copyright Office (as applicable), with respect to any Trademarks, Patents and Copyrights that are registered, issued or applied-for in the United States and that constitute Collateral.</w:t>
      </w:r>
    </w:p>
    <w:p>
      <w:pPr>
        <w:spacing w:after="0" w:line="196" w:lineRule="exact"/>
        <w:rPr>
          <w:sz w:val="20"/>
          <w:szCs w:val="20"/>
          <w:color w:val="auto"/>
        </w:rPr>
      </w:pPr>
    </w:p>
    <w:p>
      <w:pPr>
        <w:jc w:val="both"/>
        <w:ind w:firstLine="1498"/>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License Agreement</w:t>
      </w:r>
      <w:r>
        <w:rPr>
          <w:rFonts w:ascii="Arial" w:cs="Arial" w:eastAsia="Arial" w:hAnsi="Arial"/>
          <w:sz w:val="18"/>
          <w:szCs w:val="18"/>
          <w:color w:val="auto"/>
        </w:rPr>
        <w:t>” means any cost sharing agreement, commission or royalty agreement, license or sub-license agreement, distribution agreement, services agreement, intellectual property rights transfer agreement or any related agreements, in each case where all the parties to such agreement are one or more of the Borrower or a Restricted Subsidiary.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204" w:right="499" w:bottom="1440" w:gutter="0" w:footer="0" w:header="0"/>
        </w:sectPr>
      </w:pPr>
    </w:p>
    <w:bookmarkStart w:id="195" w:name="page196"/>
    <w:bookmarkEnd w:id="195"/>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the Pari Passu Intercreditor Agreement or the Junior Intercreditor Agreement, as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applicable.</w:t>
      </w:r>
    </w:p>
    <w:p>
      <w:pPr>
        <w:spacing w:after="0" w:line="226"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Election Request</w:t>
      </w:r>
      <w:r>
        <w:rPr>
          <w:rFonts w:ascii="Arial" w:cs="Arial" w:eastAsia="Arial" w:hAnsi="Arial"/>
          <w:sz w:val="20"/>
          <w:szCs w:val="20"/>
          <w:color w:val="auto"/>
        </w:rPr>
        <w:t>” means a request by the Borrower to convert or continue a Revolving Borrowing or Term Borrowing in accordance with Section 2.07.</w:t>
      </w:r>
    </w:p>
    <w:p>
      <w:pPr>
        <w:spacing w:after="0" w:line="183"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w:t>
      </w:r>
      <w:r>
        <w:rPr>
          <w:rFonts w:ascii="Arial" w:cs="Arial" w:eastAsia="Arial" w:hAnsi="Arial"/>
          <w:sz w:val="20"/>
          <w:szCs w:val="20"/>
          <w:b w:val="1"/>
          <w:bCs w:val="1"/>
          <w:u w:val="single" w:color="auto"/>
          <w:color w:val="0000FF"/>
        </w:rPr>
        <w:t>x)(</w:t>
      </w:r>
      <w:r>
        <w:rPr>
          <w:rFonts w:ascii="Arial" w:cs="Arial" w:eastAsia="Arial" w:hAnsi="Arial"/>
          <w:sz w:val="20"/>
          <w:szCs w:val="20"/>
          <w:color w:val="auto"/>
        </w:rPr>
        <w:t xml:space="preserve">a) with respect to any ABR Loan, the last Business Day of each March, June, September and December and (b) with respect to any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 the last </w:t>
      </w:r>
      <w:r>
        <w:rPr>
          <w:rFonts w:ascii="Arial" w:cs="Arial" w:eastAsia="Arial" w:hAnsi="Arial"/>
          <w:sz w:val="20"/>
          <w:szCs w:val="20"/>
          <w:b w:val="1"/>
          <w:bCs w:val="1"/>
          <w:color w:val="FF0000"/>
          <w:strike w:val="1"/>
        </w:rPr>
        <w:t>Business Day of the</w:t>
      </w:r>
      <w:r>
        <w:rPr>
          <w:rFonts w:ascii="Arial" w:cs="Arial" w:eastAsia="Arial" w:hAnsi="Arial"/>
          <w:sz w:val="20"/>
          <w:szCs w:val="20"/>
          <w:b w:val="1"/>
          <w:bCs w:val="1"/>
          <w:u w:val="single" w:color="auto"/>
          <w:color w:val="0000FF"/>
        </w:rPr>
        <w:t>day of each</w:t>
      </w:r>
      <w:r>
        <w:rPr>
          <w:rFonts w:ascii="Arial" w:cs="Arial" w:eastAsia="Arial" w:hAnsi="Arial"/>
          <w:sz w:val="20"/>
          <w:szCs w:val="20"/>
          <w:color w:val="auto"/>
        </w:rPr>
        <w:t xml:space="preserve"> Interest Period </w:t>
      </w:r>
      <w:r>
        <w:rPr>
          <w:rFonts w:ascii="Arial" w:cs="Arial" w:eastAsia="Arial" w:hAnsi="Arial"/>
          <w:sz w:val="20"/>
          <w:szCs w:val="20"/>
          <w:b w:val="1"/>
          <w:bCs w:val="1"/>
          <w:color w:val="FF0000"/>
          <w:strike w:val="1"/>
        </w:rPr>
        <w:t>applicable to the Borrowing of which such Loan is a part</w:t>
      </w:r>
      <w:r>
        <w:rPr>
          <w:rFonts w:ascii="Arial" w:cs="Arial" w:eastAsia="Arial" w:hAnsi="Arial"/>
          <w:sz w:val="20"/>
          <w:szCs w:val="20"/>
          <w:b w:val="1"/>
          <w:bCs w:val="1"/>
          <w:u w:val="single" w:color="auto"/>
          <w:color w:val="0000FF"/>
        </w:rPr>
        <w:t>therefor</w:t>
      </w:r>
      <w:r>
        <w:rPr>
          <w:rFonts w:ascii="Arial" w:cs="Arial" w:eastAsia="Arial" w:hAnsi="Arial"/>
          <w:sz w:val="20"/>
          <w:szCs w:val="20"/>
          <w:b w:val="1"/>
          <w:bCs w:val="1"/>
          <w:color w:val="FF0000"/>
        </w:rPr>
        <w:t xml:space="preserve"> </w:t>
      </w:r>
      <w:r>
        <w:rPr>
          <w:rFonts w:ascii="Arial" w:cs="Arial" w:eastAsia="Arial" w:hAnsi="Arial"/>
          <w:sz w:val="20"/>
          <w:szCs w:val="20"/>
          <w:color w:val="000000"/>
        </w:rPr>
        <w:t>and, in the case of</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a Eurodollar Borrowing with an</w:t>
      </w:r>
      <w:r>
        <w:rPr>
          <w:rFonts w:ascii="Arial" w:cs="Arial" w:eastAsia="Arial" w:hAnsi="Arial"/>
          <w:sz w:val="20"/>
          <w:szCs w:val="20"/>
          <w:b w:val="1"/>
          <w:bCs w:val="1"/>
          <w:u w:val="single" w:color="auto"/>
          <w:color w:val="0000FF"/>
        </w:rPr>
        <w:t>any</w:t>
      </w:r>
      <w:r>
        <w:rPr>
          <w:rFonts w:ascii="Arial" w:cs="Arial" w:eastAsia="Arial" w:hAnsi="Arial"/>
          <w:sz w:val="20"/>
          <w:szCs w:val="20"/>
          <w:b w:val="1"/>
          <w:bCs w:val="1"/>
          <w:color w:val="FF0000"/>
        </w:rPr>
        <w:t xml:space="preserve"> </w:t>
      </w:r>
      <w:r>
        <w:rPr>
          <w:rFonts w:ascii="Arial" w:cs="Arial" w:eastAsia="Arial" w:hAnsi="Arial"/>
          <w:sz w:val="20"/>
          <w:szCs w:val="20"/>
          <w:color w:val="000000"/>
        </w:rPr>
        <w:t>Interest</w:t>
      </w:r>
      <w:r>
        <w:rPr>
          <w:rFonts w:ascii="Arial" w:cs="Arial" w:eastAsia="Arial" w:hAnsi="Arial"/>
          <w:sz w:val="20"/>
          <w:szCs w:val="20"/>
          <w:b w:val="1"/>
          <w:bCs w:val="1"/>
          <w:color w:val="FF0000"/>
        </w:rPr>
        <w:t xml:space="preserve"> </w:t>
      </w:r>
      <w:r>
        <w:rPr>
          <w:rFonts w:ascii="Arial" w:cs="Arial" w:eastAsia="Arial" w:hAnsi="Arial"/>
          <w:sz w:val="20"/>
          <w:szCs w:val="20"/>
          <w:color w:val="000000"/>
        </w:rPr>
        <w:t xml:space="preserve">Period of more than three months’ duration, each day prior to the last day of such Interest Period that occurs at </w:t>
      </w:r>
      <w:r>
        <w:rPr>
          <w:rFonts w:ascii="Arial" w:cs="Arial" w:eastAsia="Arial" w:hAnsi="Arial"/>
          <w:sz w:val="20"/>
          <w:szCs w:val="20"/>
          <w:b w:val="1"/>
          <w:bCs w:val="1"/>
          <w:u w:val="single" w:color="auto"/>
          <w:color w:val="0000FF"/>
        </w:rPr>
        <w:t>three-month</w:t>
      </w:r>
      <w:r>
        <w:rPr>
          <w:rFonts w:ascii="Arial" w:cs="Arial" w:eastAsia="Arial" w:hAnsi="Arial"/>
          <w:sz w:val="20"/>
          <w:szCs w:val="20"/>
          <w:color w:val="000000"/>
        </w:rPr>
        <w:t xml:space="preserve"> intervals </w:t>
      </w:r>
      <w:r>
        <w:rPr>
          <w:rFonts w:ascii="Arial" w:cs="Arial" w:eastAsia="Arial" w:hAnsi="Arial"/>
          <w:sz w:val="20"/>
          <w:szCs w:val="20"/>
          <w:b w:val="1"/>
          <w:bCs w:val="1"/>
          <w:color w:val="FF0000"/>
          <w:strike w:val="1"/>
        </w:rPr>
        <w:t>of</w:t>
      </w:r>
      <w:r>
        <w:rPr>
          <w:rFonts w:ascii="Arial" w:cs="Arial" w:eastAsia="Arial" w:hAnsi="Arial"/>
          <w:sz w:val="20"/>
          <w:szCs w:val="20"/>
          <w:color w:val="000000"/>
        </w:rPr>
        <w:t xml:space="preserve"> </w:t>
      </w:r>
      <w:r>
        <w:rPr>
          <w:rFonts w:ascii="Arial" w:cs="Arial" w:eastAsia="Arial" w:hAnsi="Arial"/>
          <w:sz w:val="20"/>
          <w:szCs w:val="20"/>
          <w:b w:val="1"/>
          <w:bCs w:val="1"/>
          <w:color w:val="FF0000"/>
          <w:strike w:val="1"/>
        </w:rPr>
        <w:t>three months’ duration</w:t>
      </w:r>
      <w:r>
        <w:rPr>
          <w:rFonts w:ascii="Arial" w:cs="Arial" w:eastAsia="Arial" w:hAnsi="Arial"/>
          <w:sz w:val="20"/>
          <w:szCs w:val="20"/>
          <w:b w:val="1"/>
          <w:bCs w:val="1"/>
          <w:color w:val="FF0000"/>
        </w:rPr>
        <w:t xml:space="preserve"> </w:t>
      </w:r>
      <w:r>
        <w:rPr>
          <w:rFonts w:ascii="Arial" w:cs="Arial" w:eastAsia="Arial" w:hAnsi="Arial"/>
          <w:sz w:val="20"/>
          <w:szCs w:val="20"/>
          <w:color w:val="000000"/>
        </w:rPr>
        <w:t>after the first day of such Interest Period</w:t>
      </w:r>
      <w:r>
        <w:rPr>
          <w:rFonts w:ascii="Arial" w:cs="Arial" w:eastAsia="Arial" w:hAnsi="Arial"/>
          <w:sz w:val="20"/>
          <w:szCs w:val="20"/>
          <w:b w:val="1"/>
          <w:bCs w:val="1"/>
          <w:u w:val="single" w:color="auto"/>
          <w:color w:val="0000FF"/>
        </w:rPr>
        <w:t>, and (y) the Revolving Maturity Date or the Term Maturity Date,</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as applicable</w:t>
      </w:r>
      <w:r>
        <w:rPr>
          <w:rFonts w:ascii="Arial" w:cs="Arial" w:eastAsia="Arial" w:hAnsi="Arial"/>
          <w:sz w:val="20"/>
          <w:szCs w:val="20"/>
          <w:color w:val="000000"/>
        </w:rPr>
        <w:t>.</w:t>
      </w:r>
    </w:p>
    <w:p>
      <w:pPr>
        <w:spacing w:after="0" w:line="202" w:lineRule="exact"/>
        <w:rPr>
          <w:sz w:val="20"/>
          <w:szCs w:val="20"/>
          <w:color w:val="auto"/>
        </w:rPr>
      </w:pPr>
    </w:p>
    <w:p>
      <w:pPr>
        <w:jc w:val="both"/>
        <w:ind w:firstLine="1498"/>
        <w:spacing w:after="0" w:line="30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t>
      </w:r>
      <w:r>
        <w:rPr>
          <w:rFonts w:ascii="Arial" w:cs="Arial" w:eastAsia="Arial" w:hAnsi="Arial"/>
          <w:sz w:val="16"/>
          <w:szCs w:val="16"/>
          <w:b w:val="1"/>
          <w:bCs w:val="1"/>
          <w:color w:val="FF0000"/>
          <w:strike w:val="1"/>
        </w:rPr>
        <w:t>with respect</w:t>
      </w:r>
      <w:r>
        <w:rPr>
          <w:rFonts w:ascii="Arial" w:cs="Arial" w:eastAsia="Arial" w:hAnsi="Arial"/>
          <w:sz w:val="16"/>
          <w:szCs w:val="16"/>
          <w:b w:val="1"/>
          <w:bCs w:val="1"/>
          <w:u w:val="single" w:color="auto"/>
          <w:color w:val="0000FF"/>
        </w:rPr>
        <w:t>as</w:t>
      </w:r>
      <w:r>
        <w:rPr>
          <w:rFonts w:ascii="Arial" w:cs="Arial" w:eastAsia="Arial" w:hAnsi="Arial"/>
          <w:sz w:val="16"/>
          <w:szCs w:val="16"/>
          <w:color w:val="auto"/>
        </w:rPr>
        <w:t xml:space="preserve"> to any </w:t>
      </w:r>
      <w:r>
        <w:rPr>
          <w:rFonts w:ascii="Arial" w:cs="Arial" w:eastAsia="Arial" w:hAnsi="Arial"/>
          <w:sz w:val="16"/>
          <w:szCs w:val="16"/>
          <w:b w:val="1"/>
          <w:bCs w:val="1"/>
          <w:color w:val="FF0000"/>
          <w:strike w:val="1"/>
        </w:rPr>
        <w:t>Eurodollar</w:t>
      </w:r>
      <w:r>
        <w:rPr>
          <w:rFonts w:ascii="Arial" w:cs="Arial" w:eastAsia="Arial" w:hAnsi="Arial"/>
          <w:sz w:val="16"/>
          <w:szCs w:val="16"/>
          <w:color w:val="auto"/>
        </w:rPr>
        <w:t xml:space="preserve"> Borrowing, the period commencing on the date </w:t>
      </w:r>
      <w:r>
        <w:rPr>
          <w:rFonts w:ascii="Arial" w:cs="Arial" w:eastAsia="Arial" w:hAnsi="Arial"/>
          <w:sz w:val="16"/>
          <w:szCs w:val="16"/>
          <w:b w:val="1"/>
          <w:bCs w:val="1"/>
          <w:u w:val="single" w:color="auto"/>
          <w:color w:val="0000FF"/>
        </w:rPr>
        <w:t>of</w:t>
      </w:r>
      <w:r>
        <w:rPr>
          <w:rFonts w:ascii="Arial" w:cs="Arial" w:eastAsia="Arial" w:hAnsi="Arial"/>
          <w:sz w:val="16"/>
          <w:szCs w:val="16"/>
          <w:color w:val="auto"/>
        </w:rPr>
        <w:t xml:space="preserve"> such </w:t>
      </w:r>
      <w:r>
        <w:rPr>
          <w:rFonts w:ascii="Arial" w:cs="Arial" w:eastAsia="Arial" w:hAnsi="Arial"/>
          <w:sz w:val="16"/>
          <w:szCs w:val="16"/>
          <w:b w:val="1"/>
          <w:bCs w:val="1"/>
          <w:color w:val="FF0000"/>
          <w:strike w:val="1"/>
        </w:rPr>
        <w:t>Borrowing is disbursed or converted to or continued as a Eurodollar</w:t>
      </w:r>
      <w:r>
        <w:rPr>
          <w:rFonts w:ascii="Arial" w:cs="Arial" w:eastAsia="Arial" w:hAnsi="Arial"/>
          <w:sz w:val="16"/>
          <w:szCs w:val="16"/>
          <w:b w:val="1"/>
          <w:bCs w:val="1"/>
          <w:u w:val="single" w:color="auto"/>
          <w:color w:val="0000FF"/>
        </w:rPr>
        <w:t>Loan or</w:t>
      </w:r>
      <w:r>
        <w:rPr>
          <w:rFonts w:ascii="Arial" w:cs="Arial" w:eastAsia="Arial" w:hAnsi="Arial"/>
          <w:sz w:val="16"/>
          <w:szCs w:val="16"/>
          <w:b w:val="1"/>
          <w:bCs w:val="1"/>
          <w:color w:val="FF0000"/>
        </w:rPr>
        <w:t xml:space="preserve"> </w:t>
      </w:r>
      <w:r>
        <w:rPr>
          <w:rFonts w:ascii="Arial" w:cs="Arial" w:eastAsia="Arial" w:hAnsi="Arial"/>
          <w:sz w:val="16"/>
          <w:szCs w:val="16"/>
          <w:color w:val="000000"/>
        </w:rPr>
        <w:t>Borrowing and ending on the</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date</w:t>
      </w:r>
      <w:r>
        <w:rPr>
          <w:rFonts w:ascii="Arial" w:cs="Arial" w:eastAsia="Arial" w:hAnsi="Arial"/>
          <w:sz w:val="16"/>
          <w:szCs w:val="16"/>
          <w:b w:val="1"/>
          <w:bCs w:val="1"/>
          <w:u w:val="single" w:color="auto"/>
          <w:color w:val="0000FF"/>
        </w:rPr>
        <w:t>numerically</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corresponding day in the calendar month</w:t>
      </w:r>
      <w:r>
        <w:rPr>
          <w:rFonts w:ascii="Arial" w:cs="Arial" w:eastAsia="Arial" w:hAnsi="Arial"/>
          <w:sz w:val="16"/>
          <w:szCs w:val="16"/>
          <w:b w:val="1"/>
          <w:bCs w:val="1"/>
          <w:color w:val="0000FF"/>
        </w:rPr>
        <w:t xml:space="preserve"> </w:t>
      </w:r>
      <w:r>
        <w:rPr>
          <w:rFonts w:ascii="Arial" w:cs="Arial" w:eastAsia="Arial" w:hAnsi="Arial"/>
          <w:sz w:val="16"/>
          <w:szCs w:val="16"/>
          <w:color w:val="000000"/>
        </w:rPr>
        <w:t>that is one</w:t>
      </w:r>
      <w:r>
        <w:rPr>
          <w:rFonts w:ascii="Arial" w:cs="Arial" w:eastAsia="Arial" w:hAnsi="Arial"/>
          <w:sz w:val="16"/>
          <w:szCs w:val="16"/>
          <w:b w:val="1"/>
          <w:bCs w:val="1"/>
          <w:color w:val="FF0000"/>
          <w:strike w:val="1"/>
        </w:rPr>
        <w:t>, two</w:t>
      </w:r>
      <w:r>
        <w:rPr>
          <w:rFonts w:ascii="Arial" w:cs="Arial" w:eastAsia="Arial" w:hAnsi="Arial"/>
          <w:sz w:val="16"/>
          <w:szCs w:val="16"/>
          <w:color w:val="000000"/>
        </w:rPr>
        <w:t>, three or six months thereafter</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as selected by the Borrower in its</w:t>
      </w:r>
      <w:r>
        <w:rPr>
          <w:rFonts w:ascii="Arial" w:cs="Arial" w:eastAsia="Arial" w:hAnsi="Arial"/>
          <w:sz w:val="16"/>
          <w:szCs w:val="16"/>
          <w:b w:val="1"/>
          <w:bCs w:val="1"/>
          <w:u w:val="single" w:color="auto"/>
          <w:color w:val="0000FF"/>
        </w:rPr>
        <w:t>(in each</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case, subject to the availability thereof), as specified in the applicable</w:t>
      </w:r>
      <w:r>
        <w:rPr>
          <w:rFonts w:ascii="Arial" w:cs="Arial" w:eastAsia="Arial" w:hAnsi="Arial"/>
          <w:sz w:val="16"/>
          <w:szCs w:val="16"/>
          <w:b w:val="1"/>
          <w:bCs w:val="1"/>
          <w:color w:val="0000FF"/>
        </w:rPr>
        <w:t xml:space="preserve"> </w:t>
      </w:r>
      <w:r>
        <w:rPr>
          <w:rFonts w:ascii="Arial" w:cs="Arial" w:eastAsia="Arial" w:hAnsi="Arial"/>
          <w:sz w:val="16"/>
          <w:szCs w:val="16"/>
          <w:color w:val="000000"/>
        </w:rPr>
        <w:t>Borrowing Request</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rPr>
        <w:t>(</w:t>
      </w:r>
      <w:r>
        <w:rPr>
          <w:rFonts w:ascii="Arial" w:cs="Arial" w:eastAsia="Arial" w:hAnsi="Arial"/>
          <w:sz w:val="16"/>
          <w:szCs w:val="16"/>
          <w:color w:val="000000"/>
        </w:rPr>
        <w:t>or</w:t>
      </w:r>
      <w:r>
        <w:rPr>
          <w:rFonts w:ascii="Arial" w:cs="Arial" w:eastAsia="Arial" w:hAnsi="Arial"/>
          <w:sz w:val="16"/>
          <w:szCs w:val="16"/>
          <w:b w:val="1"/>
          <w:bCs w:val="1"/>
          <w:color w:val="FF0000"/>
          <w:strike w:val="1"/>
        </w:rPr>
        <w:t>, if available</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rPr>
        <w:t>to each Lender</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rPr>
        <w:t xml:space="preserve">participating therein, twelve months or any shorter period as the Borrower may </w:t>
      </w:r>
      <w:r>
        <w:rPr>
          <w:rFonts w:ascii="Arial" w:cs="Arial" w:eastAsia="Arial" w:hAnsi="Arial"/>
          <w:sz w:val="16"/>
          <w:szCs w:val="16"/>
          <w:b w:val="1"/>
          <w:bCs w:val="1"/>
          <w:color w:val="FF0000"/>
          <w:strike w:val="1"/>
        </w:rPr>
        <w:t>elect)</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Interest Election Request</w:t>
      </w:r>
      <w:r>
        <w:rPr>
          <w:rFonts w:ascii="Arial" w:cs="Arial" w:eastAsia="Arial" w:hAnsi="Arial"/>
          <w:sz w:val="16"/>
          <w:szCs w:val="16"/>
          <w:color w:val="000000"/>
        </w:rPr>
        <w:t>;</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provided</w:t>
      </w:r>
      <w:r>
        <w:rPr>
          <w:rFonts w:ascii="Arial" w:cs="Arial" w:eastAsia="Arial" w:hAnsi="Arial"/>
          <w:sz w:val="16"/>
          <w:szCs w:val="16"/>
          <w:b w:val="1"/>
          <w:bCs w:val="1"/>
          <w:color w:val="FF0000"/>
        </w:rPr>
        <w:t xml:space="preserve"> </w:t>
      </w:r>
      <w:r>
        <w:rPr>
          <w:rFonts w:ascii="Arial" w:cs="Arial" w:eastAsia="Arial" w:hAnsi="Arial"/>
          <w:sz w:val="16"/>
          <w:szCs w:val="16"/>
          <w:color w:val="000000"/>
        </w:rPr>
        <w:t>that (</w:t>
      </w:r>
      <w:r>
        <w:rPr>
          <w:rFonts w:ascii="Arial" w:cs="Arial" w:eastAsia="Arial" w:hAnsi="Arial"/>
          <w:sz w:val="16"/>
          <w:szCs w:val="16"/>
          <w:b w:val="1"/>
          <w:bCs w:val="1"/>
          <w:color w:val="FF0000"/>
          <w:strike w:val="1"/>
        </w:rPr>
        <w:t>a</w:t>
      </w:r>
      <w:r>
        <w:rPr>
          <w:rFonts w:ascii="Arial" w:cs="Arial" w:eastAsia="Arial" w:hAnsi="Arial"/>
          <w:sz w:val="16"/>
          <w:szCs w:val="16"/>
          <w:b w:val="1"/>
          <w:bCs w:val="1"/>
          <w:color w:val="0000FF"/>
        </w:rPr>
        <w:t>i</w:t>
      </w:r>
      <w:r>
        <w:rPr>
          <w:rFonts w:ascii="Arial" w:cs="Arial" w:eastAsia="Arial" w:hAnsi="Arial"/>
          <w:sz w:val="16"/>
          <w:szCs w:val="16"/>
          <w:color w:val="000000"/>
        </w:rPr>
        <w:t>)</w:t>
      </w:r>
      <w:r>
        <w:rPr>
          <w:rFonts w:ascii="Arial" w:cs="Arial" w:eastAsia="Arial" w:hAnsi="Arial"/>
          <w:sz w:val="16"/>
          <w:szCs w:val="16"/>
          <w:b w:val="1"/>
          <w:bCs w:val="1"/>
          <w:color w:val="FF0000"/>
        </w:rPr>
        <w:t xml:space="preserve"> </w:t>
      </w:r>
      <w:r>
        <w:rPr>
          <w:rFonts w:ascii="Arial" w:cs="Arial" w:eastAsia="Arial" w:hAnsi="Arial"/>
          <w:sz w:val="16"/>
          <w:szCs w:val="16"/>
          <w:color w:val="000000"/>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w:t>
      </w:r>
      <w:r>
        <w:rPr>
          <w:rFonts w:ascii="Arial" w:cs="Arial" w:eastAsia="Arial" w:hAnsi="Arial"/>
          <w:sz w:val="16"/>
          <w:szCs w:val="16"/>
          <w:b w:val="1"/>
          <w:bCs w:val="1"/>
          <w:color w:val="FF0000"/>
          <w:strike w:val="1"/>
        </w:rPr>
        <w:t>b</w:t>
      </w:r>
      <w:r>
        <w:rPr>
          <w:rFonts w:ascii="Arial" w:cs="Arial" w:eastAsia="Arial" w:hAnsi="Arial"/>
          <w:sz w:val="16"/>
          <w:szCs w:val="16"/>
          <w:b w:val="1"/>
          <w:bCs w:val="1"/>
          <w:u w:val="single" w:color="auto"/>
          <w:color w:val="0000FF"/>
        </w:rPr>
        <w:t>ii</w:t>
      </w:r>
      <w:r>
        <w:rPr>
          <w:rFonts w:ascii="Arial" w:cs="Arial" w:eastAsia="Arial" w:hAnsi="Arial"/>
          <w:sz w:val="16"/>
          <w:szCs w:val="16"/>
          <w:color w:val="000000"/>
        </w:rPr>
        <w:t xml:space="preserve">) any Interest Period that commences on the last Business Day of a calendar month (or on a day for which there is no numerically corresponding day in the last calendar month of such Interest Period) shall end on the last Business Day of the last calendar month </w:t>
      </w:r>
      <w:r>
        <w:rPr>
          <w:rFonts w:ascii="Arial" w:cs="Arial" w:eastAsia="Arial" w:hAnsi="Arial"/>
          <w:sz w:val="16"/>
          <w:szCs w:val="16"/>
          <w:b w:val="1"/>
          <w:bCs w:val="1"/>
          <w:color w:val="FF0000"/>
          <w:strike w:val="1"/>
        </w:rPr>
        <w:t>at the end</w:t>
      </w:r>
      <w:r>
        <w:rPr>
          <w:rFonts w:ascii="Arial" w:cs="Arial" w:eastAsia="Arial" w:hAnsi="Arial"/>
          <w:sz w:val="16"/>
          <w:szCs w:val="16"/>
          <w:color w:val="000000"/>
        </w:rPr>
        <w:t xml:space="preserve"> of such Interest Period </w:t>
      </w:r>
      <w:r>
        <w:rPr>
          <w:rFonts w:ascii="Arial" w:cs="Arial" w:eastAsia="Arial" w:hAnsi="Arial"/>
          <w:sz w:val="16"/>
          <w:szCs w:val="16"/>
          <w:b w:val="1"/>
          <w:bCs w:val="1"/>
          <w:color w:val="FF0000"/>
        </w:rPr>
        <w:t>and</w:t>
      </w:r>
      <w:r>
        <w:rPr>
          <w:rFonts w:ascii="Arial" w:cs="Arial" w:eastAsia="Arial" w:hAnsi="Arial"/>
          <w:sz w:val="16"/>
          <w:szCs w:val="16"/>
          <w:b w:val="1"/>
          <w:bCs w:val="1"/>
          <w:color w:val="0000FF"/>
        </w:rPr>
        <w:t>,</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c</w:t>
      </w:r>
      <w:r>
        <w:rPr>
          <w:rFonts w:ascii="Arial" w:cs="Arial" w:eastAsia="Arial" w:hAnsi="Arial"/>
          <w:sz w:val="16"/>
          <w:szCs w:val="16"/>
          <w:b w:val="1"/>
          <w:bCs w:val="1"/>
          <w:u w:val="single" w:color="auto"/>
          <w:color w:val="0000FF"/>
        </w:rPr>
        <w:t>iii</w:t>
      </w:r>
      <w:r>
        <w:rPr>
          <w:rFonts w:ascii="Arial" w:cs="Arial" w:eastAsia="Arial" w:hAnsi="Arial"/>
          <w:sz w:val="16"/>
          <w:szCs w:val="16"/>
          <w:color w:val="000000"/>
        </w:rPr>
        <w:t xml:space="preserve">) no Interest Period shall extend beyond </w:t>
      </w:r>
      <w:r>
        <w:rPr>
          <w:rFonts w:ascii="Arial" w:cs="Arial" w:eastAsia="Arial" w:hAnsi="Arial"/>
          <w:sz w:val="16"/>
          <w:szCs w:val="16"/>
          <w:b w:val="1"/>
          <w:bCs w:val="1"/>
          <w:color w:val="FF0000"/>
          <w:strike w:val="1"/>
        </w:rPr>
        <w:t>(i) in the case of</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Term Loans, the Term Maturity Date and (ii) in the case of Revolving Loans,</w:t>
      </w:r>
      <w:r>
        <w:rPr>
          <w:rFonts w:ascii="Arial" w:cs="Arial" w:eastAsia="Arial" w:hAnsi="Arial"/>
          <w:sz w:val="16"/>
          <w:szCs w:val="16"/>
          <w:b w:val="1"/>
          <w:bCs w:val="1"/>
          <w:color w:val="FF0000"/>
        </w:rPr>
        <w:t xml:space="preserve"> </w:t>
      </w:r>
      <w:r>
        <w:rPr>
          <w:rFonts w:ascii="Arial" w:cs="Arial" w:eastAsia="Arial" w:hAnsi="Arial"/>
          <w:sz w:val="16"/>
          <w:szCs w:val="16"/>
          <w:color w:val="000000"/>
        </w:rPr>
        <w:t>the Revolving Maturity Date</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0000FF"/>
        </w:rPr>
        <w:t>and the Term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-105410</wp:posOffset>
            </wp:positionV>
            <wp:extent cx="2419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35">
                      <a:extLst>
                        <a:ext uri="{28A0092B-C50C-407E-A947-70E740481C1C}"/>
                      </a:extLst>
                    </a:blip>
                    <a:srcRect/>
                    <a:stretch>
                      <a:fillRect/>
                    </a:stretch>
                  </pic:blipFill>
                  <pic:spPr bwMode="auto">
                    <a:xfrm>
                      <a:off x="0" y="0"/>
                      <a:ext cx="241935" cy="825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90805</wp:posOffset>
            </wp:positionV>
            <wp:extent cx="128841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36">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spacing w:after="0" w:line="162" w:lineRule="exact"/>
        <w:rPr>
          <w:sz w:val="20"/>
          <w:szCs w:val="20"/>
          <w:color w:val="auto"/>
        </w:rPr>
      </w:pPr>
    </w:p>
    <w:p>
      <w:pPr>
        <w:jc w:val="both"/>
        <w:spacing w:after="0"/>
        <w:rPr>
          <w:sz w:val="20"/>
          <w:szCs w:val="20"/>
          <w:color w:val="auto"/>
        </w:rPr>
      </w:pPr>
      <w:r>
        <w:rPr>
          <w:rFonts w:ascii="Arial" w:cs="Arial" w:eastAsia="Arial" w:hAnsi="Arial"/>
          <w:sz w:val="20"/>
          <w:szCs w:val="20"/>
          <w:b w:val="1"/>
          <w:bCs w:val="1"/>
          <w:u w:val="single" w:color="auto"/>
          <w:color w:val="0000FF"/>
        </w:rPr>
        <w:t>Date, as applicable and (iv) no tenor that has been removed</w:t>
      </w:r>
      <w:r>
        <w:rPr>
          <w:rFonts w:ascii="Arial" w:cs="Arial" w:eastAsia="Arial" w:hAnsi="Arial"/>
          <w:sz w:val="20"/>
          <w:szCs w:val="20"/>
          <w:b w:val="1"/>
          <w:bCs w:val="1"/>
          <w:color w:val="0000FF"/>
        </w:rPr>
        <w:t xml:space="preserve"> from this definition pursuant to Section 2.25(d) shall be available for specification in such </w:t>
      </w:r>
      <w:r>
        <w:rPr>
          <w:rFonts w:ascii="Arial" w:cs="Arial" w:eastAsia="Arial" w:hAnsi="Arial"/>
          <w:sz w:val="20"/>
          <w:szCs w:val="20"/>
          <w:b w:val="1"/>
          <w:bCs w:val="1"/>
          <w:u w:val="single" w:color="auto"/>
          <w:color w:val="0000FF"/>
        </w:rPr>
        <w:t>Borrowing Request or Interest Election Request</w:t>
      </w:r>
      <w:r>
        <w:rPr>
          <w:rFonts w:ascii="Arial" w:cs="Arial" w:eastAsia="Arial" w:hAnsi="Arial"/>
          <w:sz w:val="20"/>
          <w:szCs w:val="20"/>
          <w:color w:val="000000"/>
        </w:rPr>
        <w:t>. For purposes hereof, the date of a</w:t>
      </w:r>
      <w:r>
        <w:rPr>
          <w:rFonts w:ascii="Arial" w:cs="Arial" w:eastAsia="Arial" w:hAnsi="Arial"/>
          <w:sz w:val="20"/>
          <w:szCs w:val="20"/>
          <w:b w:val="1"/>
          <w:bCs w:val="1"/>
          <w:color w:val="0000FF"/>
        </w:rPr>
        <w:t xml:space="preserve"> </w:t>
      </w:r>
      <w:r>
        <w:rPr>
          <w:rFonts w:ascii="Arial" w:cs="Arial" w:eastAsia="Arial" w:hAnsi="Arial"/>
          <w:sz w:val="20"/>
          <w:szCs w:val="20"/>
          <w:b w:val="1"/>
          <w:bCs w:val="1"/>
          <w:u w:val="single" w:color="auto"/>
          <w:color w:val="0000FF"/>
        </w:rPr>
        <w:t>Loan or</w:t>
      </w:r>
      <w:r>
        <w:rPr>
          <w:rFonts w:ascii="Arial" w:cs="Arial" w:eastAsia="Arial" w:hAnsi="Arial"/>
          <w:sz w:val="20"/>
          <w:szCs w:val="20"/>
          <w:b w:val="1"/>
          <w:bCs w:val="1"/>
          <w:color w:val="0000FF"/>
        </w:rPr>
        <w:t xml:space="preserve"> </w:t>
      </w:r>
      <w:r>
        <w:rPr>
          <w:rFonts w:ascii="Arial" w:cs="Arial" w:eastAsia="Arial" w:hAnsi="Arial"/>
          <w:sz w:val="20"/>
          <w:szCs w:val="20"/>
          <w:color w:val="000000"/>
        </w:rPr>
        <w:t>Borrowing initially</w:t>
      </w:r>
      <w:r>
        <w:rPr>
          <w:rFonts w:ascii="Arial" w:cs="Arial" w:eastAsia="Arial" w:hAnsi="Arial"/>
          <w:sz w:val="20"/>
          <w:szCs w:val="20"/>
          <w:b w:val="1"/>
          <w:bCs w:val="1"/>
          <w:color w:val="0000FF"/>
        </w:rPr>
        <w:t xml:space="preserve"> </w:t>
      </w:r>
      <w:r>
        <w:rPr>
          <w:rFonts w:ascii="Arial" w:cs="Arial" w:eastAsia="Arial" w:hAnsi="Arial"/>
          <w:sz w:val="20"/>
          <w:szCs w:val="20"/>
          <w:color w:val="000000"/>
        </w:rPr>
        <w:t xml:space="preserve">shall be the date on which such </w:t>
      </w:r>
      <w:r>
        <w:rPr>
          <w:rFonts w:ascii="Arial" w:cs="Arial" w:eastAsia="Arial" w:hAnsi="Arial"/>
          <w:sz w:val="20"/>
          <w:szCs w:val="20"/>
          <w:b w:val="1"/>
          <w:bCs w:val="1"/>
          <w:u w:val="single" w:color="auto"/>
          <w:color w:val="0000FF"/>
        </w:rPr>
        <w:t>Loan or</w:t>
      </w:r>
      <w:r>
        <w:rPr>
          <w:rFonts w:ascii="Arial" w:cs="Arial" w:eastAsia="Arial" w:hAnsi="Arial"/>
          <w:sz w:val="20"/>
          <w:szCs w:val="20"/>
          <w:color w:val="000000"/>
        </w:rPr>
        <w:t xml:space="preserve"> Borrowing is made and thereafter shall be the effective date of the most recent conversion or continuation of such </w:t>
      </w:r>
      <w:r>
        <w:rPr>
          <w:rFonts w:ascii="Arial" w:cs="Arial" w:eastAsia="Arial" w:hAnsi="Arial"/>
          <w:sz w:val="20"/>
          <w:szCs w:val="20"/>
          <w:b w:val="1"/>
          <w:bCs w:val="1"/>
          <w:u w:val="single" w:color="auto"/>
          <w:color w:val="0000FF"/>
        </w:rPr>
        <w:t>Loan or</w:t>
      </w:r>
      <w:r>
        <w:rPr>
          <w:rFonts w:ascii="Arial" w:cs="Arial" w:eastAsia="Arial" w:hAnsi="Arial"/>
          <w:sz w:val="20"/>
          <w:szCs w:val="20"/>
          <w:color w:val="000000"/>
        </w:rPr>
        <w:t xml:space="preserve"> Borrowing.</w:t>
      </w:r>
    </w:p>
    <w:p>
      <w:pPr>
        <w:spacing w:after="0" w:line="218"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Interpolated Rate</w:t>
      </w:r>
      <w:r>
        <w:rPr>
          <w:rFonts w:ascii="Arial" w:cs="Arial" w:eastAsia="Arial" w:hAnsi="Arial"/>
          <w:sz w:val="20"/>
          <w:szCs w:val="20"/>
          <w:b w:val="1"/>
          <w:bCs w:val="1"/>
          <w:color w:val="FF0000"/>
          <w:strike w:val="1"/>
        </w:rPr>
        <w:t>” means in relation to the “LIBO Rate” for any Loan, the rate which results from interpolating on a linear basis between: (i) the rate displayed on pages LIBOR01 or LIBOR02 of the Thomson Reuters screen (or on any successor or substitute page of such service) for the longest period (for which that rate is available) which is less than the Interest Period and (ii) the rate displayed on pages LIBOR01 or LIBOR02 of the Thomson Reuters screen (or on any successor or substitute page of such service) for the shortest period (for which that rate is available) which exceeds the Interest Period, each as of approximately 11:00 A.M., London, England time, two (2) Business Days prior to the commencement of such Interest Period.</w:t>
      </w:r>
    </w:p>
    <w:p>
      <w:pPr>
        <w:spacing w:after="0" w:line="291" w:lineRule="exact"/>
        <w:rPr>
          <w:sz w:val="20"/>
          <w:szCs w:val="20"/>
          <w:color w:val="auto"/>
        </w:rPr>
      </w:pPr>
    </w:p>
    <w:p>
      <w:pPr>
        <w:jc w:val="both"/>
        <w:ind w:firstLine="149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Holdings and its Subsidiaries (i) intercompany advances arising from their cash management, tax, and accounting operations and (ii) intercompany loans, advances, or Indebtedness having a term not exceeding 364 days (inclusive of any roll-over or extensions of terms) and made in the ordinary course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96" w:name="page197"/>
    <w:bookmarkEnd w:id="196"/>
    <w:p>
      <w:pPr>
        <w:jc w:val="both"/>
        <w:ind w:left="7"/>
        <w:spacing w:after="0" w:line="303" w:lineRule="auto"/>
        <w:rPr>
          <w:sz w:val="20"/>
          <w:szCs w:val="20"/>
          <w:color w:val="auto"/>
        </w:rPr>
      </w:pPr>
      <w:r>
        <w:rPr>
          <w:rFonts w:ascii="Arial" w:cs="Arial" w:eastAsia="Arial" w:hAnsi="Arial"/>
          <w:sz w:val="16"/>
          <w:szCs w:val="16"/>
          <w:color w:val="auto"/>
        </w:rPr>
        <w:t xml:space="preserve">business) or (c) the purchase or other acquisition (in one transaction or a series of transactions) of all or substantially all of the property and assets or business of another Person or assets constituting a business unit, line of business or division of such Person; provided that, in the event that any Investment is made by Holdings or any Restricted Subsidiary in any Person through one or more other substantially concurrent interim transfers of any amount through any other Restricted Subsidiaries, then such other substantially concurrent interim transfers shall be disregarded for purposes of Section 6.04. The amount, as of any date of determination, of (a) any Investment in the form of a loan or an advance shall be the principal amount thereof outstanding on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(a),</w:t>
      </w:r>
    </w:p>
    <w:p>
      <w:pPr>
        <w:spacing w:after="0" w:line="200" w:lineRule="exact"/>
        <w:rPr>
          <w:sz w:val="20"/>
          <w:szCs w:val="20"/>
          <w:color w:val="auto"/>
        </w:rPr>
      </w:pPr>
    </w:p>
    <w:p>
      <w:pPr>
        <w:spacing w:after="0" w:line="223" w:lineRule="exact"/>
        <w:rPr>
          <w:sz w:val="20"/>
          <w:szCs w:val="20"/>
          <w:color w:val="auto"/>
        </w:rPr>
      </w:pPr>
    </w:p>
    <w:p>
      <w:pPr>
        <w:jc w:val="both"/>
        <w:ind w:left="7" w:hanging="7"/>
        <w:spacing w:after="0" w:line="268" w:lineRule="auto"/>
        <w:tabs>
          <w:tab w:leader="none" w:pos="30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 the cost of all additions thereto and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pending the final determination of the amounts to be so allocated in accordance with GAAP, such allocation shall be as reasonably determined by a Financial Officer.</w:t>
      </w:r>
    </w:p>
    <w:p>
      <w:pPr>
        <w:spacing w:after="0" w:line="287" w:lineRule="exact"/>
        <w:rPr>
          <w:sz w:val="20"/>
          <w:szCs w:val="20"/>
          <w:color w:val="auto"/>
        </w:rPr>
      </w:pPr>
    </w:p>
    <w:p>
      <w:pPr>
        <w:jc w:val="center"/>
        <w:ind w:right="9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Investor</w:t>
      </w:r>
      <w:r>
        <w:rPr>
          <w:rFonts w:ascii="Arial" w:cs="Arial" w:eastAsia="Arial" w:hAnsi="Arial"/>
          <w:sz w:val="20"/>
          <w:szCs w:val="20"/>
          <w:color w:val="auto"/>
        </w:rPr>
        <w:t>” means a holder of Equity Interests in Holdings (or any direct or indirect parent thereof).</w:t>
      </w:r>
    </w:p>
    <w:p>
      <w:pPr>
        <w:spacing w:after="0" w:line="309" w:lineRule="exact"/>
        <w:rPr>
          <w:sz w:val="20"/>
          <w:szCs w:val="20"/>
          <w:color w:val="auto"/>
        </w:rPr>
      </w:pPr>
    </w:p>
    <w:p>
      <w:pPr>
        <w:jc w:val="both"/>
        <w:ind w:left="7"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ISDA Definitions</w:t>
      </w:r>
      <w:r>
        <w:rPr>
          <w:rFonts w:ascii="Arial" w:cs="Arial" w:eastAsia="Arial" w:hAnsi="Arial"/>
          <w:sz w:val="20"/>
          <w:szCs w:val="20"/>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00" w:lineRule="exact"/>
        <w:rPr>
          <w:sz w:val="20"/>
          <w:szCs w:val="20"/>
          <w:color w:val="auto"/>
        </w:rPr>
      </w:pPr>
    </w:p>
    <w:p>
      <w:pPr>
        <w:spacing w:after="0" w:line="21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66040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7"/>
          </w:cols>
          <w:pgMar w:left="493" w:top="204" w:right="499" w:bottom="1440" w:gutter="0" w:footer="0" w:header="0"/>
        </w:sectPr>
      </w:pPr>
    </w:p>
    <w:bookmarkStart w:id="197" w:name="page198"/>
    <w:bookmarkEnd w:id="197"/>
    <w:p>
      <w:pPr>
        <w:jc w:val="both"/>
        <w:ind w:firstLine="149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spacing w:after="0" w:line="213" w:lineRule="exact"/>
        <w:rPr>
          <w:sz w:val="20"/>
          <w:szCs w:val="20"/>
          <w:color w:val="auto"/>
        </w:rPr>
      </w:pPr>
    </w:p>
    <w:p>
      <w:pPr>
        <w:jc w:val="both"/>
        <w:ind w:firstLine="149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each of (a) the Administrative Agent, (b) each other Revolving Lender as of the Effective Date and (c) each Revolving Lender that shall have become an Issuing Bank hereunder as provided in Section 2.05(k) (other than any Person that shall have ceased to be an Issuing Bank as provided in Section 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 Any Issuing Bank may cause Letters of Credit to be issued by unaffiliated financial institutions and such Letters of Credit shall be treated as issued by such Issuing Bank for all purposes under the Loan Documents.</w:t>
      </w:r>
    </w:p>
    <w:p>
      <w:pPr>
        <w:spacing w:after="0" w:line="180"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Lead Arranger</w:t>
      </w:r>
      <w:r>
        <w:rPr>
          <w:rFonts w:ascii="Arial" w:cs="Arial" w:eastAsia="Arial" w:hAnsi="Arial"/>
          <w:sz w:val="20"/>
          <w:szCs w:val="20"/>
          <w:color w:val="auto"/>
        </w:rPr>
        <w:t>” means each of Morgan Stanley Senior Funding, Inc., Credit Suisse Loan Funding LLC, Deutsche Bank Securities, Inc., Benefit Street Partners L.L.C. and CBAM Partners, LLC, each in their capacity as joint lead arranger and joint bookrunner, and any permitted successors and assigns of the foregoing.</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has the meaning assigned to such term in Section 9.17.</w:t>
      </w:r>
    </w:p>
    <w:p>
      <w:pPr>
        <w:spacing w:after="0" w:line="228"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Financing</w:t>
      </w:r>
      <w:r>
        <w:rPr>
          <w:rFonts w:ascii="Arial" w:cs="Arial" w:eastAsia="Arial" w:hAnsi="Arial"/>
          <w:sz w:val="20"/>
          <w:szCs w:val="20"/>
          <w:color w:val="auto"/>
        </w:rPr>
        <w:t>” means (a) any Indebtedness (other than (i) any permitted intercompany Indebtedness owing to Holdings, the Borrower or any Restricted Subsidiary or any Permitted Unsecured Refinancing Debt or (ii) any Indebtedness in an aggregate principal amount not exceeding $30,000,000) that is subordinated in right of payment to the Loan Document Obligations or that is secured by the Collateral on a junior lien basis relative to the liens granted pursuant to the Loan Documents securing the Secured Obligations and (b) any Permitted Refinancing in respect of the foregoing.</w:t>
      </w:r>
    </w:p>
    <w:p>
      <w:pPr>
        <w:spacing w:after="0" w:line="220"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Intercreditor Agreement</w:t>
      </w:r>
      <w:r>
        <w:rPr>
          <w:rFonts w:ascii="Arial" w:cs="Arial" w:eastAsia="Arial" w:hAnsi="Arial"/>
          <w:sz w:val="20"/>
          <w:szCs w:val="20"/>
          <w:color w:val="auto"/>
        </w:rPr>
        <w:t>” means the Junior Intercreditor Agreement substantially in the form of Exhibit E-3 among the Administrative Agent and one or more Senior Representatives for holders of Indebtedness permitted by this Agreement to be secured by the Collateral on a junior basis, with such modifications thereto as the Administrative Agent and the Borrower may reasonably agree.</w:t>
      </w:r>
    </w:p>
    <w:p>
      <w:pPr>
        <w:spacing w:after="0" w:line="203"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Latest Maturity Date</w:t>
      </w:r>
      <w:r>
        <w:rPr>
          <w:rFonts w:ascii="Arial" w:cs="Arial" w:eastAsia="Arial" w:hAnsi="Arial"/>
          <w:sz w:val="20"/>
          <w:szCs w:val="20"/>
          <w:color w:val="auto"/>
        </w:rPr>
        <w:t>”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w:t>
      </w:r>
    </w:p>
    <w:p>
      <w:pPr>
        <w:spacing w:after="0" w:line="217"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renewal or increase of the amount thereof.</w:t>
      </w:r>
    </w:p>
    <w:p>
      <w:pPr>
        <w:spacing w:after="0" w:line="27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an honoring of a drawing by an Issuing Bank pursuant to a Letter of Credit.</w:t>
      </w:r>
    </w:p>
    <w:p>
      <w:pPr>
        <w:spacing w:after="0" w:line="323"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Exposure</w:t>
      </w:r>
      <w:r>
        <w:rPr>
          <w:rFonts w:ascii="Arial" w:cs="Arial" w:eastAsia="Arial" w:hAnsi="Arial"/>
          <w:sz w:val="20"/>
          <w:szCs w:val="20"/>
          <w:color w:val="auto"/>
        </w:rPr>
        <w:t>” means, at any time, the sum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 For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198" w:name="page199"/>
    <w:bookmarkEnd w:id="198"/>
    <w:p>
      <w:pPr>
        <w:jc w:val="both"/>
        <w:spacing w:after="0" w:line="256" w:lineRule="auto"/>
        <w:rPr>
          <w:sz w:val="20"/>
          <w:szCs w:val="20"/>
          <w:color w:val="auto"/>
        </w:rPr>
      </w:pPr>
      <w:r>
        <w:rPr>
          <w:rFonts w:ascii="Arial" w:cs="Arial" w:eastAsia="Arial" w:hAnsi="Arial"/>
          <w:sz w:val="19"/>
          <w:szCs w:val="19"/>
          <w:color w:val="auto"/>
        </w:rPr>
        <w:t xml:space="preserve">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Election</w:t>
      </w:r>
      <w:r>
        <w:rPr>
          <w:rFonts w:ascii="Arial" w:cs="Arial" w:eastAsia="Arial" w:hAnsi="Arial"/>
          <w:sz w:val="20"/>
          <w:szCs w:val="20"/>
          <w:color w:val="auto"/>
        </w:rPr>
        <w:t>” has the meaning assigned to such term in Section 1.06.</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Test Date</w:t>
      </w:r>
      <w:r>
        <w:rPr>
          <w:rFonts w:ascii="Arial" w:cs="Arial" w:eastAsia="Arial" w:hAnsi="Arial"/>
          <w:sz w:val="20"/>
          <w:szCs w:val="20"/>
          <w:color w:val="auto"/>
        </w:rPr>
        <w:t>” has the meaning assigned to such term in Section 1.06.</w:t>
      </w:r>
    </w:p>
    <w:p>
      <w:pPr>
        <w:spacing w:after="0" w:line="228"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 means the Persons listed on Schedule 2.01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and, as the context requires, includes an Issuing Bank, and their respective successors and assigns as permitted hereunder, each of which is referred to herein as a “Lender”.</w:t>
      </w:r>
    </w:p>
    <w:p>
      <w:pPr>
        <w:spacing w:after="0" w:line="206"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letter of credit issued pursuant to this Agreement other than any such letter of credit that shall have ceased to be a “Letter of Credit” outstanding hereunder pursuant to Section 9.05.</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Request</w:t>
      </w:r>
      <w:r>
        <w:rPr>
          <w:rFonts w:ascii="Arial" w:cs="Arial" w:eastAsia="Arial" w:hAnsi="Arial"/>
          <w:sz w:val="20"/>
          <w:szCs w:val="20"/>
          <w:color w:val="auto"/>
        </w:rPr>
        <w:t>” has the meaning assigned to such term in Section 2.05(b).</w:t>
      </w:r>
    </w:p>
    <w:p>
      <w:pPr>
        <w:spacing w:after="0" w:line="20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means $30,000,000.</w:t>
      </w:r>
    </w:p>
    <w:p>
      <w:pPr>
        <w:spacing w:after="0" w:line="182" w:lineRule="exact"/>
        <w:rPr>
          <w:sz w:val="20"/>
          <w:szCs w:val="20"/>
          <w:color w:val="auto"/>
        </w:rPr>
      </w:pPr>
    </w:p>
    <w:p>
      <w:pPr>
        <w:jc w:val="both"/>
        <w:ind w:firstLine="1498"/>
        <w:spacing w:after="0" w:line="27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LIBO Rate</w:t>
      </w:r>
      <w:r>
        <w:rPr>
          <w:rFonts w:ascii="Arial" w:cs="Arial" w:eastAsia="Arial" w:hAnsi="Arial"/>
          <w:sz w:val="18"/>
          <w:szCs w:val="18"/>
          <w:b w:val="1"/>
          <w:bCs w:val="1"/>
          <w:color w:val="FF0000"/>
          <w:strike w:val="1"/>
        </w:rPr>
        <w:t>” means, for any Interest Period with respect to a Eurodollar Borrowing denominated in Dollars or any Alternative Currency, the rate per annum equal to (i) the London interbank offered rate administered by ICE Benchmark Administration Limited (or such other commercially available source providing quotations of that rate as may be designated by the Administrative Agent from time to time, including any Person that takes over administration of the rate) displayed on the pages LIBOR01 or LIBOR02 of the Thomson Reuters screen (or on the appropriate page of such other information service which publishes that rate from time to time in place of Thomson Reuters) at approximately 11:00 a.m., London, England time, two (2) London Banking Days prior to the commencement of such Interest Period, for deposits in the relevant currency (for delivery on the first day of such Interest Period) with a term equivalent to such Interest Period or (ii) if such published rate is not available at such time for any reason, then the “LIBO Rate” for such Interest Period shall be the Interpolated Rate.</w:t>
      </w:r>
    </w:p>
    <w:p>
      <w:pPr>
        <w:spacing w:after="0" w:line="187"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with respect to any asset, (a) any mortgage, deed of trust, lien, pledge, hypothecation, assignment by way of security,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204" w:right="499" w:bottom="1440" w:gutter="0" w:footer="0" w:header="0"/>
        </w:sectPr>
      </w:pPr>
    </w:p>
    <w:bookmarkStart w:id="199" w:name="page200"/>
    <w:bookmarkEnd w:id="199"/>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Transaction</w:t>
      </w:r>
      <w:r>
        <w:rPr>
          <w:rFonts w:ascii="Arial" w:cs="Arial" w:eastAsia="Arial" w:hAnsi="Arial"/>
          <w:sz w:val="20"/>
          <w:szCs w:val="20"/>
          <w:color w:val="auto"/>
        </w:rPr>
        <w:t>” means (i) any acquisition or Investment or Restricted Payment and (ii) any redemption, repurchase, defeasance, satisfaction and discharge, conversion or repayment of Indebtedness (including the Existing Convertible Notes) requiring notice in advance of such redemption, repurchase, defeasance, satisfaction and discharge, conversion or repayment.</w:t>
      </w:r>
    </w:p>
    <w:p>
      <w:pPr>
        <w:spacing w:after="0" w:line="218" w:lineRule="exact"/>
        <w:rPr>
          <w:sz w:val="20"/>
          <w:szCs w:val="20"/>
          <w:color w:val="auto"/>
        </w:rPr>
      </w:pPr>
    </w:p>
    <w:p>
      <w:pPr>
        <w:jc w:val="both"/>
        <w:ind w:firstLine="149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 Obligations</w:t>
      </w:r>
      <w:r>
        <w:rPr>
          <w:rFonts w:ascii="Arial" w:cs="Arial" w:eastAsia="Arial" w:hAnsi="Arial"/>
          <w:sz w:val="18"/>
          <w:szCs w:val="18"/>
          <w:color w:val="auto"/>
        </w:rPr>
        <w:t xml:space="preserve">” means the due and punctual payment by the Borrower of (i) the principal of the Loans and LC Disbursements, and all accrued and unpaid interest thereon at the applicable rate or rates provided in this Agreement (including interest accruing during the pendency of any bankruptcy, insolvency, examinership, receivership or other similar proceeding, regardless of whether allowed or allowable in such proceeding), when and as due, whether at maturity, by acceleration, upon one or more dates set for prepayment or otherwise and (ii) all other monetary obligations of the Borrower under or pursuant to this Agreement and each of the other Loan Documents, including obligations to pay fees, expenses, reimbursement obligations and indemnification obligations and obligations to provide cash collateral, whether primary, secondary, direct, contingent, fixed or otherwise (including monetary obligations incurred during the pendency of any bankruptcy, insolvency, examinership, receivership or other similar proceeding, regardless of whether allowed or allowable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“Loan Document Obligations” of any Loan Party shall not include any Excluded Swap Obligation of such Loan Party.</w:t>
      </w:r>
    </w:p>
    <w:p>
      <w:pPr>
        <w:spacing w:after="0" w:line="184"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any Refinancing Amendment, any Loan Modification Agreement, any Incremental Facility Amendment, the Guarantee Agreement, the Collateral Agreement, the other Security Documents and any other Intercreditor Agreement (if applicable), except for purposes of Section 9.02, any Note delivered pursuant to Section 2.09(f), and any other document entered into or delivered by a Loan Party in connection with the foregoing and designated by the Borrower as a Loan Document therein for purposes of this Agreement.</w:t>
      </w:r>
    </w:p>
    <w:p>
      <w:pPr>
        <w:spacing w:after="0" w:line="30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Equivalent</w:t>
      </w:r>
      <w:r>
        <w:rPr>
          <w:rFonts w:ascii="Arial" w:cs="Arial" w:eastAsia="Arial" w:hAnsi="Arial"/>
          <w:sz w:val="20"/>
          <w:szCs w:val="20"/>
          <w:color w:val="auto"/>
        </w:rPr>
        <w:t>” has the meaning specified in the definition of “Required Additional Debt Terms”.</w:t>
      </w:r>
    </w:p>
    <w:p>
      <w:pPr>
        <w:spacing w:after="0" w:line="228"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Guarantors</w:t>
      </w:r>
      <w:r>
        <w:rPr>
          <w:rFonts w:ascii="Arial" w:cs="Arial" w:eastAsia="Arial" w:hAnsi="Arial"/>
          <w:sz w:val="20"/>
          <w:szCs w:val="20"/>
          <w:color w:val="auto"/>
        </w:rPr>
        <w:t>” means Holdings and the Subsidiary Loan Parties, in each case to the extent such entity provides a guaranty of the Secured Obligations.</w:t>
      </w:r>
    </w:p>
    <w:p>
      <w:pPr>
        <w:spacing w:after="0" w:line="203" w:lineRule="exact"/>
        <w:rPr>
          <w:sz w:val="20"/>
          <w:szCs w:val="20"/>
          <w:color w:val="auto"/>
        </w:rPr>
      </w:pPr>
    </w:p>
    <w:p>
      <w:pPr>
        <w:jc w:val="both"/>
        <w:ind w:right="20"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Modification Agreement</w:t>
      </w:r>
      <w:r>
        <w:rPr>
          <w:rFonts w:ascii="Arial" w:cs="Arial" w:eastAsia="Arial" w:hAnsi="Arial"/>
          <w:sz w:val="20"/>
          <w:szCs w:val="20"/>
          <w:color w:val="auto"/>
        </w:rPr>
        <w:t>” means a Loan Modification Agreement, among the Borrower, and one or more Accepting Lenders, and acknowledged by the Administrative Agent, effecting one or more Permitted Amendments and such other amendments hereto and to the other Loan Documents as are contemplated by Section 2.24.</w:t>
      </w:r>
    </w:p>
    <w:p>
      <w:pPr>
        <w:spacing w:after="0" w:line="20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Modification Offer</w:t>
      </w:r>
      <w:r>
        <w:rPr>
          <w:rFonts w:ascii="Arial" w:cs="Arial" w:eastAsia="Arial" w:hAnsi="Arial"/>
          <w:sz w:val="20"/>
          <w:szCs w:val="20"/>
          <w:color w:val="auto"/>
        </w:rPr>
        <w:t>” has the meaning specified in Section 2.24(a).</w:t>
      </w:r>
    </w:p>
    <w:p>
      <w:pPr>
        <w:spacing w:after="0" w:line="24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the Loan Guarantors and the Borrower.</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loans made by the Lenders to the Borrower pursuant to this Agreement.</w:t>
      </w:r>
    </w:p>
    <w:p>
      <w:pPr>
        <w:spacing w:after="0" w:line="222"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London Banking Day</w:t>
      </w:r>
      <w:r>
        <w:rPr>
          <w:rFonts w:ascii="Arial" w:cs="Arial" w:eastAsia="Arial" w:hAnsi="Arial"/>
          <w:sz w:val="20"/>
          <w:szCs w:val="20"/>
          <w:b w:val="1"/>
          <w:bCs w:val="1"/>
          <w:color w:val="FF0000"/>
          <w:strike w:val="1"/>
        </w:rPr>
        <w:t>” means any day on which dealings in Dollar deposits are conducted by and between banks in the London interbank eurodollar market.</w:t>
      </w:r>
    </w:p>
    <w:p>
      <w:pPr>
        <w:spacing w:after="0" w:line="184" w:lineRule="exact"/>
        <w:rPr>
          <w:sz w:val="20"/>
          <w:szCs w:val="20"/>
          <w:color w:val="auto"/>
        </w:rPr>
      </w:pPr>
    </w:p>
    <w:p>
      <w:pPr>
        <w:jc w:val="both"/>
        <w:ind w:right="20"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in Interest</w:t>
      </w:r>
      <w:r>
        <w:rPr>
          <w:rFonts w:ascii="Arial" w:cs="Arial" w:eastAsia="Arial" w:hAnsi="Arial"/>
          <w:sz w:val="18"/>
          <w:szCs w:val="18"/>
          <w:color w:val="auto"/>
        </w:rPr>
        <w:t>”,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of such Class representing more than 50% of all Term Loans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00" w:name="page201"/>
    <w:bookmarkEnd w:id="200"/>
    <w:p>
      <w:pPr>
        <w:jc w:val="both"/>
        <w:spacing w:after="0" w:line="250" w:lineRule="auto"/>
        <w:rPr>
          <w:sz w:val="20"/>
          <w:szCs w:val="20"/>
          <w:color w:val="auto"/>
        </w:rPr>
      </w:pPr>
      <w:r>
        <w:rPr>
          <w:rFonts w:ascii="Arial" w:cs="Arial" w:eastAsia="Arial" w:hAnsi="Arial"/>
          <w:sz w:val="20"/>
          <w:szCs w:val="20"/>
          <w:color w:val="auto"/>
        </w:rPr>
        <w:t xml:space="preserve">such Class outstanding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whenever there are one or more Defaulting Lenders, the total outstanding Term Loans and Revolving Exposures of, and the unused Revolving Commitments of, each Defaulting Lender shall be excluded for purposes of making a determination of the Majority in Interest.</w:t>
      </w:r>
    </w:p>
    <w:p>
      <w:pPr>
        <w:spacing w:after="0" w:line="200"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 Capitalization</w:t>
      </w:r>
      <w:r>
        <w:rPr>
          <w:rFonts w:ascii="Arial" w:cs="Arial" w:eastAsia="Arial" w:hAnsi="Arial"/>
          <w:sz w:val="20"/>
          <w:szCs w:val="20"/>
          <w:color w:val="auto"/>
        </w:rPr>
        <w:t>” means an amount equal to (i) the total number of issued and outstanding shares of common stock or common equity interests of Holdings on the date of the declaration of a Restricted Payment multiplied by (ii) the arithmetic mean of the closing prices per share of such common stock or common equity interests on the principal securities exchange on which such common stock or common equity interests are traded for the thirty (30) consecutive trading days immediately preceding the date of declaration of such Restricted Payment.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assigned to such term in the definition of “Swap Agreement.”</w:t>
      </w:r>
    </w:p>
    <w:p>
      <w:pPr>
        <w:spacing w:after="0" w:line="228"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effect on the business, financial condition or results of operations of the Loan Parties and their Subsidiaries, taken as a whole and (b) a material adverse effect on the material rights and remedies of the Administrative Agent, the Collateral Agent, the Issuing Banks and the Lenders under the Loan Documents, taken as a whole.</w:t>
      </w:r>
    </w:p>
    <w:p>
      <w:pPr>
        <w:spacing w:after="0" w:line="203" w:lineRule="exact"/>
        <w:rPr>
          <w:sz w:val="20"/>
          <w:szCs w:val="20"/>
          <w:color w:val="auto"/>
        </w:rPr>
      </w:pPr>
    </w:p>
    <w:p>
      <w:pPr>
        <w:ind w:firstLine="149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Indebtedness for borrowed money (other than the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its Restricted Subsidiaries in an aggregate principal amount exceeding $35,000,000.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96" w:lineRule="exact"/>
        <w:rPr>
          <w:sz w:val="20"/>
          <w:szCs w:val="20"/>
          <w:color w:val="auto"/>
        </w:rPr>
      </w:pPr>
    </w:p>
    <w:p>
      <w:pPr>
        <w:ind w:right="36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IP</w:t>
      </w:r>
      <w:r>
        <w:rPr>
          <w:rFonts w:ascii="Arial" w:cs="Arial" w:eastAsia="Arial" w:hAnsi="Arial"/>
          <w:sz w:val="20"/>
          <w:szCs w:val="20"/>
          <w:color w:val="auto"/>
        </w:rPr>
        <w:t>” means Intellectual Property owned by any Loan Party or Restricted Subsidiary that is material to the business or operations of the Borrower or its Restricted Subsidiaries.</w:t>
      </w:r>
    </w:p>
    <w:p>
      <w:pPr>
        <w:spacing w:after="0" w:line="189"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Non-Public Information</w:t>
      </w:r>
      <w:r>
        <w:rPr>
          <w:rFonts w:ascii="Arial" w:cs="Arial" w:eastAsia="Arial" w:hAnsi="Arial"/>
          <w:sz w:val="20"/>
          <w:szCs w:val="20"/>
          <w:color w:val="auto"/>
        </w:rPr>
        <w:t>” means (a) if Holdings is a public reporting company, material non-public information with respect to Holdings or its Subsidiaries, or the respective securities of any of the foregoing, and (b) if Holdings is not a public reporting company, information that is (i) of a type that would not be publicly available if Holdings were a public reporting company and (ii) material with respect to Holdings or its Subsidiaries or any of their respective securities for purposes of United States Federal and state and applicable foreign securities laws.</w:t>
      </w:r>
    </w:p>
    <w:p>
      <w:pPr>
        <w:spacing w:after="0" w:line="206" w:lineRule="exact"/>
        <w:rPr>
          <w:sz w:val="20"/>
          <w:szCs w:val="20"/>
          <w:color w:val="auto"/>
        </w:rPr>
      </w:pPr>
    </w:p>
    <w:p>
      <w:pPr>
        <w:jc w:val="both"/>
        <w:ind w:right="20"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Real Property</w:t>
      </w:r>
      <w:r>
        <w:rPr>
          <w:rFonts w:ascii="Arial" w:cs="Arial" w:eastAsia="Arial" w:hAnsi="Arial"/>
          <w:sz w:val="20"/>
          <w:szCs w:val="20"/>
          <w:color w:val="auto"/>
        </w:rPr>
        <w:t>” means any real property (including fixtures) located in the United States of America and owned in fee by any Loan Party with a fair market value, as reasonably determined by the Borrower in good faith at the time of acquisition, greater than or equal to $25,000,000.</w:t>
      </w:r>
    </w:p>
    <w:p>
      <w:pPr>
        <w:spacing w:after="0" w:line="20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means any Subsidiary other than an Immaterial Subsidiary.</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has the meaning assigned to such term in Section 9.16.</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w:t>
      </w:r>
      <w:r>
        <w:rPr>
          <w:rFonts w:ascii="Arial" w:cs="Arial" w:eastAsia="Arial" w:hAnsi="Arial"/>
          <w:sz w:val="20"/>
          <w:szCs w:val="20"/>
          <w:color w:val="auto"/>
        </w:rPr>
        <w:t>” has the meaning given to such term in the preliminary statements hereto.</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Model</w:t>
      </w:r>
      <w:r>
        <w:rPr>
          <w:rFonts w:ascii="Arial" w:cs="Arial" w:eastAsia="Arial" w:hAnsi="Arial"/>
          <w:sz w:val="20"/>
          <w:szCs w:val="20"/>
          <w:color w:val="auto"/>
        </w:rPr>
        <w:t>” means the model delivered to the Joint Lead Arrangers on or about March 25, 2021.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01" w:name="page202"/>
    <w:bookmarkEnd w:id="201"/>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to its rating agency business.</w:t>
      </w:r>
    </w:p>
    <w:p>
      <w:pPr>
        <w:spacing w:after="0" w:line="228"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 mortgage, charge, deed of trust, assignment of leases and rents or other security document granting a Lien on any Mortgaged Property in favor of the Collateral Agent for the benefit of the Secured Parties to secure the Secured Obligations, as the same may be amended, amended and restated, supplemented and otherwise modified from time to time. Each Mortgage shall be in form and substance reasonably satisfactory to the Administrative Agent and the Borrower.</w:t>
      </w:r>
    </w:p>
    <w:p>
      <w:pPr>
        <w:spacing w:after="0" w:line="173" w:lineRule="exact"/>
        <w:rPr>
          <w:sz w:val="20"/>
          <w:szCs w:val="20"/>
          <w:color w:val="auto"/>
        </w:rPr>
      </w:pPr>
    </w:p>
    <w:p>
      <w:pPr>
        <w:jc w:val="both"/>
        <w:ind w:firstLine="1498"/>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each parcel of Material Real Property with respect to which a Mortgage will (or is required to be) be granted pursuant to the Collateral and Guarantee Requirement, Section 5.11, Section 5.12 or Section 5.14 (if any).</w:t>
      </w:r>
    </w:p>
    <w:p>
      <w:pPr>
        <w:spacing w:after="0" w:line="14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228" w:lineRule="exact"/>
        <w:rPr>
          <w:sz w:val="20"/>
          <w:szCs w:val="20"/>
          <w:color w:val="auto"/>
        </w:rPr>
      </w:pPr>
    </w:p>
    <w:p>
      <w:pPr>
        <w:jc w:val="both"/>
        <w:ind w:firstLine="14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(i) all fees and out-of-pocket expenses paid by Holdings,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the Borrower and the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the Borrower or the Restricted Subsidiaries as a result thereof and (z) the amount of any liabilities directly associated with such asset and retained by the Borrower or any Restricted Subsidiary and (iii) the amount of all taxes paid (or reasonably estimated to be payable), the amount of dividends and other restricted payments that Holdings, the Borrower and/or its Restricted Subsidiaries may make pursuant to Section 6.07(a)(vii)(A) or (B) as a result of such event, and the amount of any reserves established by Holdings, the Borrower and the Restricted Subsidiaries to fund contingent liabilities reasonably estimated to be payable, that are directly attributable to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89"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Short Lender</w:t>
      </w:r>
      <w:r>
        <w:rPr>
          <w:rFonts w:ascii="Arial" w:cs="Arial" w:eastAsia="Arial" w:hAnsi="Arial"/>
          <w:sz w:val="20"/>
          <w:szCs w:val="20"/>
          <w:color w:val="auto"/>
        </w:rPr>
        <w:t>” means at any date of determination, each Lender that has a Net Short Position as of such date; provided that Unrestricted Lenders shall not be Net Short Lenders.</w:t>
      </w:r>
    </w:p>
    <w:p>
      <w:pPr>
        <w:spacing w:after="0" w:line="189" w:lineRule="exact"/>
        <w:rPr>
          <w:sz w:val="20"/>
          <w:szCs w:val="20"/>
          <w:color w:val="auto"/>
        </w:rPr>
      </w:pPr>
    </w:p>
    <w:p>
      <w:pPr>
        <w:jc w:val="both"/>
        <w:ind w:right="20"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Short Position</w:t>
      </w:r>
      <w:r>
        <w:rPr>
          <w:rFonts w:ascii="Arial" w:cs="Arial" w:eastAsia="Arial" w:hAnsi="Arial"/>
          <w:sz w:val="20"/>
          <w:szCs w:val="20"/>
          <w:color w:val="auto"/>
        </w:rPr>
        <w:t>” means, with respect to a Lender (other than an Unrestricted Lender), as of a date of determination, the net positive position, if any, held by such Lender that is remaining after deducting any long position that the Lender holds (i.e., a position (whether as an investor, lender or holder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52" w:right="499" w:bottom="1440" w:gutter="0" w:footer="0" w:header="0"/>
        </w:sectPr>
      </w:pPr>
    </w:p>
    <w:bookmarkStart w:id="202" w:name="page203"/>
    <w:bookmarkEnd w:id="202"/>
    <w:p>
      <w:pPr>
        <w:jc w:val="both"/>
        <w:spacing w:after="0" w:line="250" w:lineRule="auto"/>
        <w:rPr>
          <w:sz w:val="20"/>
          <w:szCs w:val="20"/>
          <w:color w:val="auto"/>
        </w:rPr>
      </w:pPr>
      <w:r>
        <w:rPr>
          <w:rFonts w:ascii="Arial" w:cs="Arial" w:eastAsia="Arial" w:hAnsi="Arial"/>
          <w:sz w:val="20"/>
          <w:szCs w:val="20"/>
          <w:color w:val="auto"/>
        </w:rPr>
        <w:t>of Loans, debt obligations and/or Derivative Instruments) where the Lender is exposed to the credit risk of Deliverable Obligations of the Loan Parties) from any short positions (i.e., a position as described above, but where the Lender is instead protected from the credit risk described above).</w:t>
      </w:r>
    </w:p>
    <w:p>
      <w:pPr>
        <w:spacing w:after="0" w:line="199"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For purposes of determining whether a Lender (other than an Unrestricted Lender) has a Net Short Position on any date of determination:</w:t>
      </w:r>
    </w:p>
    <w:p>
      <w:pPr>
        <w:spacing w:after="0" w:line="189" w:lineRule="exact"/>
        <w:rPr>
          <w:sz w:val="20"/>
          <w:szCs w:val="20"/>
          <w:color w:val="auto"/>
        </w:rPr>
      </w:pPr>
    </w:p>
    <w:p>
      <w:pPr>
        <w:jc w:val="both"/>
        <w:ind w:left="900" w:firstLine="739"/>
        <w:spacing w:after="0" w:line="258" w:lineRule="auto"/>
        <w:tabs>
          <w:tab w:leader="none" w:pos="237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Derivative Instruments shall be counted at the notional amount (in Dollars) of such Derivative Instrument; provided that, subject to clause (e) below, the notional amount of Derivative Instruments referencing an index that includes any of the Loan Parties or any bond or loan obligation issued or guaranteed by any Loan Party shall be determined in proportionate amount and by reference to the percentage weighting of the component which references any Loan Party or any bond or loan obligation issued or guaranteed by any Loan Party that would be a “Deliverable Obligation” or an “Obligation” (as defined in the ISDA CDS Definitions) of the Loan Parties;</w:t>
      </w:r>
    </w:p>
    <w:p>
      <w:pPr>
        <w:spacing w:after="0" w:line="195" w:lineRule="exact"/>
        <w:rPr>
          <w:rFonts w:ascii="Arial" w:cs="Arial" w:eastAsia="Arial" w:hAnsi="Arial"/>
          <w:sz w:val="19"/>
          <w:szCs w:val="19"/>
          <w:color w:val="auto"/>
        </w:rPr>
      </w:pPr>
    </w:p>
    <w:p>
      <w:pPr>
        <w:jc w:val="both"/>
        <w:ind w:left="900" w:firstLine="739"/>
        <w:spacing w:after="0" w:line="278" w:lineRule="auto"/>
        <w:tabs>
          <w:tab w:leader="none" w:pos="23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notional amounts of Derivative Instruments in other currencies shall be converted to the Dollar equivalent thereof by such Lender in accordance with the terms of such Derivative Instruments, as applicable; provided that if not otherwise provided in such Derivative Instrument, such conversion shall be made in a commercially reasonable manner consistent with generally accepted financial practices and based on the prevailing conversion rate determined (on a midmarket basis) by such Lender, acting in a commercially reasonable manner, on the date of determination;</w:t>
      </w:r>
    </w:p>
    <w:p>
      <w:pPr>
        <w:spacing w:after="0" w:line="176" w:lineRule="exact"/>
        <w:rPr>
          <w:rFonts w:ascii="Arial" w:cs="Arial" w:eastAsia="Arial" w:hAnsi="Arial"/>
          <w:sz w:val="18"/>
          <w:szCs w:val="18"/>
          <w:color w:val="auto"/>
        </w:rPr>
      </w:pPr>
    </w:p>
    <w:p>
      <w:pPr>
        <w:jc w:val="both"/>
        <w:ind w:left="900" w:firstLine="739"/>
        <w:spacing w:after="0" w:line="272" w:lineRule="auto"/>
        <w:tabs>
          <w:tab w:leader="none" w:pos="23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Derivative Instruments that are documented using either the 2014 ISDA Credit Derivatives Definitions or the 2003 ISDA Credit Derivatives Definitions (or any successor definitions thereof, collectively, the “ISDA CDS Definitions”) shall be deemed to create a short position with respect to the Loans if such Lender is a protection buyer or the equivalent thereof for such Derivative Instrument and (i) the Loans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or (ii) the Loans would be a “Deliverable Obligation” or an “Obligation” (as defined in the ISDA CDS Definitions) of the Loan Parties under the terms of such derivative transaction;</w:t>
      </w:r>
    </w:p>
    <w:p>
      <w:pPr>
        <w:spacing w:after="0" w:line="186" w:lineRule="exact"/>
        <w:rPr>
          <w:rFonts w:ascii="Arial" w:cs="Arial" w:eastAsia="Arial" w:hAnsi="Arial"/>
          <w:sz w:val="18"/>
          <w:szCs w:val="18"/>
          <w:color w:val="auto"/>
        </w:rPr>
      </w:pPr>
    </w:p>
    <w:p>
      <w:pPr>
        <w:jc w:val="both"/>
        <w:ind w:left="900" w:right="20" w:firstLine="739"/>
        <w:spacing w:after="0" w:line="269" w:lineRule="auto"/>
        <w:tabs>
          <w:tab w:leader="none" w:pos="237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credit derivative transactions or other Derivative Instruments not documented using the ISDA CDS Definitions shall be counted for purposes of the Net Short Position determination if, with respect to the Loans, such transactions are functionally equivalent to a transaction that offers such Lender protection in respect of the Loans; and</w:t>
      </w:r>
    </w:p>
    <w:p>
      <w:pPr>
        <w:spacing w:after="0" w:line="182" w:lineRule="exact"/>
        <w:rPr>
          <w:rFonts w:ascii="Arial" w:cs="Arial" w:eastAsia="Arial" w:hAnsi="Arial"/>
          <w:sz w:val="19"/>
          <w:szCs w:val="19"/>
          <w:color w:val="auto"/>
        </w:rPr>
      </w:pPr>
    </w:p>
    <w:p>
      <w:pPr>
        <w:jc w:val="both"/>
        <w:ind w:left="900" w:firstLine="739"/>
        <w:spacing w:after="0" w:line="282" w:lineRule="auto"/>
        <w:tabs>
          <w:tab w:leader="none" w:pos="23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Derivative Instruments in respect of an index that includes any of the Loan Parties or any instrument issued or guaranteed by any of the Loan Parties shall not be deemed to create a short position, so long as (A) such index is not created, designed, administered or requested by such Lender and (B) the Loan Parties, and any Deliverable Obligation of the Loan Parties, collectively, shall represent less than 5.0% of the components of such index.</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03" w:name="page204"/>
    <w:bookmarkEnd w:id="203"/>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Short Representation</w:t>
      </w:r>
      <w:r>
        <w:rPr>
          <w:rFonts w:ascii="Arial" w:cs="Arial" w:eastAsia="Arial" w:hAnsi="Arial"/>
          <w:sz w:val="20"/>
          <w:szCs w:val="20"/>
          <w:color w:val="auto"/>
        </w:rPr>
        <w:t>” means, with respect to any Lender (other than an Unrestricted Lender) at any time, a representation and warranty (including any deemed representation and warranty, as the case may be) from such Lender to the Borrower that it is not (x) a Net Short Lender at such time or (y) knowingly and intentionally acting in concert with any of its Affiliates for the express purpose of creating (and in fact creating) the same economic effect with respect to the Loan Parties as though such Lender were a Net Short Lender at such time.</w:t>
      </w:r>
    </w:p>
    <w:p>
      <w:pPr>
        <w:spacing w:after="0" w:line="207"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Project</w:t>
      </w:r>
      <w:r>
        <w:rPr>
          <w:rFonts w:ascii="Arial" w:cs="Arial" w:eastAsia="Arial" w:hAnsi="Arial"/>
          <w:sz w:val="18"/>
          <w:szCs w:val="18"/>
          <w:color w:val="auto"/>
        </w:rPr>
        <w:t>” shall mean (a) each facility which is either a new facility, branch or office or an expansion, relocation, remodeling or substantial modernization of an existing facility, branch or office owned by Holdings or its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spacing w:after="0" w:line="14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Non-Accepting Lender</w:t>
      </w:r>
      <w:r>
        <w:rPr>
          <w:rFonts w:ascii="Arial" w:cs="Arial" w:eastAsia="Arial" w:hAnsi="Arial"/>
          <w:sz w:val="20"/>
          <w:szCs w:val="20"/>
          <w:color w:val="auto"/>
        </w:rPr>
        <w:t>” has the meaning assigned to such term in Section 2.24(c).</w:t>
      </w:r>
    </w:p>
    <w:p>
      <w:pPr>
        <w:spacing w:after="0" w:line="228"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Charges</w:t>
      </w:r>
      <w:r>
        <w:rPr>
          <w:rFonts w:ascii="Arial" w:cs="Arial" w:eastAsia="Arial" w:hAnsi="Arial"/>
          <w:sz w:val="18"/>
          <w:szCs w:val="18"/>
          <w:color w:val="auto"/>
        </w:rPr>
        <w:t xml:space="preserve">” means (a) any impairment charge or asset write-off or write-down related to intangible assets (including goodwill), long-lived assets, and Investments in debt and equity securities pursuant to GAAP, (b) all losses from Investments recorded using the equity method, (c) all Non-Cash Compensation Expenses, (d) depreciation and amortization including amortization or impairment of intangibles (including goodwill) (including, without limitation, as they relate to amortization of deferred financing fees or costs, Capitalized Software Expenditures and amortization of unrecognized prior service costs and actuarial gains and losses related to pension and other post-employment benefits) and (e) other non-cash charges, expenses and losses, including, without limitation, any non-cash translation loss and non-cash expense relating to the vesting of warrants, non-cash asset write-offs or write-downs, non-cash write offs of debt discounts and debt incurrences, non-cash costs and commissions, non-cash discounts and other non-cash fees and charges with respect to Indebtedness, interest rate protection and other hedging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if any non-cash charges added back pursuant to clause (iii) of the definition of Consolidated EBITDA represent an accrual or reserve for potential cash items in any future period to the extent the Borrower elects to include such non-cash charges, the cash payment in respect thereof in such future period shall be subtracted from Consolidated EBITDA to such extent.</w:t>
      </w:r>
    </w:p>
    <w:p>
      <w:pPr>
        <w:spacing w:after="0" w:line="186" w:lineRule="exact"/>
        <w:rPr>
          <w:sz w:val="20"/>
          <w:szCs w:val="20"/>
          <w:color w:val="auto"/>
        </w:rPr>
      </w:pPr>
    </w:p>
    <w:p>
      <w:pPr>
        <w:jc w:val="both"/>
        <w:ind w:firstLine="1498"/>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Non-Cash Compensation Expense</w:t>
      </w:r>
      <w:r>
        <w:rPr>
          <w:rFonts w:ascii="Arial" w:cs="Arial" w:eastAsia="Arial" w:hAnsi="Arial"/>
          <w:sz w:val="19"/>
          <w:szCs w:val="19"/>
          <w:color w:val="auto"/>
        </w:rPr>
        <w:t>” means any non-cash expenses and costs that result from the issuance of stock-based awards, partnership interest-based awards and similar incentive based compensation awards or arrangements.</w:t>
      </w:r>
    </w:p>
    <w:p>
      <w:pPr>
        <w:spacing w:after="0" w:line="1" w:lineRule="exact"/>
        <w:rPr>
          <w:sz w:val="20"/>
          <w:szCs w:val="20"/>
          <w:color w:val="auto"/>
        </w:rPr>
      </w:pPr>
    </w:p>
    <w:p>
      <w:pPr>
        <w:jc w:val="both"/>
        <w:ind w:right="20"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has the meaning assigned to such term in Section 9.02(c). “</w:t>
      </w:r>
      <w:r>
        <w:rPr>
          <w:rFonts w:ascii="Arial" w:cs="Arial" w:eastAsia="Arial" w:hAnsi="Arial"/>
          <w:sz w:val="20"/>
          <w:szCs w:val="20"/>
          <w:u w:val="single" w:color="auto"/>
          <w:color w:val="auto"/>
        </w:rPr>
        <w:t>Non-Refinancing Lender</w:t>
      </w:r>
      <w:r>
        <w:rPr>
          <w:rFonts w:ascii="Arial" w:cs="Arial" w:eastAsia="Arial" w:hAnsi="Arial"/>
          <w:sz w:val="20"/>
          <w:szCs w:val="20"/>
          <w:color w:val="auto"/>
        </w:rPr>
        <w:t>” has the meaning assigned to such term in Section 2.21(b). “</w:t>
      </w:r>
      <w:r>
        <w:rPr>
          <w:rFonts w:ascii="Arial" w:cs="Arial" w:eastAsia="Arial" w:hAnsi="Arial"/>
          <w:sz w:val="20"/>
          <w:szCs w:val="20"/>
          <w:u w:val="single" w:color="auto"/>
          <w:color w:val="auto"/>
        </w:rPr>
        <w:t>Non-Wholly Owned Subsidiary</w:t>
      </w:r>
      <w:r>
        <w:rPr>
          <w:rFonts w:ascii="Arial" w:cs="Arial" w:eastAsia="Arial" w:hAnsi="Arial"/>
          <w:sz w:val="20"/>
          <w:szCs w:val="20"/>
          <w:color w:val="auto"/>
        </w:rPr>
        <w:t>” of any Person means any subsidiary of such Person other than a Wholly Owned Subsidiary.</w:t>
      </w:r>
    </w:p>
    <w:p>
      <w:pPr>
        <w:spacing w:after="0" w:line="201"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 Otherwise Applied</w:t>
      </w:r>
      <w:r>
        <w:rPr>
          <w:rFonts w:ascii="Arial" w:cs="Arial" w:eastAsia="Arial" w:hAnsi="Arial"/>
          <w:sz w:val="20"/>
          <w:szCs w:val="20"/>
          <w:color w:val="auto"/>
        </w:rPr>
        <w:t>” means, with reference to the Available Amount or the Available Equity Amount, as applicable, that such amount was not previously applied pursuant to Sections 6.01(a)(xiv), 6.02(xxviii) (to the extent not used in connection with securing Indebtedness incurred under Section 6.01(a)(xiv)), 6.04(m), 6.07(a)(viii) and 6.07(b)(iv).</w:t>
      </w:r>
    </w:p>
    <w:p>
      <w:pPr>
        <w:spacing w:after="0" w:line="201" w:lineRule="exact"/>
        <w:rPr>
          <w:sz w:val="20"/>
          <w:szCs w:val="20"/>
          <w:color w:val="auto"/>
        </w:rPr>
      </w:pPr>
    </w:p>
    <w:p>
      <w:pPr>
        <w:jc w:val="both"/>
        <w:ind w:right="20" w:firstLine="149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w:t>
      </w:r>
      <w:r>
        <w:rPr>
          <w:rFonts w:ascii="Arial" w:cs="Arial" w:eastAsia="Arial" w:hAnsi="Arial"/>
          <w:sz w:val="19"/>
          <w:szCs w:val="19"/>
          <w:color w:val="auto"/>
        </w:rPr>
        <w:t>” means a promissory note of the Borrower, in substantially the form of Exhibit O, payable to a Lender in a principal amount equal to the principal amount of the Revolving Commitment, or Term Loans, as applicable, of such Lender.</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U.S. Department of the Treasury.</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Offered Amount</w:t>
      </w:r>
      <w:r>
        <w:rPr>
          <w:rFonts w:ascii="Arial" w:cs="Arial" w:eastAsia="Arial" w:hAnsi="Arial"/>
          <w:sz w:val="20"/>
          <w:szCs w:val="20"/>
          <w:color w:val="auto"/>
        </w:rPr>
        <w:t>” has the meaning assigned to such term in Section 2.11(a)(ii)(D)(1).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04" w:name="page205"/>
    <w:bookmarkEnd w:id="204"/>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Offered Discount</w:t>
      </w:r>
      <w:r>
        <w:rPr>
          <w:rFonts w:ascii="Arial" w:cs="Arial" w:eastAsia="Arial" w:hAnsi="Arial"/>
          <w:sz w:val="20"/>
          <w:szCs w:val="20"/>
          <w:color w:val="auto"/>
        </w:rPr>
        <w:t>” has the meaning assigned to such term in Section 2.11(a)(ii)(D)(1).</w:t>
      </w:r>
    </w:p>
    <w:p>
      <w:pPr>
        <w:spacing w:after="0" w:line="22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Organizational Documents</w:t>
      </w:r>
      <w:r>
        <w:rPr>
          <w:rFonts w:ascii="Arial" w:cs="Arial" w:eastAsia="Arial" w:hAnsi="Arial"/>
          <w:sz w:val="20"/>
          <w:szCs w:val="20"/>
          <w:color w:val="auto"/>
        </w:rPr>
        <w:t>” means, with respect to any Person, the charter, articles or certificate of organization or incorporation and bylaws or other organizational, constitutional or governing documents of such Person (including any certificates of incorporation and/or certificates of incorporation on a change of name).</w:t>
      </w:r>
    </w:p>
    <w:p>
      <w:pPr>
        <w:spacing w:after="0" w:line="201"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6"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Revolving Commitments</w:t>
      </w:r>
      <w:r>
        <w:rPr>
          <w:rFonts w:ascii="Arial" w:cs="Arial" w:eastAsia="Arial" w:hAnsi="Arial"/>
          <w:sz w:val="20"/>
          <w:szCs w:val="20"/>
          <w:color w:val="auto"/>
        </w:rPr>
        <w:t>” means one or more Classes of Revolving Commitments hereunder or extended Revolving Commitments that result from a Refinancing Amendment or a Loan Modification Agreement.</w:t>
      </w:r>
    </w:p>
    <w:p>
      <w:pPr>
        <w:spacing w:after="0" w:line="189"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Revolving Loans</w:t>
      </w:r>
      <w:r>
        <w:rPr>
          <w:rFonts w:ascii="Arial" w:cs="Arial" w:eastAsia="Arial" w:hAnsi="Arial"/>
          <w:sz w:val="20"/>
          <w:szCs w:val="20"/>
          <w:color w:val="auto"/>
        </w:rPr>
        <w:t>” means one or more classes of Revolving Loans made pursuant to any Other Revolving Commitment or a Loan Modification Agreement.</w:t>
      </w:r>
    </w:p>
    <w:p>
      <w:pPr>
        <w:spacing w:after="0" w:line="189"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any and all present or future recording, stamp, registration duties, documentary, excise, transfer, sales, property or similar Taxes, charges or levies arising from any payment made under any Loan Document or from the execution, delivery or enforcement of, or otherwise with respect to, any Loan Document.</w:t>
      </w:r>
    </w:p>
    <w:p>
      <w:pPr>
        <w:spacing w:after="0" w:line="201"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Term Commitments</w:t>
      </w:r>
      <w:r>
        <w:rPr>
          <w:rFonts w:ascii="Arial" w:cs="Arial" w:eastAsia="Arial" w:hAnsi="Arial"/>
          <w:sz w:val="20"/>
          <w:szCs w:val="20"/>
          <w:color w:val="auto"/>
        </w:rPr>
        <w:t>” means one or more Classes of term loan commitments hereunder that result from a Refinancing Amendment or a Loan Modification Agreement.</w:t>
      </w:r>
    </w:p>
    <w:p>
      <w:pPr>
        <w:spacing w:after="0" w:line="189"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Term Loans</w:t>
      </w:r>
      <w:r>
        <w:rPr>
          <w:rFonts w:ascii="Arial" w:cs="Arial" w:eastAsia="Arial" w:hAnsi="Arial"/>
          <w:sz w:val="20"/>
          <w:szCs w:val="20"/>
          <w:color w:val="auto"/>
        </w:rPr>
        <w:t>” means one or more Classes of Term Loans that result from a Refinancing Amendment or a Loan Modification Agreement.</w:t>
      </w:r>
    </w:p>
    <w:p>
      <w:pPr>
        <w:spacing w:after="0" w:line="189"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the Revolving Loans on any date, the outstanding principal amount thereof after giving effect to any borrowings and prepayments or repayments of Revolving Loans (including any refinancing of outstanding unpaid drawings under Letters of Credit or LC Credit Extensions as a Borrowing of Revolving Loans), occurring on such date; and (b) with respect to any LC Exposure on any date, the outstanding 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 Credit or LC Credit Extensions as a Borrowing of Revolving Loan) or any reductions in the maximum amount available for drawing under Letters of Credit taking effect on such date.</w:t>
      </w:r>
    </w:p>
    <w:p>
      <w:pPr>
        <w:spacing w:after="0" w:line="199"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means, for any day, the greater of the Federal Funds Effective Rate and an overnight rate determined by the Administrative Agent in accordance with banking industry rules on interbank compensation.</w:t>
      </w:r>
    </w:p>
    <w:p>
      <w:pPr>
        <w:spacing w:after="0" w:line="189"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Pari Passu Intercreditor Agreement</w:t>
      </w:r>
      <w:r>
        <w:rPr>
          <w:rFonts w:ascii="Arial" w:cs="Arial" w:eastAsia="Arial" w:hAnsi="Arial"/>
          <w:sz w:val="20"/>
          <w:szCs w:val="20"/>
          <w:color w:val="auto"/>
        </w:rPr>
        <w:t>” means the Pari Passu Intercreditor Agreement substantially in the form of Exhibit E-1 among the Administrative Agent and one or more Senior Representatives for holders of Indebtedness permitted by this Agreement to be secured by the Collateral on a pari passu basis (but without regard to the control of remedies), with such modifications thereto as the Administrative Agent and the Borrower may reasonably agree.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52" w:right="499" w:bottom="1440" w:gutter="0" w:footer="0" w:header="0"/>
        </w:sectPr>
      </w:pPr>
    </w:p>
    <w:bookmarkStart w:id="205" w:name="page206"/>
    <w:bookmarkEnd w:id="205"/>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assigned to such term in Section 9.04(c)(i).</w:t>
      </w:r>
    </w:p>
    <w:p>
      <w:pPr>
        <w:spacing w:after="0" w:line="350"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assigned to such term in Section 9.04(c)(ii).</w:t>
      </w:r>
    </w:p>
    <w:p>
      <w:pPr>
        <w:spacing w:after="0" w:line="228" w:lineRule="exact"/>
        <w:rPr>
          <w:sz w:val="20"/>
          <w:szCs w:val="20"/>
          <w:color w:val="auto"/>
        </w:rPr>
      </w:pPr>
    </w:p>
    <w:p>
      <w:pPr>
        <w:ind w:left="1507"/>
        <w:spacing w:after="0"/>
        <w:tabs>
          <w:tab w:leader="none" w:pos="2767" w:val="left"/>
          <w:tab w:leader="none" w:pos="3627" w:val="left"/>
          <w:tab w:leader="none" w:pos="4087" w:val="left"/>
          <w:tab w:leader="none" w:pos="4527" w:val="left"/>
          <w:tab w:leader="none" w:pos="5387" w:val="left"/>
          <w:tab w:leader="none" w:pos="6267" w:val="left"/>
          <w:tab w:leader="none" w:pos="6627" w:val="left"/>
          <w:tab w:leader="none" w:pos="7187" w:val="left"/>
          <w:tab w:leader="none" w:pos="7787" w:val="left"/>
        </w:tabs>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w:t>
      </w:r>
      <w:r>
        <w:rPr>
          <w:sz w:val="20"/>
          <w:szCs w:val="20"/>
          <w:color w:val="auto"/>
        </w:rPr>
        <w:tab/>
      </w: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has</w:t>
        <w:tab/>
        <w:t>the</w:t>
        <w:tab/>
        <w:t>meaning</w:t>
        <w:tab/>
        <w:t>assigned</w:t>
        <w:tab/>
        <w:t>to</w:t>
        <w:tab/>
        <w:t>such</w:t>
        <w:tab/>
        <w:t>term</w:t>
      </w:r>
      <w:r>
        <w:rPr>
          <w:sz w:val="20"/>
          <w:szCs w:val="20"/>
          <w:color w:val="auto"/>
        </w:rPr>
        <w:tab/>
      </w:r>
      <w:r>
        <w:rPr>
          <w:rFonts w:ascii="Arial" w:cs="Arial" w:eastAsia="Arial" w:hAnsi="Arial"/>
          <w:sz w:val="18"/>
          <w:szCs w:val="18"/>
          <w:color w:val="auto"/>
        </w:rPr>
        <w:t>in Section 2.11(a)(ii)(C)(2).</w:t>
      </w:r>
    </w:p>
    <w:p>
      <w:pPr>
        <w:spacing w:after="0" w:line="242"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w:t>
      </w:r>
      <w:r>
        <w:rPr>
          <w:rFonts w:ascii="Arial" w:cs="Arial" w:eastAsia="Arial" w:hAnsi="Arial"/>
          <w:sz w:val="20"/>
          <w:szCs w:val="20"/>
          <w:color w:val="auto"/>
        </w:rPr>
        <w:t>” has the meaning assigned to such term in the Collateral Agreement.</w:t>
      </w:r>
    </w:p>
    <w:p>
      <w:pPr>
        <w:spacing w:after="0" w:line="242" w:lineRule="exact"/>
        <w:rPr>
          <w:sz w:val="20"/>
          <w:szCs w:val="20"/>
          <w:color w:val="auto"/>
        </w:rPr>
      </w:pPr>
    </w:p>
    <w:p>
      <w:pPr>
        <w:jc w:val="both"/>
        <w:ind w:left="7"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89" w:lineRule="exact"/>
        <w:rPr>
          <w:sz w:val="20"/>
          <w:szCs w:val="20"/>
          <w:color w:val="auto"/>
        </w:rPr>
      </w:pPr>
    </w:p>
    <w:p>
      <w:pPr>
        <w:jc w:val="both"/>
        <w:ind w:left="7" w:firstLine="149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w:t>
      </w:r>
    </w:p>
    <w:p>
      <w:pPr>
        <w:spacing w:after="0" w:line="190" w:lineRule="exact"/>
        <w:rPr>
          <w:sz w:val="20"/>
          <w:szCs w:val="20"/>
          <w:color w:val="auto"/>
        </w:rPr>
      </w:pPr>
    </w:p>
    <w:p>
      <w:pPr>
        <w:ind w:left="1507"/>
        <w:spacing w:after="0"/>
        <w:rPr>
          <w:sz w:val="20"/>
          <w:szCs w:val="20"/>
          <w:color w:val="auto"/>
        </w:rPr>
      </w:pPr>
      <w:r>
        <w:rPr>
          <w:rFonts w:ascii="Arial" w:cs="Arial" w:eastAsia="Arial" w:hAnsi="Arial"/>
          <w:sz w:val="19"/>
          <w:szCs w:val="19"/>
          <w:b w:val="1"/>
          <w:bCs w:val="1"/>
          <w:u w:val="single" w:color="auto"/>
          <w:color w:val="0000FF"/>
        </w:rPr>
        <w:t>“Periodic Term SOFR Determination Day” has the meaning specified in the definition of “Term SOFR”.</w:t>
      </w:r>
    </w:p>
    <w:p>
      <w:pPr>
        <w:spacing w:after="0" w:line="340" w:lineRule="exact"/>
        <w:rPr>
          <w:sz w:val="20"/>
          <w:szCs w:val="20"/>
          <w:color w:val="auto"/>
        </w:rPr>
      </w:pPr>
    </w:p>
    <w:p>
      <w:pPr>
        <w:jc w:val="both"/>
        <w:ind w:left="7" w:firstLine="149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the purchase or other acquisition, by merger, amalgamation, consolidation or otherwise, by Holdings or any Restricted Subsidiary of any Equity Interests in, or all or substantially all the assets of (or all or substantially all the assets constituting a business unit, division, product line or line of business of), any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in the case of any purchase or other acquisition of Equity Interests in a Person, (i) such Person, upon the consummation of such purchase or acquisition, will be a Restricted Subsidiary (including as a result of a merger, amalgamation or consolidation between any Restricted Subsidiary and such Person), or (ii) such Person is merged or amalgamated into or consolidated with a Restricted Subsidiary and such Restricted Subsidiary is the surviving entity of such merger, amalgamation or consolidation, (b) the business of such Person, or such assets, as the case may be, constitute a business permitted by Section 5.16, (c) with respect to each such purchase or other acquisition, all actions required to be taken with respect to such newly created or acquired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after the consummation of the Permitted Acquisition shall have been made that are reasonably satisfactory to the Administrative Agent) (unless such newly created or acquired Subsidiary is designated as an Unrestricted Subsidiary pursuant to Section 5.13 or is otherwise an Excluded Subsidiary) and</w:t>
      </w:r>
    </w:p>
    <w:p>
      <w:pPr>
        <w:spacing w:after="0" w:line="2" w:lineRule="exact"/>
        <w:rPr>
          <w:sz w:val="20"/>
          <w:szCs w:val="20"/>
          <w:color w:val="auto"/>
        </w:rPr>
      </w:pPr>
    </w:p>
    <w:p>
      <w:pPr>
        <w:ind w:left="7" w:hanging="7"/>
        <w:spacing w:after="0" w:line="243" w:lineRule="auto"/>
        <w:tabs>
          <w:tab w:leader="none" w:pos="315" w:val="left"/>
        </w:tabs>
        <w:numPr>
          <w:ilvl w:val="0"/>
          <w:numId w:val="128"/>
        </w:numPr>
        <w:rPr>
          <w:rFonts w:ascii="Arial" w:cs="Arial" w:eastAsia="Arial" w:hAnsi="Arial"/>
          <w:sz w:val="20"/>
          <w:szCs w:val="20"/>
          <w:color w:val="auto"/>
        </w:rPr>
      </w:pPr>
      <w:r>
        <w:rPr>
          <w:rFonts w:ascii="Arial" w:cs="Arial" w:eastAsia="Arial" w:hAnsi="Arial"/>
          <w:sz w:val="20"/>
          <w:szCs w:val="20"/>
          <w:color w:val="auto"/>
        </w:rPr>
        <w:t>no Specified Event of Default shall have occurred and be continuing at the time of execution of a binding agreement in respect thereof.</w:t>
      </w:r>
    </w:p>
    <w:p>
      <w:pPr>
        <w:spacing w:after="0" w:line="206" w:lineRule="exact"/>
        <w:rPr>
          <w:sz w:val="20"/>
          <w:szCs w:val="20"/>
          <w:color w:val="auto"/>
        </w:rPr>
      </w:pPr>
    </w:p>
    <w:p>
      <w:pPr>
        <w:ind w:left="1507"/>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Activities</w:t>
      </w:r>
      <w:r>
        <w:rPr>
          <w:rFonts w:ascii="Arial" w:cs="Arial" w:eastAsia="Arial" w:hAnsi="Arial"/>
          <w:sz w:val="20"/>
          <w:szCs w:val="20"/>
          <w:color w:val="auto"/>
        </w:rPr>
        <w:t>” has the meaning assigned to such term in Section 6.08.</w:t>
      </w:r>
    </w:p>
    <w:p>
      <w:pPr>
        <w:spacing w:after="0" w:line="228" w:lineRule="exact"/>
        <w:rPr>
          <w:sz w:val="20"/>
          <w:szCs w:val="20"/>
          <w:color w:val="auto"/>
        </w:rPr>
      </w:pPr>
    </w:p>
    <w:p>
      <w:pPr>
        <w:jc w:val="both"/>
        <w:ind w:left="7" w:firstLine="14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Amendment</w:t>
      </w:r>
      <w:r>
        <w:rPr>
          <w:rFonts w:ascii="Arial" w:cs="Arial" w:eastAsia="Arial" w:hAnsi="Arial"/>
          <w:sz w:val="19"/>
          <w:szCs w:val="19"/>
          <w:color w:val="auto"/>
        </w:rPr>
        <w:t>” means an amendment to this Agreement and, if applicable the other Loan Documents, effected in connection with a Loan Modification Offer pursuant to Section 2.24,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 change in Sections 2.08(b), 2.08(c), 2.10(c), 2.11(a), 2.11(e) and/or 2.11(f) with respect to the Loans and/or Commitments of the Accepting Lenders</w:t>
      </w:r>
    </w:p>
    <w:p>
      <w:pPr>
        <w:spacing w:after="0" w:line="18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66040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7"/>
          </w:cols>
          <w:pgMar w:left="493" w:top="352" w:right="499" w:bottom="1440" w:gutter="0" w:footer="0" w:header="0"/>
        </w:sectPr>
      </w:pPr>
    </w:p>
    <w:bookmarkStart w:id="206" w:name="page207"/>
    <w:bookmarkEnd w:id="206"/>
    <w:p>
      <w:pPr>
        <w:jc w:val="both"/>
        <w:spacing w:after="0" w:line="257" w:lineRule="auto"/>
        <w:rPr>
          <w:sz w:val="20"/>
          <w:szCs w:val="20"/>
          <w:color w:val="auto"/>
        </w:rPr>
      </w:pPr>
      <w:r>
        <w:rPr>
          <w:rFonts w:ascii="Arial" w:cs="Arial" w:eastAsia="Arial" w:hAnsi="Arial"/>
          <w:sz w:val="19"/>
          <w:szCs w:val="19"/>
          <w:color w:val="auto"/>
        </w:rPr>
        <w:t>and/or (d) additional or modified covenants, events of default, or guarantees or other provisions (it being understood that to the extent that any covenant, event of default, guarantee or such other provision is added or modified for the benefit of any such Loans and/or Commitments, no consent shall be required by the Administrative Agent or any of the Lenders if such covenant, event of default, guarantee or other provision is either (i) also added or modified for the benefit of any corresponding Loans remaining outstanding after the issuance or incurrence of such Loans and/or Commitments, (ii) only applicable after the Latest Maturity Date at the time of such Loan Modification Offer or (iii) in the aggregate, not materially more restrictive to the Loan Parties (as determined in good faith by the Borrower) when taken as a whole, than the terms of the Loans hereunder).</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28" w:lineRule="exact"/>
        <w:rPr>
          <w:sz w:val="20"/>
          <w:szCs w:val="20"/>
          <w:color w:val="auto"/>
        </w:rPr>
      </w:pPr>
    </w:p>
    <w:p>
      <w:pPr>
        <w:ind w:left="900" w:right="20" w:firstLine="739"/>
        <w:spacing w:after="0" w:line="315" w:lineRule="auto"/>
        <w:tabs>
          <w:tab w:leader="none" w:pos="23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that are not overdue for a period of more than 30 days or that are not required to be paid pursuant to Section 5.05 (assuming Section 5.05 were applicable thereto);</w:t>
      </w:r>
    </w:p>
    <w:p>
      <w:pPr>
        <w:spacing w:after="0" w:line="157" w:lineRule="exact"/>
        <w:rPr>
          <w:rFonts w:ascii="Arial" w:cs="Arial" w:eastAsia="Arial" w:hAnsi="Arial"/>
          <w:sz w:val="18"/>
          <w:szCs w:val="18"/>
          <w:color w:val="auto"/>
        </w:rPr>
      </w:pPr>
    </w:p>
    <w:p>
      <w:pPr>
        <w:jc w:val="both"/>
        <w:ind w:left="900" w:firstLine="739"/>
        <w:spacing w:after="0" w:line="274" w:lineRule="auto"/>
        <w:tabs>
          <w:tab w:leader="none" w:pos="23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with respect to outstanding motor vehicle fines and carriers’, warehousemen’s, mechanics’, materialmen’s, landlord’s, repairmen’s or construction contractors’ Liens and other similar Liens, imposed by law or Contract (to the extent providing for Liens that are similar in scope to the foregoing),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or so long as such Liens do not individually or in the aggregate have a Material Adverse Effect;</w:t>
      </w:r>
    </w:p>
    <w:p>
      <w:pPr>
        <w:spacing w:after="0" w:line="179" w:lineRule="exact"/>
        <w:rPr>
          <w:rFonts w:ascii="Arial" w:cs="Arial" w:eastAsia="Arial" w:hAnsi="Arial"/>
          <w:sz w:val="18"/>
          <w:szCs w:val="18"/>
          <w:color w:val="auto"/>
        </w:rPr>
      </w:pPr>
    </w:p>
    <w:p>
      <w:pPr>
        <w:jc w:val="both"/>
        <w:ind w:left="900" w:right="20" w:firstLine="739"/>
        <w:spacing w:after="0" w:line="278" w:lineRule="auto"/>
        <w:tabs>
          <w:tab w:leader="none" w:pos="23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set forth in the foregoing clause (i);</w:t>
      </w:r>
    </w:p>
    <w:p>
      <w:pPr>
        <w:spacing w:after="0" w:line="190" w:lineRule="exact"/>
        <w:rPr>
          <w:rFonts w:ascii="Arial" w:cs="Arial" w:eastAsia="Arial" w:hAnsi="Arial"/>
          <w:sz w:val="18"/>
          <w:szCs w:val="18"/>
          <w:color w:val="auto"/>
        </w:rPr>
      </w:pPr>
    </w:p>
    <w:p>
      <w:pPr>
        <w:jc w:val="both"/>
        <w:ind w:left="900" w:firstLine="739"/>
        <w:spacing w:after="0" w:line="260" w:lineRule="auto"/>
        <w:tabs>
          <w:tab w:leader="none" w:pos="2375" w:val="left"/>
        </w:tabs>
        <w:numPr>
          <w:ilvl w:val="0"/>
          <w:numId w:val="129"/>
        </w:numPr>
        <w:rPr>
          <w:rFonts w:ascii="Arial" w:cs="Arial" w:eastAsia="Arial" w:hAnsi="Arial"/>
          <w:sz w:val="19"/>
          <w:szCs w:val="19"/>
          <w:color w:val="auto"/>
        </w:rPr>
      </w:pPr>
      <w:r>
        <w:rPr>
          <w:rFonts w:ascii="Arial" w:cs="Arial" w:eastAsia="Arial" w:hAnsi="Arial"/>
          <w:sz w:val="19"/>
          <w:szCs w:val="19"/>
          <w:color w:val="auto"/>
        </w:rPr>
        <w:t>Liens incurred or deposits made to secure the performance of bids, trade contracts, governmental contracts and leases,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w:t>
      </w:r>
    </w:p>
    <w:p>
      <w:pPr>
        <w:spacing w:after="0" w:line="191" w:lineRule="exact"/>
        <w:rPr>
          <w:rFonts w:ascii="Arial" w:cs="Arial" w:eastAsia="Arial" w:hAnsi="Arial"/>
          <w:sz w:val="19"/>
          <w:szCs w:val="19"/>
          <w:color w:val="auto"/>
        </w:rPr>
      </w:pPr>
    </w:p>
    <w:p>
      <w:pPr>
        <w:jc w:val="both"/>
        <w:ind w:left="900" w:firstLine="739"/>
        <w:spacing w:after="0" w:line="275" w:lineRule="auto"/>
        <w:tabs>
          <w:tab w:leader="none" w:pos="23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minor survey exceptions, minor encumbrances, covenants, conditions, easements, rights-of-way, restrictions, encroachments, protrusions, by-law, regulation or zoning restrictions, reservations of or rights of others for sewers, electric lines, telegraph and telephone lines and other similar purposes and other similar encumbrances and minor title defects or irregularities affecting real property, that, in the aggregate, do not materially interfere with the ordinary conduct of the business of Holdings and its Restricted Subsidiaries, taken as a whole, or which are set forth in the title insurance policy delivered with respect to the Mortgaged Property and are “insured over” in such insurance policy;</w:t>
      </w:r>
    </w:p>
    <w:p>
      <w:pPr>
        <w:spacing w:after="0" w:line="181" w:lineRule="exact"/>
        <w:rPr>
          <w:rFonts w:ascii="Arial" w:cs="Arial" w:eastAsia="Arial" w:hAnsi="Arial"/>
          <w:sz w:val="18"/>
          <w:szCs w:val="18"/>
          <w:color w:val="auto"/>
        </w:rPr>
      </w:pPr>
    </w:p>
    <w:p>
      <w:pPr>
        <w:ind w:left="2360" w:hanging="721"/>
        <w:spacing w:after="0"/>
        <w:tabs>
          <w:tab w:leader="none" w:pos="23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Liens securing, or otherwise arising from, judgments not constituting an Event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of Default under Section 7.01(j);</w:t>
      </w:r>
    </w:p>
    <w:p>
      <w:pPr>
        <w:spacing w:after="0" w:line="203" w:lineRule="exact"/>
        <w:rPr>
          <w:sz w:val="20"/>
          <w:szCs w:val="20"/>
          <w:color w:val="auto"/>
        </w:rPr>
      </w:pPr>
    </w:p>
    <w:p>
      <w:pPr>
        <w:jc w:val="both"/>
        <w:ind w:right="20" w:firstLine="739"/>
        <w:spacing w:after="0" w:line="278" w:lineRule="auto"/>
        <w:tabs>
          <w:tab w:leader="none" w:pos="147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Liens on goods the purchase price of which is financed by a documentary or trade letter of credit issued for the account of the Borrower or any of its Restricted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secures only the obligations of the Borrower or such Subsidiaries in respect of such letter of credit to the extent such obligations are permitted by Section 6.01;</w:t>
      </w:r>
    </w:p>
    <w:p>
      <w:pPr>
        <w:spacing w:after="0" w:line="176" w:lineRule="exact"/>
        <w:rPr>
          <w:rFonts w:ascii="Arial" w:cs="Arial" w:eastAsia="Arial" w:hAnsi="Arial"/>
          <w:sz w:val="18"/>
          <w:szCs w:val="18"/>
          <w:color w:val="auto"/>
        </w:rPr>
      </w:pPr>
    </w:p>
    <w:p>
      <w:pPr>
        <w:ind w:right="20" w:firstLine="739"/>
        <w:spacing w:after="0" w:line="260" w:lineRule="auto"/>
        <w:tabs>
          <w:tab w:leader="none" w:pos="147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filing of UCC (or equivalent) financing statements solely as a precautionary measure or required notice in connection with operating leases or consignment of goods;</w:t>
      </w:r>
    </w:p>
    <w:p>
      <w:pPr>
        <w:spacing w:after="0" w:line="202" w:lineRule="exact"/>
        <w:rPr>
          <w:rFonts w:ascii="Arial" w:cs="Arial" w:eastAsia="Arial" w:hAnsi="Arial"/>
          <w:sz w:val="20"/>
          <w:szCs w:val="20"/>
          <w:color w:val="auto"/>
        </w:rPr>
      </w:pPr>
    </w:p>
    <w:p>
      <w:pPr>
        <w:ind w:right="20" w:firstLine="739"/>
        <w:spacing w:after="0" w:line="315" w:lineRule="auto"/>
        <w:tabs>
          <w:tab w:leader="none" w:pos="147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144" w:lineRule="exact"/>
        <w:rPr>
          <w:rFonts w:ascii="Arial" w:cs="Arial" w:eastAsia="Arial" w:hAnsi="Arial"/>
          <w:sz w:val="18"/>
          <w:szCs w:val="18"/>
          <w:color w:val="auto"/>
        </w:rPr>
      </w:pPr>
    </w:p>
    <w:p>
      <w:pPr>
        <w:ind w:right="20" w:firstLine="739"/>
        <w:spacing w:after="0" w:line="286" w:lineRule="auto"/>
        <w:tabs>
          <w:tab w:leader="none" w:pos="1475" w:val="left"/>
        </w:tabs>
        <w:numPr>
          <w:ilvl w:val="0"/>
          <w:numId w:val="130"/>
        </w:numPr>
        <w:rPr>
          <w:rFonts w:ascii="Arial" w:cs="Arial" w:eastAsia="Arial" w:hAnsi="Arial"/>
          <w:sz w:val="19"/>
          <w:szCs w:val="19"/>
          <w:color w:val="auto"/>
        </w:rPr>
      </w:pPr>
      <w:r>
        <w:rPr>
          <w:rFonts w:ascii="Arial" w:cs="Arial" w:eastAsia="Arial" w:hAnsi="Arial"/>
          <w:sz w:val="19"/>
          <w:szCs w:val="19"/>
          <w:color w:val="auto"/>
        </w:rPr>
        <w:t>Liens in favor of deposit banks or securities intermediaries securing customary fees, expenses or charges in connection with the establishment, operation or maintenance of deposit accounts or securities accounts;</w:t>
      </w:r>
    </w:p>
    <w:p>
      <w:pPr>
        <w:spacing w:after="0" w:line="180" w:lineRule="exact"/>
        <w:rPr>
          <w:rFonts w:ascii="Arial" w:cs="Arial" w:eastAsia="Arial" w:hAnsi="Arial"/>
          <w:sz w:val="19"/>
          <w:szCs w:val="19"/>
          <w:color w:val="auto"/>
        </w:rPr>
      </w:pPr>
    </w:p>
    <w:p>
      <w:pPr>
        <w:jc w:val="both"/>
        <w:ind w:firstLine="739"/>
        <w:spacing w:after="0" w:line="246" w:lineRule="auto"/>
        <w:tabs>
          <w:tab w:leader="none" w:pos="147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Liens in favor of obligations in respect of performance, bid, appeal and surety bonds and performance and completion guarantees and similar obligations provided by Holdings, the Borrower or any of the Restricted Subsidiaries or obligations in respect of letters of credit, bank guarantees or similar instruments related thereto, in each case in the ordinary course of business or consistent with past practice;</w:t>
      </w:r>
    </w:p>
    <w:p>
      <w:pPr>
        <w:spacing w:after="0" w:line="203" w:lineRule="exact"/>
        <w:rPr>
          <w:rFonts w:ascii="Arial" w:cs="Arial" w:eastAsia="Arial" w:hAnsi="Arial"/>
          <w:sz w:val="20"/>
          <w:szCs w:val="20"/>
          <w:color w:val="auto"/>
        </w:rPr>
      </w:pPr>
    </w:p>
    <w:p>
      <w:pPr>
        <w:jc w:val="both"/>
        <w:ind w:right="20" w:firstLine="739"/>
        <w:spacing w:after="0" w:line="249" w:lineRule="auto"/>
        <w:tabs>
          <w:tab w:leader="none" w:pos="147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Liens arising from grants of licenses or sublicenses of Intellectual Property made in the ordinary course of business or that do not interfere in any material respect with the business of Holdings and its Restricted Subsidiaries, taken as a whole;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do not secure any Indebtedness;</w:t>
      </w:r>
    </w:p>
    <w:p>
      <w:pPr>
        <w:spacing w:after="0" w:line="214" w:lineRule="exact"/>
        <w:rPr>
          <w:rFonts w:ascii="Arial" w:cs="Arial" w:eastAsia="Arial" w:hAnsi="Arial"/>
          <w:sz w:val="20"/>
          <w:szCs w:val="20"/>
          <w:color w:val="auto"/>
        </w:rPr>
      </w:pPr>
    </w:p>
    <w:p>
      <w:pPr>
        <w:jc w:val="both"/>
        <w:ind w:firstLine="739"/>
        <w:spacing w:after="0" w:line="246" w:lineRule="auto"/>
        <w:tabs>
          <w:tab w:leader="none" w:pos="147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rights of setoff, banker’s liens,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203" w:lineRule="exact"/>
        <w:rPr>
          <w:rFonts w:ascii="Arial" w:cs="Arial" w:eastAsia="Arial" w:hAnsi="Arial"/>
          <w:sz w:val="20"/>
          <w:szCs w:val="20"/>
          <w:color w:val="auto"/>
        </w:rPr>
      </w:pPr>
    </w:p>
    <w:p>
      <w:pPr>
        <w:ind w:firstLine="739"/>
        <w:spacing w:after="0" w:line="315" w:lineRule="auto"/>
        <w:tabs>
          <w:tab w:leader="none" w:pos="147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arising from the right of distress enjoyed by landlords or Liens otherwise granted to landlords, in either case, to secure the payment of arrears of rent in respect of leased properties, so long as such Liens are not exercised;</w:t>
      </w:r>
    </w:p>
    <w:p>
      <w:pPr>
        <w:spacing w:after="0" w:line="157" w:lineRule="exact"/>
        <w:rPr>
          <w:rFonts w:ascii="Arial" w:cs="Arial" w:eastAsia="Arial" w:hAnsi="Arial"/>
          <w:sz w:val="18"/>
          <w:szCs w:val="18"/>
          <w:color w:val="auto"/>
        </w:rPr>
      </w:pPr>
    </w:p>
    <w:p>
      <w:pPr>
        <w:ind w:firstLine="739"/>
        <w:spacing w:after="0" w:line="260" w:lineRule="auto"/>
        <w:tabs>
          <w:tab w:leader="none" w:pos="147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securities to public utilities or to any Governmental Authority when required by the utility or other authority in connection with the supply of services or utilities to the Borrower and any Restricted Subsidiaries;</w:t>
      </w:r>
    </w:p>
    <w:p>
      <w:pPr>
        <w:spacing w:after="0" w:line="202" w:lineRule="exact"/>
        <w:rPr>
          <w:rFonts w:ascii="Arial" w:cs="Arial" w:eastAsia="Arial" w:hAnsi="Arial"/>
          <w:sz w:val="20"/>
          <w:szCs w:val="20"/>
          <w:color w:val="auto"/>
        </w:rPr>
      </w:pPr>
    </w:p>
    <w:p>
      <w:pPr>
        <w:jc w:val="both"/>
        <w:ind w:firstLine="739"/>
        <w:spacing w:after="0" w:line="246" w:lineRule="auto"/>
        <w:tabs>
          <w:tab w:leader="none" w:pos="147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servicing agreements, development agreements, site plan agreements and other agreements with any Governmental Authority pertaining to the use or development of any of the assets of the Person, provided same are complied with in all material respects and do not materially reduce the value of the assets of the Person or materially interfere with the use of such assets in the operation of the business of such Person;</w:t>
      </w:r>
    </w:p>
    <w:p>
      <w:pPr>
        <w:spacing w:after="0" w:line="190"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66040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00" w:top="122" w:right="499" w:bottom="1440" w:gutter="0" w:footer="0" w:header="0"/>
        </w:sectPr>
      </w:pPr>
    </w:p>
    <w:bookmarkStart w:id="208" w:name="page209"/>
    <w:bookmarkEnd w:id="208"/>
    <w:p>
      <w:pPr>
        <w:ind w:left="2360" w:hanging="721"/>
        <w:spacing w:after="0"/>
        <w:tabs>
          <w:tab w:leader="none" w:pos="23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[reserved];</w:t>
      </w:r>
    </w:p>
    <w:p>
      <w:pPr>
        <w:spacing w:after="0" w:line="228" w:lineRule="exact"/>
        <w:rPr>
          <w:rFonts w:ascii="Arial" w:cs="Arial" w:eastAsia="Arial" w:hAnsi="Arial"/>
          <w:sz w:val="20"/>
          <w:szCs w:val="20"/>
          <w:color w:val="auto"/>
        </w:rPr>
      </w:pPr>
    </w:p>
    <w:p>
      <w:pPr>
        <w:ind w:left="2360" w:hanging="721"/>
        <w:spacing w:after="0"/>
        <w:tabs>
          <w:tab w:leader="none" w:pos="23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[reserved];</w:t>
      </w:r>
    </w:p>
    <w:p>
      <w:pPr>
        <w:spacing w:after="0" w:line="241" w:lineRule="exact"/>
        <w:rPr>
          <w:rFonts w:ascii="Arial" w:cs="Arial" w:eastAsia="Arial" w:hAnsi="Arial"/>
          <w:sz w:val="20"/>
          <w:szCs w:val="20"/>
          <w:color w:val="auto"/>
        </w:rPr>
      </w:pPr>
    </w:p>
    <w:p>
      <w:pPr>
        <w:ind w:left="2360" w:hanging="721"/>
        <w:spacing w:after="0"/>
        <w:tabs>
          <w:tab w:leader="none" w:pos="23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customary rights of first refusal or first offer, and tag, drag and similar rights in joint venture agreements;</w:t>
      </w:r>
    </w:p>
    <w:p>
      <w:pPr>
        <w:spacing w:after="0" w:line="264" w:lineRule="exact"/>
        <w:rPr>
          <w:rFonts w:ascii="Arial" w:cs="Arial" w:eastAsia="Arial" w:hAnsi="Arial"/>
          <w:sz w:val="18"/>
          <w:szCs w:val="18"/>
          <w:color w:val="auto"/>
        </w:rPr>
      </w:pPr>
    </w:p>
    <w:p>
      <w:pPr>
        <w:ind w:left="2360" w:hanging="721"/>
        <w:spacing w:after="0"/>
        <w:tabs>
          <w:tab w:leader="none" w:pos="23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Liens arising from Permitted Investments described in clause (e) of the definition thereof; and</w:t>
      </w:r>
    </w:p>
    <w:p>
      <w:pPr>
        <w:spacing w:after="0" w:line="228" w:lineRule="exact"/>
        <w:rPr>
          <w:rFonts w:ascii="Arial" w:cs="Arial" w:eastAsia="Arial" w:hAnsi="Arial"/>
          <w:sz w:val="20"/>
          <w:szCs w:val="20"/>
          <w:color w:val="auto"/>
        </w:rPr>
      </w:pPr>
    </w:p>
    <w:p>
      <w:pPr>
        <w:ind w:left="900" w:firstLine="739"/>
        <w:spacing w:after="0" w:line="260" w:lineRule="auto"/>
        <w:tabs>
          <w:tab w:leader="none" w:pos="237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with respect to any Foreign Subsidiary, other Liens and privileges arising mandatorily by any Requirements of Law in the ordinary course of business.</w:t>
      </w:r>
    </w:p>
    <w:p>
      <w:pPr>
        <w:spacing w:after="0" w:line="203" w:lineRule="exact"/>
        <w:rPr>
          <w:sz w:val="20"/>
          <w:szCs w:val="20"/>
          <w:color w:val="auto"/>
        </w:rPr>
      </w:pPr>
    </w:p>
    <w:p>
      <w:pPr>
        <w:jc w:val="both"/>
        <w:ind w:firstLine="149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First Priority Refinancing Debt</w:t>
      </w:r>
      <w:r>
        <w:rPr>
          <w:rFonts w:ascii="Arial" w:cs="Arial" w:eastAsia="Arial" w:hAnsi="Arial"/>
          <w:sz w:val="18"/>
          <w:szCs w:val="18"/>
          <w:color w:val="auto"/>
        </w:rPr>
        <w:t xml:space="preserve">” means any secured Indebtedness incurred by the Borrower and/or any Subsidiary Loan Party (and any Guarantee thereof by Holdings) in the form of one or more series of senior secured notes or senior secured loans (or revolving commitments in respect thereof, with revolving commitments deemed loans in the full amount of such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secured by the Collateral (and no other assets which are not Collateral) on a pari passu basis (but without regard to the control of remedies) with the Initial Term Loans, (ii) such Indebtedness constitutes Credit Agreement Refinancing Indebtedness or a Permitted Refinancing of Incremental Equivalent Debt, (iii) such Indebtedness does not have mandatory redemption features (other than customary asset sale, insurance and condemnation proceeds events, change of control offers, AHYDO catch up payments or offers upon an event of default) that could result in redemptions of such Indebtedness prior to the maturity of the Refinanced Debt, (iv) such Indebtedness is not guaranteed by an entity that is not a Loan Party and (v) a Senior Representative acting on behalf of the holders of such Indebtedness shall have become party to the Pari Passu Intercreditor Agreement and, if applicable, the Junior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the initial of any Incremental Facility, Incremental Equivalent Debt, other Indebtedness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or Permitted First Priority Refinancing Debt incurred by the Borrower, then the Borrower, the other Loan Parties, the Administrative Agent and the Senior Representative for such Indebtedness shall have executed and delivered a customary intercreditor agreement with the Administrative Agent and/or Collateral Agent substantially in the form of the Pari Passu Intercreditor Agreement, together with (A) any immaterial changes and (B) material changes thereto in light of prevailing market conditions, which material changes shall be posted to the Lenders not less than five Business Days before execution thereof and, if the Required Lenders shall not have objected to such changes within five Business Days after posting, then the Required Lenders shall be deemed to have agreed that the Administrative Agent’s and/or Collateral Agent’s entry into such intercreditor agreement (with such changes) is reasonable and to have consented to such intercreditor agreement (with such changes) and to the Administrative Agent’s and/or Collateral Agent’s execution thereof, in each case in form and substance reasonably satisfactory to the Administrative Agent and/or Collateral Agent (it being understood that junior Liens are not required to be pari passu with other junior Liens, and that Indebtedness secured by junior Liens may be secured by Liens that are pari passu with, or junior in priority to, other Liens that are junior to the Liens securing the Secured Obligations) to provide for the sharing of the Collateral on a pari passu basis among the holders of the Secured Obligations and the holders of such Permitted First Priority Refinancing Debt. Permitted First Priority Refinancing Debt will include any Registered Equivalent Notes issued in exchange therefor.</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Holders</w:t>
      </w:r>
      <w:r>
        <w:rPr>
          <w:rFonts w:ascii="Arial" w:cs="Arial" w:eastAsia="Arial" w:hAnsi="Arial"/>
          <w:sz w:val="19"/>
          <w:szCs w:val="19"/>
          <w:color w:val="auto"/>
        </w:rPr>
        <w:t>” means GTCR Group, Oakleigh Thorne, Thorndale Farm, LLC and each of their respective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Affiliates.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325" w:right="519" w:bottom="1440" w:gutter="0" w:footer="0" w:header="0"/>
        </w:sectPr>
      </w:pPr>
    </w:p>
    <w:bookmarkStart w:id="209" w:name="page210"/>
    <w:bookmarkEnd w:id="209"/>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Investments</w:t>
      </w:r>
      <w:r>
        <w:rPr>
          <w:rFonts w:ascii="Arial" w:cs="Arial" w:eastAsia="Arial" w:hAnsi="Arial"/>
          <w:sz w:val="19"/>
          <w:szCs w:val="19"/>
          <w:color w:val="auto"/>
        </w:rPr>
        <w:t>” means any of the following, to the extent owned by the Borrower or any Restricted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Subsidiary:</w:t>
      </w:r>
    </w:p>
    <w:p>
      <w:pPr>
        <w:spacing w:after="0" w:line="212" w:lineRule="exact"/>
        <w:rPr>
          <w:sz w:val="20"/>
          <w:szCs w:val="20"/>
          <w:color w:val="auto"/>
        </w:rPr>
      </w:pPr>
    </w:p>
    <w:p>
      <w:pPr>
        <w:ind w:left="900" w:firstLine="739"/>
        <w:spacing w:after="0" w:line="260" w:lineRule="auto"/>
        <w:tabs>
          <w:tab w:leader="none" w:pos="2326" w:val="left"/>
        </w:tabs>
        <w:numPr>
          <w:ilvl w:val="1"/>
          <w:numId w:val="132"/>
        </w:numPr>
        <w:rPr>
          <w:rFonts w:ascii="Arial" w:cs="Arial" w:eastAsia="Arial" w:hAnsi="Arial"/>
          <w:sz w:val="20"/>
          <w:szCs w:val="20"/>
          <w:color w:val="auto"/>
        </w:rPr>
      </w:pPr>
      <w:r>
        <w:rPr>
          <w:rFonts w:ascii="Arial" w:cs="Arial" w:eastAsia="Arial" w:hAnsi="Arial"/>
          <w:sz w:val="20"/>
          <w:szCs w:val="20"/>
          <w:color w:val="auto"/>
        </w:rPr>
        <w:t>Dollars, Euros, Canadian Dollars, Sterling, or such other currencies held by it from time to time in the ordinary course of business;</w:t>
      </w:r>
    </w:p>
    <w:p>
      <w:pPr>
        <w:spacing w:after="0" w:line="202" w:lineRule="exact"/>
        <w:rPr>
          <w:rFonts w:ascii="Arial" w:cs="Arial" w:eastAsia="Arial" w:hAnsi="Arial"/>
          <w:sz w:val="20"/>
          <w:szCs w:val="20"/>
          <w:color w:val="auto"/>
        </w:rPr>
      </w:pPr>
    </w:p>
    <w:p>
      <w:pPr>
        <w:jc w:val="both"/>
        <w:ind w:left="900" w:firstLine="739"/>
        <w:spacing w:after="0" w:line="278" w:lineRule="auto"/>
        <w:tabs>
          <w:tab w:leader="none" w:pos="23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government or any agency or instrumentality of (i) the United States, (ii) Canada, (iii) Switzerland, (iv) United Kingdom, or (v) any member state of the European Union rated A (or the equivalent thereof) or better by S&amp;P and A2 (or the equivalent thereof) or better by Moody’s, having average maturities of not more than 24 months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such country or such member state of the European Union is pledged in support thereof;</w:t>
      </w:r>
    </w:p>
    <w:p>
      <w:pPr>
        <w:spacing w:after="0" w:line="176" w:lineRule="exact"/>
        <w:rPr>
          <w:rFonts w:ascii="Arial" w:cs="Arial" w:eastAsia="Arial" w:hAnsi="Arial"/>
          <w:sz w:val="18"/>
          <w:szCs w:val="18"/>
          <w:color w:val="auto"/>
        </w:rPr>
      </w:pPr>
    </w:p>
    <w:p>
      <w:pPr>
        <w:ind w:left="2320" w:hanging="681"/>
        <w:spacing w:after="0"/>
        <w:tabs>
          <w:tab w:leader="none" w:pos="23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w:t>
      </w:r>
    </w:p>
    <w:p>
      <w:pPr>
        <w:spacing w:after="0" w:line="38" w:lineRule="exact"/>
        <w:rPr>
          <w:rFonts w:ascii="Arial" w:cs="Arial" w:eastAsia="Arial" w:hAnsi="Arial"/>
          <w:sz w:val="18"/>
          <w:szCs w:val="18"/>
          <w:color w:val="auto"/>
        </w:rPr>
      </w:pPr>
    </w:p>
    <w:p>
      <w:pPr>
        <w:jc w:val="both"/>
        <w:ind w:left="900" w:hanging="9"/>
        <w:spacing w:after="0"/>
        <w:tabs>
          <w:tab w:leader="none" w:pos="1178" w:val="left"/>
        </w:tabs>
        <w:numPr>
          <w:ilvl w:val="0"/>
          <w:numId w:val="133"/>
        </w:numPr>
        <w:rPr>
          <w:rFonts w:ascii="Arial" w:cs="Arial" w:eastAsia="Arial" w:hAnsi="Arial"/>
          <w:sz w:val="20"/>
          <w:szCs w:val="20"/>
          <w:color w:val="auto"/>
        </w:rPr>
      </w:pPr>
      <w:r>
        <w:rPr>
          <w:rFonts w:ascii="Arial" w:cs="Arial" w:eastAsia="Arial" w:hAnsi="Arial"/>
          <w:sz w:val="20"/>
          <w:szCs w:val="20"/>
          <w:color w:val="auto"/>
        </w:rPr>
        <w:t>is a Lender or (ii) has combined capital and surplus of at least (x) $250,000,000 in the case of U.S. banks or (y) $100,000,000 in the case of non-U.S. banks, or the U.S. dollar equivalent (any such bank in the foregoing clauses (i) or (ii) being an “</w:t>
      </w:r>
      <w:r>
        <w:rPr>
          <w:rFonts w:ascii="Arial" w:cs="Arial" w:eastAsia="Arial" w:hAnsi="Arial"/>
          <w:sz w:val="20"/>
          <w:szCs w:val="20"/>
          <w:u w:val="single" w:color="auto"/>
          <w:color w:val="auto"/>
        </w:rPr>
        <w:t>Approved Bank</w:t>
      </w:r>
      <w:r>
        <w:rPr>
          <w:rFonts w:ascii="Arial" w:cs="Arial" w:eastAsia="Arial" w:hAnsi="Arial"/>
          <w:sz w:val="20"/>
          <w:szCs w:val="20"/>
          <w:color w:val="auto"/>
        </w:rPr>
        <w:t>”), in each case with average maturities of not more than 12 months from the date of acquisition thereof;</w:t>
      </w:r>
    </w:p>
    <w:p>
      <w:pPr>
        <w:spacing w:after="0" w:line="223" w:lineRule="exact"/>
        <w:rPr>
          <w:rFonts w:ascii="Arial" w:cs="Arial" w:eastAsia="Arial" w:hAnsi="Arial"/>
          <w:sz w:val="20"/>
          <w:szCs w:val="20"/>
          <w:color w:val="auto"/>
        </w:rPr>
      </w:pPr>
    </w:p>
    <w:p>
      <w:pPr>
        <w:jc w:val="both"/>
        <w:ind w:left="900" w:firstLine="739"/>
        <w:spacing w:after="0" w:line="246" w:lineRule="auto"/>
        <w:tabs>
          <w:tab w:leader="none" w:pos="2326" w:val="left"/>
        </w:tabs>
        <w:numPr>
          <w:ilvl w:val="1"/>
          <w:numId w:val="133"/>
        </w:numPr>
        <w:rPr>
          <w:rFonts w:ascii="Arial" w:cs="Arial" w:eastAsia="Arial" w:hAnsi="Arial"/>
          <w:sz w:val="20"/>
          <w:szCs w:val="20"/>
          <w:color w:val="auto"/>
        </w:rPr>
      </w:pPr>
      <w:r>
        <w:rPr>
          <w:rFonts w:ascii="Arial" w:cs="Arial" w:eastAsia="Arial" w:hAnsi="Arial"/>
          <w:sz w:val="20"/>
          <w:szCs w:val="20"/>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203" w:lineRule="exact"/>
        <w:rPr>
          <w:rFonts w:ascii="Arial" w:cs="Arial" w:eastAsia="Arial" w:hAnsi="Arial"/>
          <w:sz w:val="20"/>
          <w:szCs w:val="20"/>
          <w:color w:val="auto"/>
        </w:rPr>
      </w:pPr>
    </w:p>
    <w:p>
      <w:pPr>
        <w:jc w:val="both"/>
        <w:ind w:left="900" w:firstLine="739"/>
        <w:spacing w:after="0" w:line="256" w:lineRule="auto"/>
        <w:tabs>
          <w:tab w:leader="none" w:pos="2326" w:val="left"/>
        </w:tabs>
        <w:numPr>
          <w:ilvl w:val="1"/>
          <w:numId w:val="133"/>
        </w:numPr>
        <w:rPr>
          <w:rFonts w:ascii="Arial" w:cs="Arial" w:eastAsia="Arial" w:hAnsi="Arial"/>
          <w:sz w:val="19"/>
          <w:szCs w:val="19"/>
          <w:color w:val="auto"/>
        </w:rPr>
      </w:pPr>
      <w:r>
        <w:rPr>
          <w:rFonts w:ascii="Arial" w:cs="Arial" w:eastAsia="Arial" w:hAnsi="Arial"/>
          <w:sz w:val="19"/>
          <w:szCs w:val="19"/>
          <w:color w:val="auto"/>
        </w:rPr>
        <w:t>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 (i) the United States, (ii) Canada, (iii) Switzerland, (iv) United Kingdom, or (v) any member state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spacing w:after="0" w:line="212" w:lineRule="exact"/>
        <w:rPr>
          <w:rFonts w:ascii="Arial" w:cs="Arial" w:eastAsia="Arial" w:hAnsi="Arial"/>
          <w:sz w:val="19"/>
          <w:szCs w:val="19"/>
          <w:color w:val="auto"/>
        </w:rPr>
      </w:pPr>
    </w:p>
    <w:p>
      <w:pPr>
        <w:jc w:val="both"/>
        <w:ind w:left="900" w:firstLine="739"/>
        <w:spacing w:after="0" w:line="246" w:lineRule="auto"/>
        <w:tabs>
          <w:tab w:leader="none" w:pos="2326" w:val="left"/>
        </w:tabs>
        <w:numPr>
          <w:ilvl w:val="1"/>
          <w:numId w:val="133"/>
        </w:numPr>
        <w:rPr>
          <w:rFonts w:ascii="Arial" w:cs="Arial" w:eastAsia="Arial" w:hAnsi="Arial"/>
          <w:sz w:val="20"/>
          <w:szCs w:val="20"/>
          <w:color w:val="auto"/>
        </w:rPr>
      </w:pPr>
      <w:r>
        <w:rPr>
          <w:rFonts w:ascii="Arial" w:cs="Arial" w:eastAsia="Arial" w:hAnsi="Arial"/>
          <w:sz w:val="20"/>
          <w:szCs w:val="20"/>
          <w:color w:val="auto"/>
        </w:rPr>
        <w:t>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spacing w:after="0" w:line="203" w:lineRule="exact"/>
        <w:rPr>
          <w:rFonts w:ascii="Arial" w:cs="Arial" w:eastAsia="Arial" w:hAnsi="Arial"/>
          <w:sz w:val="20"/>
          <w:szCs w:val="20"/>
          <w:color w:val="auto"/>
        </w:rPr>
      </w:pPr>
    </w:p>
    <w:p>
      <w:pPr>
        <w:jc w:val="both"/>
        <w:ind w:left="900" w:firstLine="739"/>
        <w:spacing w:after="0" w:line="263" w:lineRule="auto"/>
        <w:tabs>
          <w:tab w:leader="none" w:pos="2326" w:val="left"/>
        </w:tabs>
        <w:numPr>
          <w:ilvl w:val="1"/>
          <w:numId w:val="133"/>
        </w:numPr>
        <w:rPr>
          <w:rFonts w:ascii="Arial" w:cs="Arial" w:eastAsia="Arial" w:hAnsi="Arial"/>
          <w:sz w:val="19"/>
          <w:szCs w:val="19"/>
          <w:color w:val="auto"/>
        </w:rPr>
      </w:pPr>
      <w:r>
        <w:rPr>
          <w:rFonts w:ascii="Arial" w:cs="Arial" w:eastAsia="Arial" w:hAnsi="Arial"/>
          <w:sz w:val="19"/>
          <w:szCs w:val="19"/>
          <w:color w:val="auto"/>
        </w:rPr>
        <w:t>securities with average maturities of 12 months or less from the date of acquisition issued or fully guaranteed by any state, commonwealth or territory of the United States, Canada, Switzerland, United Kingdom, a member of the European Union or by any political subdivision or taxing authority of any such state, member, commonwealth or territory having an investment grade rating from either S&amp;P or Moody’s (or the equivalent thereof);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25" w:right="499" w:bottom="1440" w:gutter="0" w:footer="0" w:header="0"/>
        </w:sectPr>
      </w:pPr>
    </w:p>
    <w:bookmarkStart w:id="210" w:name="page211"/>
    <w:bookmarkEnd w:id="210"/>
    <w:p>
      <w:pPr>
        <w:ind w:left="900" w:firstLine="739"/>
        <w:spacing w:after="0" w:line="286" w:lineRule="auto"/>
        <w:tabs>
          <w:tab w:leader="none" w:pos="232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investments with average maturities of 12 months or less from the date of acquisition in mutual funds rated AAA- (or the equivalent thereof) or better by S&amp;P or Aaa3 (or the equivalent thereof) or better by Moody’s;</w:t>
      </w:r>
    </w:p>
    <w:p>
      <w:pPr>
        <w:spacing w:after="0" w:line="166" w:lineRule="exact"/>
        <w:rPr>
          <w:rFonts w:ascii="Arial" w:cs="Arial" w:eastAsia="Arial" w:hAnsi="Arial"/>
          <w:sz w:val="19"/>
          <w:szCs w:val="19"/>
          <w:color w:val="auto"/>
        </w:rPr>
      </w:pPr>
    </w:p>
    <w:p>
      <w:pPr>
        <w:jc w:val="both"/>
        <w:ind w:left="900" w:firstLine="739"/>
        <w:spacing w:after="0" w:line="263" w:lineRule="auto"/>
        <w:tabs>
          <w:tab w:leader="none" w:pos="232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or incorporated in such jurisdiction;</w:t>
      </w:r>
    </w:p>
    <w:p>
      <w:pPr>
        <w:spacing w:after="0" w:line="201" w:lineRule="exact"/>
        <w:rPr>
          <w:rFonts w:ascii="Arial" w:cs="Arial" w:eastAsia="Arial" w:hAnsi="Arial"/>
          <w:sz w:val="19"/>
          <w:szCs w:val="19"/>
          <w:color w:val="auto"/>
        </w:rPr>
      </w:pPr>
    </w:p>
    <w:p>
      <w:pPr>
        <w:jc w:val="both"/>
        <w:ind w:left="900" w:right="20" w:firstLine="739"/>
        <w:spacing w:after="0" w:line="244" w:lineRule="auto"/>
        <w:tabs>
          <w:tab w:leader="none" w:pos="2326"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investments, classified in accordance with GAAP as current assets of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w:t>
      </w:r>
    </w:p>
    <w:p>
      <w:pPr>
        <w:spacing w:after="0" w:line="206" w:lineRule="exact"/>
        <w:rPr>
          <w:rFonts w:ascii="Arial" w:cs="Arial" w:eastAsia="Arial" w:hAnsi="Arial"/>
          <w:sz w:val="20"/>
          <w:szCs w:val="20"/>
          <w:color w:val="auto"/>
        </w:rPr>
      </w:pPr>
    </w:p>
    <w:p>
      <w:pPr>
        <w:jc w:val="both"/>
        <w:ind w:left="900" w:firstLine="739"/>
        <w:spacing w:after="0" w:line="271" w:lineRule="auto"/>
        <w:tabs>
          <w:tab w:leader="none" w:pos="232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with respect to Holdings or any Foreign Subsidiary: (i) obligations of the national government of the country in which Holdings or such Subsidiary maintains its chief executive office and principal place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8"/>
          <w:szCs w:val="18"/>
          <w:u w:val="single" w:color="auto"/>
          <w:color w:val="auto"/>
        </w:rPr>
        <w:t>Approved Foreign Bank</w:t>
      </w:r>
      <w:r>
        <w:rPr>
          <w:rFonts w:ascii="Arial" w:cs="Arial" w:eastAsia="Arial" w:hAnsi="Arial"/>
          <w:sz w:val="18"/>
          <w:szCs w:val="18"/>
          <w:color w:val="auto"/>
        </w:rPr>
        <w:t>”), and in each case with maturities of not more than 24 months from the date of acquisition and (iii) the equivalent of demand deposit accounts which are maintained with an Approved Foreign Bank; and</w:t>
      </w:r>
    </w:p>
    <w:p>
      <w:pPr>
        <w:spacing w:after="0" w:line="184" w:lineRule="exact"/>
        <w:rPr>
          <w:rFonts w:ascii="Arial" w:cs="Arial" w:eastAsia="Arial" w:hAnsi="Arial"/>
          <w:sz w:val="18"/>
          <w:szCs w:val="18"/>
          <w:color w:val="auto"/>
        </w:rPr>
      </w:pPr>
    </w:p>
    <w:p>
      <w:pPr>
        <w:ind w:left="900" w:right="20" w:firstLine="739"/>
        <w:spacing w:after="0" w:line="260" w:lineRule="auto"/>
        <w:tabs>
          <w:tab w:leader="none" w:pos="2326"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investment funds investing at least 90% of their assets in securities of the types described in clauses (a) through (k) above.</w:t>
      </w:r>
    </w:p>
    <w:p>
      <w:pPr>
        <w:spacing w:after="0" w:line="203" w:lineRule="exact"/>
        <w:rPr>
          <w:sz w:val="20"/>
          <w:szCs w:val="20"/>
          <w:color w:val="auto"/>
        </w:rPr>
      </w:pPr>
    </w:p>
    <w:p>
      <w:pPr>
        <w:jc w:val="both"/>
        <w:ind w:right="40" w:firstLine="149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Junior Priority Refinancing Debt</w:t>
      </w:r>
      <w:r>
        <w:rPr>
          <w:rFonts w:ascii="Arial" w:cs="Arial" w:eastAsia="Arial" w:hAnsi="Arial"/>
          <w:sz w:val="18"/>
          <w:szCs w:val="18"/>
          <w:color w:val="auto"/>
        </w:rPr>
        <w:t xml:space="preserve">” means any secured Indebtedness incurred by the Borrower and/or any Subsidiary Loan Party (and any Guarantee thereof by Holdings) in the form of one or more series of junior lien secured notes or junior lien secured loans (or revolving commitments in respect thereof, with revolving commitments deemed to be loans in the full amount of such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secured by the Collateral on a junior lien basis to the Initial Term Loans and/or Initial Revolving Commitments and the obligations in respect of any Permitted First Priority Refinancing Debt, (ii) such Indebtedness constitutes Credit Agreement Refinancing Indebtedness or a Permitted Refinancing of Incremental Equivalent Debt, (iii) such Indebtedness does not have mandatory redemption features (other than customary asset sale, insurance and condemnation proceeds events, change of control offers, AHYDO catch up payments, offers upon an event of default or excess cash flow payments (subject to the prior payment of the Loan Document Obligations or the prior offer thereof to prepay the Loan Document Obligations)) that could result in redemptions of such Indebtedness prior to the maturity of the Refinanced Debt, (iv) such Indebtedness is not guaranteed by any entity that is not a Loan Party and (v) a Senior Representative acting on behalf of the holders of such Indebtedness shall have become party to the Junior Intercreditor Agreement,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the initial of any Incremental Facility, Incremental Equivalent Debt, other Indebtedness secured by the Collateral on a junior basis or Permitted Junior Priority Refinancing Debt incurred by the Borrower, then the Borrower, the other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25" w:right="499" w:bottom="1440" w:gutter="0" w:footer="0" w:header="0"/>
        </w:sectPr>
      </w:pPr>
    </w:p>
    <w:bookmarkStart w:id="211" w:name="page212"/>
    <w:bookmarkEnd w:id="211"/>
    <w:p>
      <w:pPr>
        <w:jc w:val="both"/>
        <w:ind w:right="20"/>
        <w:spacing w:after="0" w:line="250" w:lineRule="auto"/>
        <w:rPr>
          <w:sz w:val="20"/>
          <w:szCs w:val="20"/>
          <w:color w:val="auto"/>
        </w:rPr>
      </w:pPr>
      <w:r>
        <w:rPr>
          <w:rFonts w:ascii="Arial" w:cs="Arial" w:eastAsia="Arial" w:hAnsi="Arial"/>
          <w:sz w:val="20"/>
          <w:szCs w:val="20"/>
          <w:color w:val="auto"/>
        </w:rPr>
        <w:t>Loan Parties, the Administrative Agent and the Senior Representatives for such Indebtedness shall have executed and delivered the Junior Intercreditor Agreement, as applicable. Permitted Junior Priority Refinancing Debt will include any Registered Equivalent Notes issued in exchange therefor.</w:t>
      </w:r>
    </w:p>
    <w:p>
      <w:pPr>
        <w:spacing w:after="0" w:line="199" w:lineRule="exact"/>
        <w:rPr>
          <w:sz w:val="20"/>
          <w:szCs w:val="20"/>
          <w:color w:val="auto"/>
        </w:rPr>
      </w:pPr>
    </w:p>
    <w:p>
      <w:pPr>
        <w:jc w:val="both"/>
        <w:ind w:firstLine="149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means, with respect to any Person, any modification, refinancing, refunding, renewal or extension of any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(including original issue discount and fees incurred in connection with the resulting Indebtedness) and expenses incurred, in connection with such modification, refinancing, refunding, renewal or extension and by an amount equal to any existing commitments unutilized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6.01, (b) other than with respect to a Permitted Refinancing in respect of Indebtedness permitted pursuant to Section 6.01(a)(v), (a)(vii) or (a)(viii) (or except in the case of Extendable Bridge Loans), Indebtedness resulting from such modification, refinancing, refunding, renewal or extension has a final maturity date equal to or later than the final maturity date of, and (except in the case of Revolving Commitments) has a Weighted Average Life to Maturity equal to or greater than the Weighted Average Life to Maturity of, the Indebtedness being modified, refinanced, refunded, renewed or extended and (c) if the Indebtedness being modified, refinanced, refunded, renewed or extended is subordinated in right of payment to the Loan Document Obligations, Indebtedness resulting from such modification, refinancing, refunding, renewal or extension is subordinated in right of payment to the Loan Document Obligations on terms (taken as a whole) at least as favorable to the Lenders as those contained in the documentation governing the Indebtedness being modified, refinanced, refunded, renewed or extended (as determined by the Borrower in good faith) or otherwise reasonably satisfactory to the Administrative Agent. For the avoidance of doubt, it is understood and agreed that (x) notwithstanding anything in this Agreement to the contrary, in the case of any Indebtedness incurred to modify, refinance, refund,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includes successive Permitted Refinancings of the same Indebtedness.</w:t>
      </w:r>
    </w:p>
    <w:p>
      <w:pPr>
        <w:spacing w:after="0" w:line="203" w:lineRule="exact"/>
        <w:rPr>
          <w:sz w:val="20"/>
          <w:szCs w:val="20"/>
          <w:color w:val="auto"/>
        </w:rPr>
      </w:pPr>
    </w:p>
    <w:p>
      <w:pPr>
        <w:jc w:val="both"/>
        <w:ind w:right="40" w:firstLine="149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Reorganization</w:t>
      </w:r>
      <w:r>
        <w:rPr>
          <w:rFonts w:ascii="Arial" w:cs="Arial" w:eastAsia="Arial" w:hAnsi="Arial"/>
          <w:sz w:val="18"/>
          <w:szCs w:val="18"/>
          <w:color w:val="auto"/>
        </w:rPr>
        <w:t>” means any re-organization or other similar activities among Holdings, the Borrower and the Restricted Subsidiaries related to Tax planning and re-organization, so long as, after giving effect thereto, (a) the Loan Parties are in compliance with the Collateral and Guarantee Requirement and Sections 5.11, (b) taken as a whole, the value of the Collateral securing the Secured Obligations and the Guarantees by the Guarantors of the Secured Obligations are not materially reduced and (c) the Liens in favor of the Administrative Agent for the benefit of the Secured Parties under the Security Documents are not materially impaired.</w:t>
      </w:r>
    </w:p>
    <w:p>
      <w:pPr>
        <w:spacing w:after="0" w:line="177" w:lineRule="exact"/>
        <w:rPr>
          <w:sz w:val="20"/>
          <w:szCs w:val="20"/>
          <w:color w:val="auto"/>
        </w:rPr>
      </w:pPr>
    </w:p>
    <w:p>
      <w:pPr>
        <w:jc w:val="both"/>
        <w:ind w:right="20" w:firstLine="149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Unsecured Refinancing Debt</w:t>
      </w:r>
      <w:r>
        <w:rPr>
          <w:rFonts w:ascii="Arial" w:cs="Arial" w:eastAsia="Arial" w:hAnsi="Arial"/>
          <w:sz w:val="19"/>
          <w:szCs w:val="19"/>
          <w:color w:val="auto"/>
        </w:rPr>
        <w:t xml:space="preserve">” means any unsecured Indebtedness incurred by the Borrower and/or any Loan Party in the form of one or more series of unsecured notes or unsecured loans (or revolving commitments in respect thereof, with revolving commitments deemed to be loans in the full amount of such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constitutes Credit Agreement Refinancing Indebtedness or a Permitted Refinancing of Incremental Equivalent Debt, (ii) such Indebtedness does not have mandatory redemption features (other than customary asset sale, insurance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212" w:name="page213"/>
    <w:bookmarkEnd w:id="212"/>
    <w:p>
      <w:pPr>
        <w:jc w:val="both"/>
        <w:spacing w:after="0" w:line="244" w:lineRule="auto"/>
        <w:rPr>
          <w:sz w:val="20"/>
          <w:szCs w:val="20"/>
          <w:color w:val="auto"/>
        </w:rPr>
      </w:pPr>
      <w:r>
        <w:rPr>
          <w:rFonts w:ascii="Arial" w:cs="Arial" w:eastAsia="Arial" w:hAnsi="Arial"/>
          <w:sz w:val="20"/>
          <w:szCs w:val="20"/>
          <w:color w:val="auto"/>
        </w:rPr>
        <w:t>condemnation proceeds events, change of control offers, AHYDO catch up payments or offers upon an event of default) that could result in redemptions of such Indebtedness prior to the maturity of the Refinanced Debt, (iii) such Indebtedness is not guaranteed by any entity that is not a Loan Party, and (iv) such Indebtedness is not secured by any Lien on any property or assets of Holdings, the Borrower or any Restricted Subsidiary. Permitted Unsecured Refinancing Debt will include any Registered Equivalent Notes issued in exchange therefor.</w:t>
      </w:r>
    </w:p>
    <w:p>
      <w:pPr>
        <w:spacing w:after="0" w:line="207" w:lineRule="exact"/>
        <w:rPr>
          <w:sz w:val="20"/>
          <w:szCs w:val="20"/>
          <w:color w:val="auto"/>
        </w:rPr>
      </w:pPr>
    </w:p>
    <w:p>
      <w:pPr>
        <w:ind w:right="4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or unlimited liability company, trust, joint venture, association, company, partnership, Governmental Authority or other entity.</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Planned Expenditures</w:t>
      </w:r>
      <w:r>
        <w:rPr>
          <w:rFonts w:ascii="Arial" w:cs="Arial" w:eastAsia="Arial" w:hAnsi="Arial"/>
          <w:sz w:val="18"/>
          <w:szCs w:val="18"/>
          <w:color w:val="auto"/>
        </w:rPr>
        <w:t>” has the meaning assigned to such term in clause (b) of the definition of “Excess Cash Flow”.</w:t>
      </w:r>
    </w:p>
    <w:p>
      <w:pPr>
        <w:spacing w:after="0" w:line="25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has the meaning assigned to such term in Section 5.01. “</w:t>
      </w:r>
      <w:r>
        <w:rPr>
          <w:rFonts w:ascii="Arial" w:cs="Arial" w:eastAsia="Arial" w:hAnsi="Arial"/>
          <w:sz w:val="20"/>
          <w:szCs w:val="20"/>
          <w:u w:val="single" w:color="auto"/>
          <w:color w:val="auto"/>
        </w:rPr>
        <w:t>Prepayment Event</w:t>
      </w:r>
      <w:r>
        <w:rPr>
          <w:rFonts w:ascii="Arial" w:cs="Arial" w:eastAsia="Arial" w:hAnsi="Arial"/>
          <w:sz w:val="20"/>
          <w:szCs w:val="20"/>
          <w:color w:val="auto"/>
        </w:rPr>
        <w:t>” means:</w:t>
      </w:r>
    </w:p>
    <w:p>
      <w:pPr>
        <w:spacing w:after="0" w:line="15" w:lineRule="exact"/>
        <w:rPr>
          <w:sz w:val="20"/>
          <w:szCs w:val="20"/>
          <w:color w:val="auto"/>
        </w:rPr>
      </w:pPr>
    </w:p>
    <w:p>
      <w:pPr>
        <w:jc w:val="both"/>
        <w:ind w:left="900" w:right="20" w:firstLine="739"/>
        <w:spacing w:after="0"/>
        <w:tabs>
          <w:tab w:leader="none" w:pos="2371"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 any non-ordinary course sale, transfer or other disposition of any property or asset of Holdings or any of its Restricted Subsidiaries permitted by Section 6.05(k) or 6.05(n) other than dispositions resulting in aggregate Net Proceeds not exceeding $15,000,000 in the case of any single transaction or series of related transactions and (ii) any Casualty Event; or</w:t>
      </w:r>
    </w:p>
    <w:p>
      <w:pPr>
        <w:spacing w:after="0" w:line="210" w:lineRule="exact"/>
        <w:rPr>
          <w:rFonts w:ascii="Arial" w:cs="Arial" w:eastAsia="Arial" w:hAnsi="Arial"/>
          <w:sz w:val="20"/>
          <w:szCs w:val="20"/>
          <w:color w:val="auto"/>
        </w:rPr>
      </w:pPr>
    </w:p>
    <w:p>
      <w:pPr>
        <w:jc w:val="both"/>
        <w:ind w:left="900" w:right="20" w:firstLine="739"/>
        <w:spacing w:after="0" w:line="269" w:lineRule="auto"/>
        <w:tabs>
          <w:tab w:leader="none" w:pos="2371"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incurrence by the Borrower or any of its Restricted Subsidiaries of any Indebtedness, other than Indebtedness (i) permitted under Section 6.01 (except for Credit Agreement Refinancing Indebtedness, the incurrence of which shall constitute a Prepayment Event) or (ii) permitted by the Required Lenders pursuant to Section 9.02.</w:t>
      </w:r>
    </w:p>
    <w:p>
      <w:pPr>
        <w:spacing w:after="0" w:line="196" w:lineRule="exact"/>
        <w:rPr>
          <w:sz w:val="20"/>
          <w:szCs w:val="20"/>
          <w:color w:val="auto"/>
        </w:rPr>
      </w:pPr>
    </w:p>
    <w:p>
      <w:pPr>
        <w:jc w:val="both"/>
        <w:ind w:right="20" w:firstLine="149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rate of interest last quoted by The Wall Street Journal as the “Prime Rate” in the U.S. for such day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The Prime Rate is a reference rate and does not necessarily represent the lowest or best rate actually charged to any customer. Each change in the Prime Rate shall be effective from and including the date change is publicly announced as being effective.</w:t>
      </w:r>
    </w:p>
    <w:p>
      <w:pPr>
        <w:spacing w:after="0" w:line="196" w:lineRule="exact"/>
        <w:rPr>
          <w:sz w:val="20"/>
          <w:szCs w:val="20"/>
          <w:color w:val="auto"/>
        </w:rPr>
      </w:pPr>
    </w:p>
    <w:p>
      <w:pPr>
        <w:jc w:val="both"/>
        <w:ind w:firstLine="149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Adjustment</w:t>
      </w:r>
      <w:r>
        <w:rPr>
          <w:rFonts w:ascii="Arial" w:cs="Arial" w:eastAsia="Arial" w:hAnsi="Arial"/>
          <w:sz w:val="19"/>
          <w:szCs w:val="19"/>
          <w:color w:val="auto"/>
        </w:rPr>
        <w:t xml:space="preserve">” means, for any Test Period with respect to the Acquired EBITDA of the applicable Pro Forma Entity or the Consolidated EBITDA of Holdings, the pro forma increase in such Acquired EBITDA or such Consolidated EBITDA, as the case may be, projected by the Borrower in good faith to be reasonably anticipated to be realizable from actions taken or expected to be taken within twenty-four (24) months following any applicable acquisition (including the Transactions), Specified Transactions, dispositions, operational change or initiative as a result of actions taken or expected to be taken (including the effect of increased pricing in customer contracts) or a plan for realization shall have been established, for the purposes of realizing cost savings, operating expense reductions or other operating improvements and synergies;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calculation shall be made on a Pro Forma Basis as though such cost savings, operating expense reduction, other operating improvements and synergies (on a “run rate” basis) had been realized on the first day of such period and, for purposes of projecting such pro forma increase to such Acquired EBITDA or such Consolidated EBITDA, as the case may be, such calculation shall be made on a Pro Forma Basis as though such cost savings, operating expense reductions, other operating improvements and “run rate” synergies had been realized commencing on the first day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213" w:name="page214"/>
    <w:bookmarkEnd w:id="213"/>
    <w:p>
      <w:pPr>
        <w:jc w:val="both"/>
        <w:ind w:right="40"/>
        <w:spacing w:after="0" w:line="278" w:lineRule="auto"/>
        <w:rPr>
          <w:sz w:val="20"/>
          <w:szCs w:val="20"/>
          <w:color w:val="auto"/>
        </w:rPr>
      </w:pPr>
      <w:r>
        <w:rPr>
          <w:rFonts w:ascii="Arial" w:cs="Arial" w:eastAsia="Arial" w:hAnsi="Arial"/>
          <w:sz w:val="18"/>
          <w:szCs w:val="18"/>
          <w:color w:val="auto"/>
        </w:rPr>
        <w:t>such period and that such cost savings, operating expense reductions, other operating improvements and synergies were realized on a “run rate” basis during the entirety of such Test Period and (B) any such pro forma increase or decrease to such Acquired EBITDA or such Consolidated EBITDA, as the case may be, shall be without duplication for cost savings, operating expense reductions, other operating improvements and synergies or additional costs already included in such Acquired EBITDA or such Consolidated EBITDA, as the case may be, for such Test Period and, for the avoidance of doubt, shall not be required to comply with Regulation S-X.</w:t>
      </w:r>
    </w:p>
    <w:p>
      <w:pPr>
        <w:spacing w:after="0" w:line="178" w:lineRule="exact"/>
        <w:rPr>
          <w:sz w:val="20"/>
          <w:szCs w:val="20"/>
          <w:color w:val="auto"/>
        </w:rPr>
      </w:pPr>
    </w:p>
    <w:p>
      <w:pPr>
        <w:jc w:val="both"/>
        <w:ind w:right="40" w:firstLine="1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w:t>
      </w:r>
      <w:r>
        <w:rPr>
          <w:rFonts w:ascii="Arial" w:cs="Arial" w:eastAsia="Arial" w:hAnsi="Arial"/>
          <w:sz w:val="18"/>
          <w:szCs w:val="18"/>
          <w:u w:val="single" w:color="auto"/>
          <w:color w:val="auto"/>
        </w:rPr>
        <w:t>Pro Forma Compliance</w:t>
      </w:r>
      <w:r>
        <w:rPr>
          <w:rFonts w:ascii="Arial" w:cs="Arial" w:eastAsia="Arial" w:hAnsi="Arial"/>
          <w:sz w:val="18"/>
          <w:szCs w:val="18"/>
          <w:color w:val="auto"/>
        </w:rPr>
        <w:t>” and “</w:t>
      </w:r>
      <w:r>
        <w:rPr>
          <w:rFonts w:ascii="Arial" w:cs="Arial" w:eastAsia="Arial" w:hAnsi="Arial"/>
          <w:sz w:val="18"/>
          <w:szCs w:val="18"/>
          <w:u w:val="single" w:color="auto"/>
          <w:color w:val="auto"/>
        </w:rPr>
        <w:t>Pro Forma Effect</w:t>
      </w:r>
      <w:r>
        <w:rPr>
          <w:rFonts w:ascii="Arial" w:cs="Arial" w:eastAsia="Arial" w:hAnsi="Arial"/>
          <w:sz w:val="18"/>
          <w:szCs w:val="18"/>
          <w:color w:val="auto"/>
        </w:rPr>
        <w:t xml:space="preserve">” mean, with respect to compliance with any test, financial ratio or covenant hereunder required by the terms of this Agreement to be made on a Pro Forma Basis or after giving Pro Forma Effect thereto, that (a) to the extent applicable, the Pro Forma Adjustment and the Pro Forma Disposal Adjustment shall have been made and (b) the Transactions, all Specified Transactions, operational changes or initiatives described in the definition of “Pro Forma Adjustment” or “Consolidated EBITDA”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Transaction, Specified Transaction, operational change or initiative (A) in the case of a Disposition of all or substantially all Equity Interests in any subsidiary of the Borrower or any division, product 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the Borrower or any of their respective Subsidiaries and (z) factually supportable or (ii) otherwise consistent with the definition of Pro Forma Adjustment.</w:t>
      </w:r>
    </w:p>
    <w:p>
      <w:pPr>
        <w:spacing w:after="0" w:line="203" w:lineRule="exact"/>
        <w:rPr>
          <w:sz w:val="20"/>
          <w:szCs w:val="20"/>
          <w:color w:val="auto"/>
        </w:rPr>
      </w:pPr>
    </w:p>
    <w:p>
      <w:pPr>
        <w:jc w:val="both"/>
        <w:ind w:firstLine="1499"/>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Disposal Adjustment</w:t>
      </w:r>
      <w:r>
        <w:rPr>
          <w:rFonts w:ascii="Arial" w:cs="Arial" w:eastAsia="Arial" w:hAnsi="Arial"/>
          <w:sz w:val="20"/>
          <w:szCs w:val="20"/>
          <w:color w:val="auto"/>
        </w:rPr>
        <w:t>” means, for any Test Period with respect to any Sold Entity or Business, the pro forma increase or decrease in Consolidated EBITDA projected by the Borrower in good faith to be realizable within twenty-four (24) months following the date the applicable Person, property, business, line of business, division, business unit or asset becomes a Sold Entity or Business as a result of contractual arrangements between the Borrower or any Restricted Subsidiary entered into with such Sold Entity or Business at the time of its disposal which represent an increase or decrease in Consolidated EBITDA which is incremental to the Disposed EBITDA of such Sold Entity or Business for the most recent Test Period prior to its disposal. Any such pro forma increase or decrease in Consolidated EBITDA shall be certified by a Financial Officer, the chief executive officer or president of the Borrower in the Compliance Certificate.</w:t>
      </w:r>
    </w:p>
    <w:p>
      <w:pPr>
        <w:spacing w:after="0" w:line="20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Entity</w:t>
      </w:r>
      <w:r>
        <w:rPr>
          <w:rFonts w:ascii="Arial" w:cs="Arial" w:eastAsia="Arial" w:hAnsi="Arial"/>
          <w:sz w:val="20"/>
          <w:szCs w:val="20"/>
          <w:color w:val="auto"/>
        </w:rPr>
        <w:t>” has the meaning given to such term in the definition of “Acquired EBITDA.”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14" w:name="page215"/>
    <w:bookmarkEnd w:id="214"/>
    <w:p>
      <w:pPr>
        <w:jc w:val="both"/>
        <w:ind w:right="20" w:firstLine="149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Financial Statements</w:t>
      </w:r>
      <w:r>
        <w:rPr>
          <w:rFonts w:ascii="Arial" w:cs="Arial" w:eastAsia="Arial" w:hAnsi="Arial"/>
          <w:sz w:val="18"/>
          <w:szCs w:val="18"/>
          <w:color w:val="auto"/>
        </w:rPr>
        <w:t>” means the unaudited consolidated pro forma balance sheet of Holdings and its Subsidiaries as of December 31, 2020, and the related unaudited pro forma consolidated statement of income of the Borrower and its Subsidiaries as of and for the twelve-month period then ended, prepared after giving effect to the Transactions (and which may exclude, at the Borrower’s option, the impact of purchase accounting effects required by GAAP) as if the Transactions had occurred as of such date (in the case of such balance sheet) or at the beginning of such period (in the case of such statement of income) and any other adjustments as agreed by Holdings and the Joint Lead Arrangers (which need not be prepared in compliance with Regulations S-X of the Securities Act of 1933, as amended, or (at the option of the Borrower) include adjustments for purchase accounting).</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Proposed Change</w:t>
      </w:r>
      <w:r>
        <w:rPr>
          <w:rFonts w:ascii="Arial" w:cs="Arial" w:eastAsia="Arial" w:hAnsi="Arial"/>
          <w:sz w:val="20"/>
          <w:szCs w:val="20"/>
          <w:color w:val="auto"/>
        </w:rPr>
        <w:t>” has the meaning assigned to such term in Section 9.02(c).</w:t>
      </w:r>
    </w:p>
    <w:p>
      <w:pPr>
        <w:spacing w:after="0" w:line="242" w:lineRule="exact"/>
        <w:rPr>
          <w:sz w:val="20"/>
          <w:szCs w:val="20"/>
          <w:color w:val="auto"/>
        </w:rPr>
      </w:pPr>
    </w:p>
    <w:p>
      <w:pPr>
        <w:ind w:right="6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203" w:lineRule="exact"/>
        <w:rPr>
          <w:sz w:val="20"/>
          <w:szCs w:val="20"/>
          <w:color w:val="auto"/>
        </w:rPr>
      </w:pPr>
    </w:p>
    <w:p>
      <w:pPr>
        <w:jc w:val="both"/>
        <w:ind w:firstLine="149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Company Costs</w:t>
      </w:r>
      <w:r>
        <w:rPr>
          <w:rFonts w:ascii="Arial" w:cs="Arial" w:eastAsia="Arial" w:hAnsi="Arial"/>
          <w:sz w:val="19"/>
          <w:szCs w:val="19"/>
          <w:color w:val="auto"/>
        </w:rPr>
        <w:t>” means the costs relating to establishing compliance with the Sarbanes-Oxley Act of 2002, as amended, and other expenses arising out of or incidental to the Borrower’s or its Restricted Subsidiaries’ establishment of compliance with the obligations of a reporting company, including costs, fees and expenses (including legal, accounting and other professional fees) relating to compliance with provisions of the Securities Act and the Exchange Act.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has the meaning assigned to such term in Section 5.01.</w:t>
      </w:r>
    </w:p>
    <w:p>
      <w:pPr>
        <w:spacing w:after="0" w:line="242" w:lineRule="exact"/>
        <w:rPr>
          <w:sz w:val="20"/>
          <w:szCs w:val="20"/>
          <w:color w:val="auto"/>
        </w:rPr>
      </w:pPr>
    </w:p>
    <w:p>
      <w:pPr>
        <w:ind w:right="10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has the meaning set forth in Section 9.22.</w:t>
      </w:r>
    </w:p>
    <w:p>
      <w:pPr>
        <w:spacing w:after="0" w:line="24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Equity Interests</w:t>
      </w:r>
      <w:r>
        <w:rPr>
          <w:rFonts w:ascii="Arial" w:cs="Arial" w:eastAsia="Arial" w:hAnsi="Arial"/>
          <w:sz w:val="19"/>
          <w:szCs w:val="19"/>
          <w:color w:val="auto"/>
        </w:rPr>
        <w:t>” means Equity Interests of Holdings or the Borrower other than Disqualified Equity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Interests.</w:t>
      </w:r>
    </w:p>
    <w:p>
      <w:pPr>
        <w:spacing w:after="0" w:line="226" w:lineRule="exact"/>
        <w:rPr>
          <w:sz w:val="20"/>
          <w:szCs w:val="20"/>
          <w:color w:val="auto"/>
        </w:rPr>
      </w:pPr>
    </w:p>
    <w:p>
      <w:pPr>
        <w:jc w:val="both"/>
        <w:ind w:firstLine="149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Holding Company Debt</w:t>
      </w:r>
      <w:r>
        <w:rPr>
          <w:rFonts w:ascii="Arial" w:cs="Arial" w:eastAsia="Arial" w:hAnsi="Arial"/>
          <w:sz w:val="18"/>
          <w:szCs w:val="18"/>
          <w:color w:val="auto"/>
        </w:rPr>
        <w:t xml:space="preserve">” means Indebtedness of Holdings (A) that is not subject to any Guarantee by any Restricted Subsidiary of Holdings (other than a Subsidiary as contemplated under Section 6.03(b)(i)), (B) that has no scheduled amortization or scheduled payments of principal and is not subject to mandatory redemption, repurchase, prepayment or sinking fund obligation (it being understood that such Indebtedness may have mandatory prepayment, repurchase or redemption provisions satisfying the requirements of clause (C) below), (C) that has mandatory prepayment, repurchase or redemption, covenant, default and remedy provisions customary for senior notes (or no more restrictive than is customary) of an issuer that is the parent of a borrower under senior secured credit facilities, and in any event, with respect to covenant, default and remedy provisions, no more restrictive (taken as a whole) than those set forth in this Agreement (other than provisions customary for senior notes of a holding company, including (x) customary asset sale (including insurance proceeds), change of control provisions and customary acceleration rights after an event of default and (y) customary “AHYDO” payments) and (D) if such Indebtedness is secured, it shall only be secured by assets of any direct or indirect parent entity of Holdings and any Restricted Subsidiary of Holdings that is permitted to guarantee such Indebtedness as provided in clause (A)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shall constitute Qualified Holding Company Debt only if immediately after giving effect to the issuance or incurrence thereof and the use of proceeds thereof, no Specified Event of Default shall have occurred and be continuing.</w:t>
      </w:r>
    </w:p>
    <w:p>
      <w:pPr>
        <w:spacing w:after="0" w:line="191" w:lineRule="exact"/>
        <w:rPr>
          <w:sz w:val="20"/>
          <w:szCs w:val="20"/>
          <w:color w:val="auto"/>
        </w:rPr>
      </w:pPr>
    </w:p>
    <w:p>
      <w:pPr>
        <w:ind w:right="4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Securitization Facility</w:t>
      </w:r>
      <w:r>
        <w:rPr>
          <w:rFonts w:ascii="Arial" w:cs="Arial" w:eastAsia="Arial" w:hAnsi="Arial"/>
          <w:sz w:val="20"/>
          <w:szCs w:val="20"/>
          <w:color w:val="auto"/>
        </w:rPr>
        <w:t>” means any Securitization Facility that meets the following conditions: (a) the board of directors of the Borrower shall have determined in good faith that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215" w:name="page216"/>
    <w:bookmarkEnd w:id="215"/>
    <w:p>
      <w:pPr>
        <w:jc w:val="both"/>
        <w:ind w:right="60"/>
        <w:spacing w:after="0" w:line="269" w:lineRule="auto"/>
        <w:rPr>
          <w:sz w:val="20"/>
          <w:szCs w:val="20"/>
          <w:color w:val="auto"/>
        </w:rPr>
      </w:pPr>
      <w:r>
        <w:rPr>
          <w:rFonts w:ascii="Arial" w:cs="Arial" w:eastAsia="Arial" w:hAnsi="Arial"/>
          <w:sz w:val="19"/>
          <w:szCs w:val="19"/>
          <w:color w:val="auto"/>
        </w:rPr>
        <w:t>such Securitization Facility (including financing terms, covenants, termination events and other provisions) is in the aggregate economically fair and reasonable to the Borrower and the applicable Securitization Subsidiary and (b) the financing terms, covenants, termination events and other provisions thereof shall be market terms (as determined in good faith by the Borrower).</w:t>
      </w:r>
    </w:p>
    <w:p>
      <w:pPr>
        <w:spacing w:after="0" w:line="19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Lender</w:t>
      </w:r>
      <w:r>
        <w:rPr>
          <w:rFonts w:ascii="Arial" w:cs="Arial" w:eastAsia="Arial" w:hAnsi="Arial"/>
          <w:sz w:val="20"/>
          <w:szCs w:val="20"/>
          <w:color w:val="auto"/>
        </w:rPr>
        <w:t>” has the meaning assigned to such term in Section 2.11(a)(ii)(D)(3).</w:t>
      </w:r>
    </w:p>
    <w:p>
      <w:pPr>
        <w:spacing w:after="0" w:line="30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Ratio Incremental Amount</w:t>
      </w:r>
      <w:r>
        <w:rPr>
          <w:rFonts w:ascii="Arial" w:cs="Arial" w:eastAsia="Arial" w:hAnsi="Arial"/>
          <w:sz w:val="20"/>
          <w:szCs w:val="20"/>
          <w:color w:val="auto"/>
        </w:rPr>
        <w:t>” has the meaning set forth in the definition of “</w:t>
      </w:r>
      <w:r>
        <w:rPr>
          <w:rFonts w:ascii="Arial" w:cs="Arial" w:eastAsia="Arial" w:hAnsi="Arial"/>
          <w:sz w:val="20"/>
          <w:szCs w:val="20"/>
          <w:u w:val="single" w:color="auto"/>
          <w:color w:val="auto"/>
        </w:rPr>
        <w:t>Incremental Cap</w:t>
      </w:r>
      <w:r>
        <w:rPr>
          <w:rFonts w:ascii="Arial" w:cs="Arial" w:eastAsia="Arial" w:hAnsi="Arial"/>
          <w:sz w:val="20"/>
          <w:szCs w:val="20"/>
          <w:color w:val="auto"/>
        </w:rPr>
        <w:t>”.</w:t>
      </w:r>
    </w:p>
    <w:p>
      <w:pPr>
        <w:spacing w:after="0" w:line="32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Refinanced Debt</w:t>
      </w:r>
      <w:r>
        <w:rPr>
          <w:rFonts w:ascii="Arial" w:cs="Arial" w:eastAsia="Arial" w:hAnsi="Arial"/>
          <w:sz w:val="19"/>
          <w:szCs w:val="19"/>
          <w:color w:val="auto"/>
        </w:rPr>
        <w:t>” has the meaning assigned to such term in the definition of “Credit Agreement Refinancing</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Indebtedness.”</w:t>
      </w:r>
    </w:p>
    <w:p>
      <w:pPr>
        <w:spacing w:after="0" w:line="226" w:lineRule="exact"/>
        <w:rPr>
          <w:sz w:val="20"/>
          <w:szCs w:val="20"/>
          <w:color w:val="auto"/>
        </w:rPr>
      </w:pPr>
    </w:p>
    <w:p>
      <w:pPr>
        <w:jc w:val="both"/>
        <w:ind w:right="40"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means an amendment to this Agreement in form reasonably satisfactory to the Administrative Agent and the Borrower executed by each of (a) the Borrower and Holdings, (b) the Administrative Agent and (c) each Additional Lender and Lender that agrees to provide any portion of the Credit Agreement Refinancing Indebtedness being incurred pursuant thereto, in accordance with Section 2.21.</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assigned to such term in Section 9.04(b)(iv).</w:t>
      </w:r>
    </w:p>
    <w:p>
      <w:pPr>
        <w:spacing w:after="0" w:line="242" w:lineRule="exact"/>
        <w:rPr>
          <w:sz w:val="20"/>
          <w:szCs w:val="20"/>
          <w:color w:val="auto"/>
        </w:rPr>
      </w:pPr>
    </w:p>
    <w:p>
      <w:pPr>
        <w:jc w:val="both"/>
        <w:ind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 Equivalent Notes</w:t>
      </w:r>
      <w:r>
        <w:rPr>
          <w:rFonts w:ascii="Arial" w:cs="Arial" w:eastAsia="Arial" w:hAnsi="Arial"/>
          <w:sz w:val="20"/>
          <w:szCs w:val="20"/>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201" w:lineRule="exact"/>
        <w:rPr>
          <w:sz w:val="20"/>
          <w:szCs w:val="20"/>
          <w:color w:val="auto"/>
        </w:rPr>
      </w:pPr>
    </w:p>
    <w:p>
      <w:pPr>
        <w:jc w:val="both"/>
        <w:ind w:right="40" w:firstLine="149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Regulated Entity</w:t>
      </w:r>
      <w:r>
        <w:rPr>
          <w:rFonts w:ascii="Arial" w:cs="Arial" w:eastAsia="Arial" w:hAnsi="Arial"/>
          <w:sz w:val="18"/>
          <w:szCs w:val="18"/>
          <w:color w:val="auto"/>
        </w:rPr>
        <w:t>” means (a) any swap dealer registered with the U.S. Commodity Futures Trading Commission or security-based swap dealer registered with the U.S. Securities and Exchange Commission, as applicable; or (b) any commercial bank with a consolidated combined capital and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Directors of the Federal Deposit Insurance Corporation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2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Date</w:t>
      </w:r>
      <w:r>
        <w:rPr>
          <w:rFonts w:ascii="Arial" w:cs="Arial" w:eastAsia="Arial" w:hAnsi="Arial"/>
          <w:sz w:val="20"/>
          <w:szCs w:val="20"/>
          <w:color w:val="auto"/>
        </w:rPr>
        <w:t>” has the meaning assigned to such term in Section 2.05(f).</w:t>
      </w:r>
    </w:p>
    <w:p>
      <w:pPr>
        <w:spacing w:after="0" w:line="323" w:lineRule="exact"/>
        <w:rPr>
          <w:sz w:val="20"/>
          <w:szCs w:val="20"/>
          <w:color w:val="auto"/>
        </w:rPr>
      </w:pPr>
    </w:p>
    <w:p>
      <w:pPr>
        <w:jc w:val="both"/>
        <w:ind w:right="40"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spacing w:after="0" w:line="201" w:lineRule="exact"/>
        <w:rPr>
          <w:sz w:val="20"/>
          <w:szCs w:val="20"/>
          <w:color w:val="auto"/>
        </w:rPr>
      </w:pPr>
    </w:p>
    <w:p>
      <w:pPr>
        <w:jc w:val="both"/>
        <w:ind w:right="40" w:firstLine="149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16" w:name="page217"/>
    <w:bookmarkEnd w:id="216"/>
    <w:p>
      <w:pPr>
        <w:jc w:val="both"/>
        <w:ind w:right="20" w:firstLine="149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xml:space="preserve">” means the Federal Reserve Board </w:t>
      </w:r>
      <w:r>
        <w:rPr>
          <w:rFonts w:ascii="Arial" w:cs="Arial" w:eastAsia="Arial" w:hAnsi="Arial"/>
          <w:sz w:val="20"/>
          <w:szCs w:val="20"/>
          <w:b w:val="1"/>
          <w:bCs w:val="1"/>
          <w:color w:val="FF0000"/>
          <w:strike w:val="1"/>
        </w:rPr>
        <w:t>and/</w:t>
      </w:r>
      <w:r>
        <w:rPr>
          <w:rFonts w:ascii="Arial" w:cs="Arial" w:eastAsia="Arial" w:hAnsi="Arial"/>
          <w:sz w:val="20"/>
          <w:szCs w:val="20"/>
          <w:color w:val="auto"/>
        </w:rPr>
        <w:t xml:space="preserve">or the Federal Reserve Bank of New York, or a committee officially endorsed or convened by the Federal Reserve Board </w:t>
      </w:r>
      <w:r>
        <w:rPr>
          <w:rFonts w:ascii="Arial" w:cs="Arial" w:eastAsia="Arial" w:hAnsi="Arial"/>
          <w:sz w:val="20"/>
          <w:szCs w:val="20"/>
          <w:b w:val="1"/>
          <w:bCs w:val="1"/>
          <w:color w:val="FF0000"/>
          <w:strike w:val="1"/>
        </w:rPr>
        <w:t>and/</w:t>
      </w:r>
      <w:r>
        <w:rPr>
          <w:rFonts w:ascii="Arial" w:cs="Arial" w:eastAsia="Arial" w:hAnsi="Arial"/>
          <w:sz w:val="20"/>
          <w:szCs w:val="20"/>
          <w:color w:val="auto"/>
        </w:rPr>
        <w:t>or the Federal Reserve Bank of New York</w:t>
      </w:r>
      <w:r>
        <w:rPr>
          <w:rFonts w:ascii="Arial" w:cs="Arial" w:eastAsia="Arial" w:hAnsi="Arial"/>
          <w:sz w:val="20"/>
          <w:szCs w:val="20"/>
          <w:b w:val="1"/>
          <w:bCs w:val="1"/>
          <w:color w:val="0000FF"/>
        </w:rPr>
        <w:t>,</w:t>
      </w:r>
      <w:r>
        <w:rPr>
          <w:rFonts w:ascii="Arial" w:cs="Arial" w:eastAsia="Arial" w:hAnsi="Arial"/>
          <w:sz w:val="20"/>
          <w:szCs w:val="20"/>
          <w:color w:val="auto"/>
        </w:rPr>
        <w:t xml:space="preserve"> or any successor thereto.</w:t>
      </w:r>
    </w:p>
    <w:p>
      <w:pPr>
        <w:spacing w:after="0" w:line="198"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has the meaning assigned to such term in Section 8.06. “</w:t>
      </w:r>
      <w:r>
        <w:rPr>
          <w:rFonts w:ascii="Arial" w:cs="Arial" w:eastAsia="Arial" w:hAnsi="Arial"/>
          <w:sz w:val="18"/>
          <w:szCs w:val="18"/>
          <w:u w:val="single" w:color="auto"/>
          <w:color w:val="auto"/>
        </w:rPr>
        <w:t>Repricing Transaction</w:t>
      </w:r>
      <w:r>
        <w:rPr>
          <w:rFonts w:ascii="Arial" w:cs="Arial" w:eastAsia="Arial" w:hAnsi="Arial"/>
          <w:sz w:val="18"/>
          <w:szCs w:val="18"/>
          <w:color w:val="auto"/>
        </w:rPr>
        <w:t xml:space="preserve">” means, (i) any prepayment or repayment of the Initial Term Loans, in whole or in part, with the proceeds of, or conversion of any portion of the Initial Term Loans into, any new or replacement tranche of syndicated term loans under credit facilities incurred for the primary purpose of repaying, refinancing, or replacing Initial Term Loans with loans (including any yank-a-bank assignment in accordance with Section 9.02(c)) in connection therewith) bearing interest with an Effective Yield less than the Effective Yield applicable to such portion of the Initial Term Loans (as such comparative yields are determined in the reasonable judgment of the Administrative Agent consistent with generally accepted financial practices) and (ii) any amendment to the initial Term Loans (including any yank-a-bank assignment in accordance with Section 9.02(c) in connection therewith) which reduces the Effective Yield applicable to the Initial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Repricing Transaction shall not include any event described above that is not consummated for the primary purpose of lowering the effective interest cost or weighted average yield applicable to the Initial Term Loans, including, without limitation, any such event consummated in connection with a Change in Control or a Transformative Event.</w:t>
      </w:r>
    </w:p>
    <w:p>
      <w:pPr>
        <w:spacing w:after="0" w:line="189" w:lineRule="exact"/>
        <w:rPr>
          <w:sz w:val="20"/>
          <w:szCs w:val="20"/>
          <w:color w:val="auto"/>
        </w:rPr>
      </w:pPr>
    </w:p>
    <w:p>
      <w:pPr>
        <w:jc w:val="both"/>
        <w:ind w:firstLine="149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Additional Debt Terms</w:t>
      </w:r>
      <w:r>
        <w:rPr>
          <w:rFonts w:ascii="Arial" w:cs="Arial" w:eastAsia="Arial" w:hAnsi="Arial"/>
          <w:sz w:val="18"/>
          <w:szCs w:val="18"/>
          <w:color w:val="auto"/>
        </w:rPr>
        <w:t xml:space="preserve">” means with respect to any Indebtedness, (a) such Indebtedness does not mature earlier than the Latest Maturity Date for the Initial Term Loans (except in the case of Extendable Bridge Loans), (b) such Indebtedness (other than Extendable Bridge Loans) does not have a shorter Weighted Average Life to Maturity than the Initial Term Loans, (c) if such Indebtedness is unsecured or secured by the Collateral on a junior lien basis to the Secured Obligations, such Indebtedness does not have scheduled amortization or mandatory redemption features (other than customary asset sale, insurance and condemnation proceeds events, change of control offers, AHYDO catch up payments, offers upon an event of default or, in the case of junior lien secured debt, excess cash flow payments (subject to the prior prepayment of the Loan Document Obligations or the prior offer thereof to prepay the Loan Document Obligations)) that could result in redemptions of such Indebtedness prior to the Latest Maturity Date, (d) such Indebtedness is not guaranteed by any entity that is not a Loan Party, (e) such Indebtedness of a Loan Party that is secured (i) is not secured by any assets not securing the Secured Obligations and (ii) is subject to the relevant Intercreditor Agreement, (f) the terms and conditions of such Indebtedness (excluding pricing, amortization, interest rate margins, rate floors, discounts, fees, collateral, guarantees, premiums and prepayment or redemption provisions) are not materially more restrictive to the Borrower (when taken as a whole) than the terms and conditions of this Agreement (when taken as a whole) are to the Borrower (unless (x) such terms and conditions are applicable only to periods after the Latest Maturity Date at such time, (y) the Lenders also receive the benefit of such more favorable terms and conditions or (z) such terms are reasonably satisfactory to the Administrative Agent) (together with, at the election of the Borrower, any applicable “equity cure” provisions with respect to any financial covenant) (it being understood that, to the extent that any covenant, event of default, guarantee or other provision is added or modified for the benefit of any such Indebtedness, no consent shall be required by the Administrative Agent or any of the Lenders if such covenant, event of default or guarantee is either (i) also added or modified for the benefit of any corresponding Loans remaining outstanding after the issuance or incurrence of any such Indebtedness in connection therewith or (ii) only applicable after the Latest Maturity Date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in its sole discretion, deliver a certificate of a Responsible Officer of the Borrower to the Administrative Agent at least five (5)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and such certificate shall be conclusive evidence that such terms and conditions satisfy the foregoing requirement unless the Administrative Agent notifies the Borrower within such five (5) Business Day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18" w:right="539" w:bottom="1440" w:gutter="0" w:footer="0" w:header="0"/>
        </w:sectPr>
      </w:pPr>
    </w:p>
    <w:bookmarkStart w:id="217" w:name="page218"/>
    <w:bookmarkEnd w:id="217"/>
    <w:p>
      <w:pPr>
        <w:jc w:val="both"/>
        <w:spacing w:after="0" w:line="254" w:lineRule="auto"/>
        <w:rPr>
          <w:sz w:val="20"/>
          <w:szCs w:val="20"/>
          <w:color w:val="auto"/>
        </w:rPr>
      </w:pPr>
      <w:r>
        <w:rPr>
          <w:rFonts w:ascii="Arial" w:cs="Arial" w:eastAsia="Arial" w:hAnsi="Arial"/>
          <w:sz w:val="19"/>
          <w:szCs w:val="19"/>
          <w:color w:val="auto"/>
        </w:rPr>
        <w:t>period that it disagrees with such determination (including a reasonable description of the basis upon which it disagrees) and (g) if such Indebtedness in the form of floating rate U.S. dollar denominated term loans (I) is secured on a pari passu basis with the Initial Term Loans and ranks pari passu with the Initial Term Loans in right of payment, (II) is incurred prior to the date that is six (6) months after the Effective Date, (III) has a maturity date prior to one year after the Term Maturity Date of the Initial Term Loans and (IV) is not incurred in connection with an acquisition or Investment permitted by the terms of this Agreement (a “</w:t>
      </w:r>
      <w:r>
        <w:rPr>
          <w:rFonts w:ascii="Arial" w:cs="Arial" w:eastAsia="Arial" w:hAnsi="Arial"/>
          <w:sz w:val="19"/>
          <w:szCs w:val="19"/>
          <w:u w:val="single" w:color="auto"/>
          <w:color w:val="auto"/>
        </w:rPr>
        <w:t>Loan Equivalent</w:t>
      </w:r>
      <w:r>
        <w:rPr>
          <w:rFonts w:ascii="Arial" w:cs="Arial" w:eastAsia="Arial" w:hAnsi="Arial"/>
          <w:sz w:val="19"/>
          <w:szCs w:val="19"/>
          <w:color w:val="auto"/>
        </w:rPr>
        <w:t>”), in the event that the Effective Yield for any such Loan Equivalent is greater than the Effective Yield for the Initial Term Loans by more than 0.50% per annum, then the Effective Yield for the Initial Term Loans shall be increased (without the requirement for any Lender consent) to the extent necessary so that the Effective Yield for the Initial Term Loans is equal to the Effective Yield for such Loan Equivalent minus 0.50% per annum; provided that if such Loan Equivalent includes an interest rate floor greater than the applicable interest rate floor under the Initial Term Loans, such differential between interest rate floors shall be equated to the applicable interest rate margin for purposes of determining whether an increase to the interest rate margin under the Initial Term Loans shall be required, but only to the extent an increase in the interest rate floor in the Initial Term Loans would cause an increase in the interest rate then in effect thereunder, and in such case, the interest rate floor (but not the interest rate margin) applicable to the Initial Term Loans shall be increased to the extent of such differential between interest rate floors.</w:t>
      </w:r>
    </w:p>
    <w:p>
      <w:pPr>
        <w:spacing w:after="0" w:line="202" w:lineRule="exact"/>
        <w:rPr>
          <w:sz w:val="20"/>
          <w:szCs w:val="20"/>
          <w:color w:val="auto"/>
        </w:rPr>
      </w:pPr>
    </w:p>
    <w:p>
      <w:pPr>
        <w:jc w:val="both"/>
        <w:ind w:firstLine="149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at any time, Lenders having Revolving Exposures, Term Loans and unused Commitments representing more than 50% of the aggregate Revolving Exposures, outstanding Term Loans and unused Commitments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set forth in Section 9.02 or Section 9.04 whenever there are one or more Defaulting Lenders, the total outstanding Term Loans and Revolving Exposures of, and the unused Revolving Commitments of, each Defaulting Lender shall be excluded for purposes of making a determination of Required Lenders.</w:t>
      </w:r>
    </w:p>
    <w:p>
      <w:pPr>
        <w:spacing w:after="0" w:line="206" w:lineRule="exact"/>
        <w:rPr>
          <w:sz w:val="20"/>
          <w:szCs w:val="20"/>
          <w:color w:val="auto"/>
        </w:rPr>
      </w:pPr>
    </w:p>
    <w:p>
      <w:pPr>
        <w:jc w:val="both"/>
        <w:ind w:right="20" w:firstLine="149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Revolving Lenders</w:t>
      </w:r>
      <w:r>
        <w:rPr>
          <w:rFonts w:ascii="Arial" w:cs="Arial" w:eastAsia="Arial" w:hAnsi="Arial"/>
          <w:sz w:val="20"/>
          <w:szCs w:val="20"/>
          <w:color w:val="auto"/>
        </w:rPr>
        <w:t xml:space="preserve">” means, at any time, Revolving Lenders having Revolving Exposures and unused Commitments representing more than 50.0% of the aggregate Revolving Exposures and unused Commitments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set forth in Section 9.02 or Section 9.04 whenever there are one or more Defaulting Lenders, the total outstanding Revolving Exposures of, and the unused Revolving Commitments of, each Defaulting Lender, shall be excluded for purposes of making a determination of Required Revolving Lenders.</w:t>
      </w:r>
    </w:p>
    <w:p>
      <w:pPr>
        <w:spacing w:after="0" w:line="206" w:lineRule="exact"/>
        <w:rPr>
          <w:sz w:val="20"/>
          <w:szCs w:val="20"/>
          <w:color w:val="auto"/>
        </w:rPr>
      </w:pPr>
    </w:p>
    <w:p>
      <w:pPr>
        <w:jc w:val="both"/>
        <w:ind w:firstLine="1499"/>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has the meaning assigned to such term in Section 8.06.</w:t>
      </w:r>
    </w:p>
    <w:p>
      <w:pPr>
        <w:spacing w:after="0" w:line="228"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89" w:lineRule="exact"/>
        <w:rPr>
          <w:sz w:val="20"/>
          <w:szCs w:val="20"/>
          <w:color w:val="auto"/>
        </w:rPr>
      </w:pPr>
    </w:p>
    <w:p>
      <w:pPr>
        <w:jc w:val="both"/>
        <w:ind w:right="20" w:firstLine="149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vice president, chief financial officer, treasurer or assistant treasurer, director, company secretary or other similar officer, manager or a member of the Board of Directors of a Loan Party and with respect to certain limited liability companies, partnerships, and as to any document delivered on the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218" w:name="page219"/>
    <w:bookmarkEnd w:id="218"/>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Investment</w:t>
      </w:r>
      <w:r>
        <w:rPr>
          <w:rFonts w:ascii="Arial" w:cs="Arial" w:eastAsia="Arial" w:hAnsi="Arial"/>
          <w:sz w:val="20"/>
          <w:szCs w:val="20"/>
          <w:color w:val="auto"/>
        </w:rPr>
        <w:t>” means any Investment not otherwise permitted by Section 6.04.</w:t>
      </w:r>
    </w:p>
    <w:p>
      <w:pPr>
        <w:spacing w:after="0" w:line="309" w:lineRule="exact"/>
        <w:rPr>
          <w:sz w:val="20"/>
          <w:szCs w:val="20"/>
          <w:color w:val="auto"/>
        </w:rPr>
      </w:pPr>
    </w:p>
    <w:p>
      <w:pPr>
        <w:jc w:val="both"/>
        <w:ind w:right="200"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or any option, warrant or other right to acquire any such Equity Interests in the Borrower or any Restricted Subsidiary.</w:t>
      </w:r>
    </w:p>
    <w:p>
      <w:pPr>
        <w:spacing w:after="0" w:line="30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Prepayment Event</w:t>
      </w:r>
      <w:r>
        <w:rPr>
          <w:rFonts w:ascii="Arial" w:cs="Arial" w:eastAsia="Arial" w:hAnsi="Arial"/>
          <w:sz w:val="20"/>
          <w:szCs w:val="20"/>
          <w:color w:val="auto"/>
        </w:rPr>
        <w:t>” has the meaning assigned to such term in Section 2.11(g).</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unless otherwise specified, any Subsidiary of the Borrower, other than an Unrestricted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Subsidiary.</w:t>
      </w:r>
    </w:p>
    <w:p>
      <w:pPr>
        <w:spacing w:after="0" w:line="30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Asset Sale Proceeds</w:t>
      </w:r>
      <w:r>
        <w:rPr>
          <w:rFonts w:ascii="Arial" w:cs="Arial" w:eastAsia="Arial" w:hAnsi="Arial"/>
          <w:sz w:val="20"/>
          <w:szCs w:val="20"/>
          <w:color w:val="auto"/>
        </w:rPr>
        <w:t>” has the meaning assigned to such term in Section 2.11(c).</w:t>
      </w:r>
    </w:p>
    <w:p>
      <w:pPr>
        <w:spacing w:after="0" w:line="30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Declined Proceeds</w:t>
      </w:r>
      <w:r>
        <w:rPr>
          <w:rFonts w:ascii="Arial" w:cs="Arial" w:eastAsia="Arial" w:hAnsi="Arial"/>
          <w:sz w:val="20"/>
          <w:szCs w:val="20"/>
          <w:color w:val="auto"/>
        </w:rPr>
        <w:t>” has the meaning assigned to such term in Section 2.11(e).</w:t>
      </w:r>
    </w:p>
    <w:p>
      <w:pPr>
        <w:spacing w:after="0" w:line="242" w:lineRule="exact"/>
        <w:rPr>
          <w:sz w:val="20"/>
          <w:szCs w:val="20"/>
          <w:color w:val="auto"/>
        </w:rPr>
      </w:pPr>
    </w:p>
    <w:p>
      <w:pPr>
        <w:jc w:val="both"/>
        <w:ind w:right="220"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Revaluation Date</w:t>
      </w:r>
      <w:r>
        <w:rPr>
          <w:rFonts w:ascii="Arial" w:cs="Arial" w:eastAsia="Arial" w:hAnsi="Arial"/>
          <w:sz w:val="20"/>
          <w:szCs w:val="20"/>
          <w:color w:val="auto"/>
        </w:rPr>
        <w:t>” means (a) the date of delivery of each Revolving Borrowing Request, (b) the date of issuance, extension or renewal of any Letter of Credit denominated in an Alternative Currency, in each case at the discretion of the Administrative Agent and/or any Issuing Bank or (c) the date of conversion or continuation of any Revolving Borrowing denominated in an Alternative Currency pursuant to Section 2.02.</w:t>
      </w:r>
    </w:p>
    <w:p>
      <w:pPr>
        <w:spacing w:after="0" w:line="217" w:lineRule="exact"/>
        <w:rPr>
          <w:sz w:val="20"/>
          <w:szCs w:val="20"/>
          <w:color w:val="auto"/>
        </w:rPr>
      </w:pPr>
    </w:p>
    <w:p>
      <w:pPr>
        <w:jc w:val="both"/>
        <w:ind w:right="20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Availability Period</w:t>
      </w:r>
      <w:r>
        <w:rPr>
          <w:rFonts w:ascii="Arial" w:cs="Arial" w:eastAsia="Arial" w:hAnsi="Arial"/>
          <w:sz w:val="20"/>
          <w:szCs w:val="20"/>
          <w:color w:val="auto"/>
        </w:rPr>
        <w:t>” means the period from and including the Effective Date to but excluding the earlier of the Revolving Maturity Date and the date of termination of the Revolving Commitments.</w:t>
      </w:r>
    </w:p>
    <w:p>
      <w:pPr>
        <w:spacing w:after="0" w:line="189" w:lineRule="exact"/>
        <w:rPr>
          <w:sz w:val="20"/>
          <w:szCs w:val="20"/>
          <w:color w:val="auto"/>
        </w:rPr>
      </w:pPr>
    </w:p>
    <w:p>
      <w:pPr>
        <w:jc w:val="both"/>
        <w:ind w:right="200" w:firstLine="149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means, with respect to each Lender, the commitment, if any, of such Lender to (i) make Revolving Loans, (ii) [reserved] and (iii) acquire participations in Letters of Credit hereunder, expressed as an amount representing the maximum possible aggregate amount of such Lender’s Revolving Exposure hereunder, as such commitment may be (a) reduced from time to time pursuant to Section 2.08 and (b) reduced or increased from time to time pursuant to (i) assignments by or to such Lender pursuant to an Assignment and Assumption, (ii) a Refinancing Amendment, (iii) an Incremental Revolving Commitment Increase, (iv) a Loan Modification Agreement or (v) an Additional/Replacement Revolving Commitment. The initial amount of each Lender’s Revolving Commitment is set forth on Schedule 2.01(A) or, in each case, in the Assignment and Assumption, Loan Modification Agreement, Incremental Facility Amendment or Refinancing Amendment pursuant to which such Lender shall have assumed its Revolving Commitment, as the case may be. As of the Effective Date, the initial aggregate amount of the Lenders’ Revolving Commitments is $100,000,000.</w:t>
      </w:r>
    </w:p>
    <w:p>
      <w:pPr>
        <w:spacing w:after="0" w:line="214" w:lineRule="exact"/>
        <w:rPr>
          <w:sz w:val="20"/>
          <w:szCs w:val="20"/>
          <w:color w:val="auto"/>
        </w:rPr>
      </w:pPr>
    </w:p>
    <w:p>
      <w:pPr>
        <w:jc w:val="both"/>
        <w:ind w:right="20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w:t>
      </w:r>
      <w:r>
        <w:rPr>
          <w:rFonts w:ascii="Arial" w:cs="Arial" w:eastAsia="Arial" w:hAnsi="Arial"/>
          <w:sz w:val="20"/>
          <w:szCs w:val="20"/>
          <w:color w:val="auto"/>
        </w:rPr>
        <w:t>” means, with respect to any Revolving Lender at any time, the sum of the outstanding principal amount of such Revolving Lender’s Revolving Loans, its LC Exposure at such time.</w:t>
      </w:r>
    </w:p>
    <w:p>
      <w:pPr>
        <w:spacing w:after="0" w:line="189" w:lineRule="exact"/>
        <w:rPr>
          <w:sz w:val="20"/>
          <w:szCs w:val="20"/>
          <w:color w:val="auto"/>
        </w:rPr>
      </w:pPr>
    </w:p>
    <w:p>
      <w:pPr>
        <w:ind w:right="24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means a Lender with a Revolving Commitment or, if the Revolving Commitments have terminated or expired, a Lender with Revolving Exposure.</w:t>
      </w:r>
    </w:p>
    <w:p>
      <w:pPr>
        <w:spacing w:after="0" w:line="28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mean a Loan made by a Revolving Facility Lender pursuant to Section</w:t>
      </w: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63" w:right="339" w:bottom="1440" w:gutter="0" w:footer="0" w:header="0"/>
        </w:sectPr>
      </w:pPr>
    </w:p>
    <w:bookmarkStart w:id="219" w:name="page220"/>
    <w:bookmarkEnd w:id="219"/>
    <w:p>
      <w:pPr>
        <w:spacing w:after="0"/>
        <w:rPr>
          <w:sz w:val="20"/>
          <w:szCs w:val="20"/>
          <w:color w:val="auto"/>
        </w:rPr>
      </w:pPr>
      <w:r>
        <w:rPr>
          <w:rFonts w:ascii="Arial" w:cs="Arial" w:eastAsia="Arial" w:hAnsi="Arial"/>
          <w:sz w:val="20"/>
          <w:szCs w:val="20"/>
          <w:color w:val="auto"/>
        </w:rPr>
        <w:t>2.01.</w:t>
      </w:r>
    </w:p>
    <w:p>
      <w:pPr>
        <w:spacing w:after="0" w:line="323" w:lineRule="exact"/>
        <w:rPr>
          <w:sz w:val="20"/>
          <w:szCs w:val="20"/>
          <w:color w:val="auto"/>
        </w:rPr>
      </w:pPr>
    </w:p>
    <w:p>
      <w:pPr>
        <w:jc w:val="both"/>
        <w:ind w:right="40"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Maturity Date</w:t>
      </w:r>
      <w:r>
        <w:rPr>
          <w:rFonts w:ascii="Arial" w:cs="Arial" w:eastAsia="Arial" w:hAnsi="Arial"/>
          <w:sz w:val="20"/>
          <w:szCs w:val="20"/>
          <w:color w:val="auto"/>
        </w:rPr>
        <w:t>” means (i) April 30, 2026 (or if such day is not a Business Day, the immediately preceding Business Day) or (ii) with respect to any Revolving Lender that has extended its Revolving Commitment pursuant to a Permitted Amendment and with respect to any Issuing Bank that has consented to such extension, the extended maturity date set forth in any such Loan Modification Agreement.</w:t>
      </w:r>
    </w:p>
    <w:p>
      <w:pPr>
        <w:spacing w:after="0" w:line="203" w:lineRule="exact"/>
        <w:rPr>
          <w:sz w:val="20"/>
          <w:szCs w:val="20"/>
          <w:color w:val="auto"/>
        </w:rPr>
      </w:pPr>
    </w:p>
    <w:p>
      <w:pPr>
        <w:ind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Ratings Services, a division of The McGraw-Hill Companies, Inc., and any successor to its rating agency business.</w:t>
      </w:r>
    </w:p>
    <w:p>
      <w:pPr>
        <w:spacing w:after="0" w:line="203" w:lineRule="exact"/>
        <w:rPr>
          <w:sz w:val="20"/>
          <w:szCs w:val="20"/>
          <w:color w:val="auto"/>
        </w:rPr>
      </w:pPr>
    </w:p>
    <w:p>
      <w:pPr>
        <w:ind w:right="4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or territory which is the target of any comprehensive Sanctions (as of the date of this Agreement, the Crimea region of Ukraine, Cuba, Iran, North Korea and Syria).</w:t>
      </w:r>
    </w:p>
    <w:p>
      <w:pPr>
        <w:spacing w:after="0" w:line="203" w:lineRule="exact"/>
        <w:rPr>
          <w:sz w:val="20"/>
          <w:szCs w:val="20"/>
          <w:color w:val="auto"/>
        </w:rPr>
      </w:pPr>
    </w:p>
    <w:p>
      <w:pPr>
        <w:ind w:right="6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economic sanctions administered or enforced by the United States Government (including without limitation, OFAC).</w:t>
      </w:r>
    </w:p>
    <w:p>
      <w:pPr>
        <w:spacing w:after="0" w:line="183" w:lineRule="exact"/>
        <w:rPr>
          <w:sz w:val="20"/>
          <w:szCs w:val="20"/>
          <w:color w:val="auto"/>
        </w:rPr>
      </w:pPr>
    </w:p>
    <w:p>
      <w:pPr>
        <w:jc w:val="both"/>
        <w:ind w:right="20" w:firstLine="1499"/>
        <w:spacing w:after="0" w:line="273"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Screen Rate</w:t>
      </w:r>
      <w:r>
        <w:rPr>
          <w:rFonts w:ascii="Arial" w:cs="Arial" w:eastAsia="Arial" w:hAnsi="Arial"/>
          <w:sz w:val="18"/>
          <w:szCs w:val="18"/>
          <w:b w:val="1"/>
          <w:bCs w:val="1"/>
          <w:color w:val="FF0000"/>
          <w:strike w:val="1"/>
        </w:rPr>
        <w:t xml:space="preserve">” means, for any day and time, with respect to any Eurodollar Borrowing in Dollars and for any Interest Period, the London interbank offered rate as administered by ICE Benchmark Administration (or any other Person that takes over the administration of such rate for the relevant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b w:val="1"/>
          <w:bCs w:val="1"/>
          <w:color w:val="FF0000"/>
          <w:strike w:val="1"/>
        </w:rPr>
        <w:t xml:space="preserve"> that if the Screen Rate as so determined would be less than zero, such rate shall be deemed to zero for the purposes of this Agreement.</w:t>
      </w:r>
    </w:p>
    <w:p>
      <w:pPr>
        <w:spacing w:after="0" w:line="280" w:lineRule="exact"/>
        <w:rPr>
          <w:sz w:val="20"/>
          <w:szCs w:val="20"/>
          <w:color w:val="auto"/>
        </w:rPr>
      </w:pPr>
    </w:p>
    <w:p>
      <w:pPr>
        <w:ind w:right="50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or any Governmental Authority succeeding to any of its principal functions.</w:t>
      </w:r>
    </w:p>
    <w:p>
      <w:pPr>
        <w:spacing w:after="0" w:line="189" w:lineRule="exact"/>
        <w:rPr>
          <w:sz w:val="20"/>
          <w:szCs w:val="20"/>
          <w:color w:val="auto"/>
        </w:rPr>
      </w:pPr>
    </w:p>
    <w:p>
      <w:pPr>
        <w:jc w:val="both"/>
        <w:ind w:right="20" w:firstLine="14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Cash Management Obligations</w:t>
      </w:r>
      <w:r>
        <w:rPr>
          <w:rFonts w:ascii="Arial" w:cs="Arial" w:eastAsia="Arial" w:hAnsi="Arial"/>
          <w:sz w:val="19"/>
          <w:szCs w:val="19"/>
          <w:color w:val="auto"/>
        </w:rPr>
        <w:t>” means the due and punctual payment and performance of all obligations of Holdings, the Borrower and any Restricted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Arial" w:cs="Arial" w:eastAsia="Arial" w:hAnsi="Arial"/>
          <w:sz w:val="19"/>
          <w:szCs w:val="19"/>
          <w:u w:val="single" w:color="auto"/>
          <w:color w:val="auto"/>
        </w:rPr>
        <w:t>Cash Management Services</w:t>
      </w:r>
      <w:r>
        <w:rPr>
          <w:rFonts w:ascii="Arial" w:cs="Arial" w:eastAsia="Arial" w:hAnsi="Arial"/>
          <w:sz w:val="19"/>
          <w:szCs w:val="19"/>
          <w:color w:val="auto"/>
        </w:rPr>
        <w:t>”) provided to Holdings, the Borrower or any Restricted Subsidiary (whether absolute or contingent and howsoever and whenever created, arising, evidenced or acquired (including all renewals, extensions and modifications thereof and substitutions therefor)) that are (a) owed to the Administrative Agent or any of its Affiliates, (b) owed on the Effective Date to a Person that is a Lender or an Affiliate of a Lender as of the Effective Date or within 30 days thereafter or (c) owed to a Person that is an Agent, a Lender or an Affiliate of an Agent or Lender at the time such obligations are incurred.</w:t>
      </w:r>
    </w:p>
    <w:p>
      <w:pPr>
        <w:spacing w:after="0" w:line="208" w:lineRule="exact"/>
        <w:rPr>
          <w:sz w:val="20"/>
          <w:szCs w:val="20"/>
          <w:color w:val="auto"/>
        </w:rPr>
      </w:pPr>
    </w:p>
    <w:p>
      <w:pPr>
        <w:ind w:right="40" w:firstLine="1499"/>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Obligations</w:t>
      </w:r>
      <w:r>
        <w:rPr>
          <w:rFonts w:ascii="Arial" w:cs="Arial" w:eastAsia="Arial" w:hAnsi="Arial"/>
          <w:sz w:val="16"/>
          <w:szCs w:val="16"/>
          <w:color w:val="auto"/>
        </w:rPr>
        <w:t>” means (a) the Loan Document Obligations, (b) the Secured Cash Management Obligations and (c) the Secured Swap Obligations (excluding with respect to any Loan Guarantor, Excluded Swap Obligations of such Loan Guarantor).</w:t>
      </w:r>
    </w:p>
    <w:p>
      <w:pPr>
        <w:spacing w:after="0" w:line="97" w:lineRule="exact"/>
        <w:rPr>
          <w:sz w:val="20"/>
          <w:szCs w:val="20"/>
          <w:color w:val="auto"/>
        </w:rPr>
      </w:pPr>
    </w:p>
    <w:p>
      <w:pPr>
        <w:jc w:val="both"/>
        <w:ind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means (a) each Lender, (b) each Issuing Bank, (c) the Administrative Agent, (d) the Collateral Agent, (e) each Joint Lead Arranger, (f) each Person to whom any Secured Cash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204" w:right="519" w:bottom="1440" w:gutter="0" w:footer="0" w:header="0"/>
        </w:sectPr>
      </w:pPr>
    </w:p>
    <w:bookmarkStart w:id="220" w:name="page221"/>
    <w:bookmarkEnd w:id="220"/>
    <w:p>
      <w:pPr>
        <w:jc w:val="both"/>
        <w:spacing w:after="0" w:line="250" w:lineRule="auto"/>
        <w:rPr>
          <w:sz w:val="20"/>
          <w:szCs w:val="20"/>
          <w:color w:val="auto"/>
        </w:rPr>
      </w:pPr>
      <w:r>
        <w:rPr>
          <w:rFonts w:ascii="Arial" w:cs="Arial" w:eastAsia="Arial" w:hAnsi="Arial"/>
          <w:sz w:val="20"/>
          <w:szCs w:val="20"/>
          <w:color w:val="auto"/>
        </w:rPr>
        <w:t>Management Obligations are owed, (g) each counterparty to any Swap Agreement the obligations under which constitute Secured Swap Obligations, (h) the beneficiaries of each indemnification obligation undertaken by any Loan Party under any Loan Document, (i) [reserved] and (j) the permitted successors and assigns of each of the foregoing.</w:t>
      </w:r>
    </w:p>
    <w:p>
      <w:pPr>
        <w:spacing w:after="0" w:line="200" w:lineRule="exact"/>
        <w:rPr>
          <w:sz w:val="20"/>
          <w:szCs w:val="20"/>
          <w:color w:val="auto"/>
        </w:rPr>
      </w:pPr>
    </w:p>
    <w:p>
      <w:pPr>
        <w:jc w:val="both"/>
        <w:ind w:firstLine="149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Swap Obligations</w:t>
      </w:r>
      <w:r>
        <w:rPr>
          <w:rFonts w:ascii="Arial" w:cs="Arial" w:eastAsia="Arial" w:hAnsi="Arial"/>
          <w:sz w:val="19"/>
          <w:szCs w:val="19"/>
          <w:color w:val="auto"/>
        </w:rPr>
        <w:t xml:space="preserve">” means the due and punctual payment and performance of all obligations of the Borrower and its Restricted Subsidiaries under each Swap Agreement that (a) is with a counterparty that is the Administrative Agent or any of its Affiliates, (b) is in effect on the Effective Date with a counterparty that is a Lender, an Agent or an Affiliate of a Lender or an Agent as of the Effective Date or within 30 days thereafter or (c) is entered into after the Effective Date with any counterparty that is (i) a Lender, an Agent or an Affiliate of a Lender or an Agent at the time such Swap Agreement is entered into or (ii) a party to a Swap Agreement with a Loan Party and at the Borrower’s request, delivers to the Administrative Agent a written notice (1) appointing the Administrative Agent as its agent under the applicable Loan Documents and (2) agreeing to be bound by Article VIII and Sections 9.03, 9.09 and 9.10 as if such Person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designation pursuant to this clause (ii) shall not create in favor of such Person (x) any rights in connection with management or release of Collateral or the obligations of any Loan Party under the Loan Documents or (y) any voting or approval rights under the Loan Documents.</w:t>
      </w:r>
    </w:p>
    <w:p>
      <w:pPr>
        <w:spacing w:after="0" w:line="214" w:lineRule="exact"/>
        <w:rPr>
          <w:sz w:val="20"/>
          <w:szCs w:val="20"/>
          <w:color w:val="auto"/>
        </w:rPr>
      </w:pPr>
    </w:p>
    <w:p>
      <w:pPr>
        <w:jc w:val="both"/>
        <w:ind w:right="4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Assets</w:t>
      </w:r>
      <w:r>
        <w:rPr>
          <w:rFonts w:ascii="Arial" w:cs="Arial" w:eastAsia="Arial" w:hAnsi="Arial"/>
          <w:sz w:val="20"/>
          <w:szCs w:val="20"/>
          <w:color w:val="auto"/>
        </w:rPr>
        <w:t>” means the accounts receivable, royalty and other similar rights to payment and proceeds thereof and any other assets related thereto including contract rights, lockbox accounts and records that are customarily sold or pledged in connection with securitization transactions and the proceeds thereof.</w:t>
      </w:r>
    </w:p>
    <w:p>
      <w:pPr>
        <w:spacing w:after="0" w:line="201" w:lineRule="exact"/>
        <w:rPr>
          <w:sz w:val="20"/>
          <w:szCs w:val="20"/>
          <w:color w:val="auto"/>
        </w:rPr>
      </w:pPr>
    </w:p>
    <w:p>
      <w:pPr>
        <w:jc w:val="both"/>
        <w:ind w:right="20" w:firstLine="1499"/>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Facility</w:t>
      </w:r>
      <w:r>
        <w:rPr>
          <w:rFonts w:ascii="Arial" w:cs="Arial" w:eastAsia="Arial" w:hAnsi="Arial"/>
          <w:sz w:val="20"/>
          <w:szCs w:val="20"/>
          <w:color w:val="auto"/>
        </w:rPr>
        <w:t>” means any of one or more receivables securitization financing facilities as amended, supplemented, modified, extended, renewed, restated or refunded from time to time, the obligations of which are non-recourse (except for customary representations, warranties, repurchase covenants, performance guarantees, servicing covenants and indemnities made in connection with such facilities), the Borrower or any Restricted Subsidiary (other than a Securitization Subsidiary) pursuant to which the Borrower or any Restricted Subsidiary sells or grants a security interest in Securitization Assets to either (a) a Person that is not a Restricted Subsidiary or (b) a Securitization Subsidiary that in turn sells or pledges Securitization Assets to a Person that is not a Restricted Subsidiary.</w:t>
      </w:r>
    </w:p>
    <w:p>
      <w:pPr>
        <w:spacing w:after="0" w:line="224" w:lineRule="exact"/>
        <w:rPr>
          <w:sz w:val="20"/>
          <w:szCs w:val="20"/>
          <w:color w:val="auto"/>
        </w:rPr>
      </w:pPr>
    </w:p>
    <w:p>
      <w:pPr>
        <w:jc w:val="both"/>
        <w:ind w:right="4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Fees</w:t>
      </w:r>
      <w:r>
        <w:rPr>
          <w:rFonts w:ascii="Arial" w:cs="Arial" w:eastAsia="Arial" w:hAnsi="Arial"/>
          <w:sz w:val="20"/>
          <w:szCs w:val="20"/>
          <w:color w:val="auto"/>
        </w:rPr>
        <w:t>” means distributions or payments made directly or by means of discounts with respect to any interest issued or sold in connection with, and other fees paid to a Person that is not a Securitization Subsidiary in connection with, any Qualified Securitization Facility.</w:t>
      </w:r>
    </w:p>
    <w:p>
      <w:pPr>
        <w:spacing w:after="0" w:line="255" w:lineRule="exact"/>
        <w:rPr>
          <w:sz w:val="20"/>
          <w:szCs w:val="20"/>
          <w:color w:val="auto"/>
        </w:rPr>
      </w:pPr>
    </w:p>
    <w:p>
      <w:pPr>
        <w:jc w:val="both"/>
        <w:ind w:right="4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Subsidiary</w:t>
      </w:r>
      <w:r>
        <w:rPr>
          <w:rFonts w:ascii="Arial" w:cs="Arial" w:eastAsia="Arial" w:hAnsi="Arial"/>
          <w:sz w:val="20"/>
          <w:szCs w:val="20"/>
          <w:color w:val="auto"/>
        </w:rPr>
        <w:t>” means any Subsidiary formed for the purpose of, and that engages only in one or more Qualified Securitization Facilities and other activities reasonably related thereto.</w:t>
      </w:r>
    </w:p>
    <w:p>
      <w:pPr>
        <w:spacing w:after="0" w:line="189" w:lineRule="exact"/>
        <w:rPr>
          <w:sz w:val="20"/>
          <w:szCs w:val="20"/>
          <w:color w:val="auto"/>
        </w:rPr>
      </w:pPr>
    </w:p>
    <w:p>
      <w:pPr>
        <w:jc w:val="both"/>
        <w:ind w:right="4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Documents</w:t>
      </w:r>
      <w:r>
        <w:rPr>
          <w:rFonts w:ascii="Arial" w:cs="Arial" w:eastAsia="Arial" w:hAnsi="Arial"/>
          <w:sz w:val="20"/>
          <w:szCs w:val="20"/>
          <w:color w:val="auto"/>
        </w:rPr>
        <w:t>” means the Collateral Agreement, the Mortgages and each other security agreement or pledge agreement executed and delivered pursuant to the Collateral and Guarantee Requirement, Sections 5.11, 5.12 or 5.14 to secure any of the Secured Obligations.</w:t>
      </w:r>
    </w:p>
    <w:p>
      <w:pPr>
        <w:spacing w:after="0" w:line="215" w:lineRule="exact"/>
        <w:rPr>
          <w:sz w:val="20"/>
          <w:szCs w:val="20"/>
          <w:color w:val="auto"/>
        </w:rPr>
      </w:pPr>
    </w:p>
    <w:p>
      <w:pPr>
        <w:jc w:val="both"/>
        <w:ind w:right="40"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Representative</w:t>
      </w:r>
      <w:r>
        <w:rPr>
          <w:rFonts w:ascii="Arial" w:cs="Arial" w:eastAsia="Arial" w:hAnsi="Arial"/>
          <w:sz w:val="20"/>
          <w:szCs w:val="20"/>
          <w:color w:val="auto"/>
        </w:rPr>
        <w:t xml:space="preserve">” means, with respect to any series of Indebtedness permitted by this Agreement to be secured on the Collateral on a </w:t>
      </w:r>
      <w:r>
        <w:rPr>
          <w:rFonts w:ascii="Arial" w:cs="Arial" w:eastAsia="Arial" w:hAnsi="Arial"/>
          <w:sz w:val="20"/>
          <w:szCs w:val="20"/>
          <w:u w:val="single" w:color="auto"/>
          <w:color w:val="auto"/>
        </w:rPr>
        <w:t>pari passu</w:t>
      </w:r>
      <w:r>
        <w:rPr>
          <w:rFonts w:ascii="Arial" w:cs="Arial" w:eastAsia="Arial" w:hAnsi="Arial"/>
          <w:sz w:val="20"/>
          <w:szCs w:val="20"/>
          <w:color w:val="auto"/>
        </w:rPr>
        <w:t xml:space="preserve"> or junior basis,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221" w:name="page222"/>
    <w:bookmarkEnd w:id="221"/>
    <w:p>
      <w:pPr>
        <w:jc w:val="both"/>
        <w:ind w:right="60" w:firstLine="149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Secured First Lien Indebtedness</w:t>
      </w:r>
      <w:r>
        <w:rPr>
          <w:rFonts w:ascii="Arial" w:cs="Arial" w:eastAsia="Arial" w:hAnsi="Arial"/>
          <w:sz w:val="19"/>
          <w:szCs w:val="19"/>
          <w:color w:val="auto"/>
        </w:rPr>
        <w:t>” means any Indebtedness of the Borrower and its Restricted Subsidiaries that is secured by a Lien on the Collateral (but without regard to control of remedies) other than the Second Lien Term Loans and any other such Indebtedness to the extent secured by the Collateral on a junior basis to the Liens granted under the Security Documents in favor of the Collateral Agent for the benefit of the Secured Parties in respect of the Initial Term Loans.</w:t>
      </w:r>
    </w:p>
    <w:p>
      <w:pPr>
        <w:spacing w:after="0" w:line="203" w:lineRule="exact"/>
        <w:rPr>
          <w:sz w:val="20"/>
          <w:szCs w:val="20"/>
          <w:color w:val="auto"/>
        </w:rPr>
      </w:pPr>
    </w:p>
    <w:p>
      <w:pPr>
        <w:jc w:val="both"/>
        <w:ind w:right="4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Secured First Lien Net Leverage Ratio</w:t>
      </w:r>
      <w:r>
        <w:rPr>
          <w:rFonts w:ascii="Arial" w:cs="Arial" w:eastAsia="Arial" w:hAnsi="Arial"/>
          <w:sz w:val="20"/>
          <w:szCs w:val="20"/>
          <w:color w:val="auto"/>
        </w:rPr>
        <w:t>” means, as of any date of determination, the ratio, on a Pro Forma Basis, of (a) Consolidated Senior Secured First Lien Net Indebtedness as of such date to (b) Consolidated EBITDA for the most recently completed Test Period.</w:t>
      </w:r>
    </w:p>
    <w:p>
      <w:pPr>
        <w:spacing w:after="0" w:line="201" w:lineRule="exact"/>
        <w:rPr>
          <w:sz w:val="20"/>
          <w:szCs w:val="20"/>
          <w:color w:val="auto"/>
        </w:rPr>
      </w:pPr>
    </w:p>
    <w:p>
      <w:pPr>
        <w:ind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Secured Indebtedness</w:t>
      </w:r>
      <w:r>
        <w:rPr>
          <w:rFonts w:ascii="Arial" w:cs="Arial" w:eastAsia="Arial" w:hAnsi="Arial"/>
          <w:sz w:val="20"/>
          <w:szCs w:val="20"/>
          <w:color w:val="auto"/>
        </w:rPr>
        <w:t>” means any Indebtedness of the Borrower and its Restricted Subsidiaries that is secured by a Lien on the Collateral.</w:t>
      </w:r>
    </w:p>
    <w:p>
      <w:pPr>
        <w:spacing w:after="0" w:line="203" w:lineRule="exact"/>
        <w:rPr>
          <w:sz w:val="20"/>
          <w:szCs w:val="20"/>
          <w:color w:val="auto"/>
        </w:rPr>
      </w:pPr>
    </w:p>
    <w:p>
      <w:pPr>
        <w:jc w:val="both"/>
        <w:ind w:right="60" w:firstLine="1499"/>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Secured Net Leverage Ratio</w:t>
      </w:r>
      <w:r>
        <w:rPr>
          <w:rFonts w:ascii="Arial" w:cs="Arial" w:eastAsia="Arial" w:hAnsi="Arial"/>
          <w:sz w:val="16"/>
          <w:szCs w:val="16"/>
          <w:color w:val="auto"/>
        </w:rPr>
        <w:t>” means, as of any date of determination, the ratio, on a Pro Forma Basis, of (a) Consolidated Senior Secured Net Indebtedness as of such date to (b) Consolidated EBITDA for the most recently completed Test Period.</w:t>
      </w:r>
    </w:p>
    <w:p>
      <w:pPr>
        <w:spacing w:after="0" w:line="97" w:lineRule="exact"/>
        <w:rPr>
          <w:sz w:val="20"/>
          <w:szCs w:val="20"/>
          <w:color w:val="auto"/>
        </w:rPr>
      </w:pPr>
    </w:p>
    <w:p>
      <w:pPr>
        <w:jc w:val="both"/>
        <w:ind w:right="60" w:firstLine="149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Settlement</w:t>
      </w:r>
      <w:r>
        <w:rPr>
          <w:rFonts w:ascii="Arial" w:cs="Arial" w:eastAsia="Arial" w:hAnsi="Arial"/>
          <w:sz w:val="19"/>
          <w:szCs w:val="19"/>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96" w:lineRule="exact"/>
        <w:rPr>
          <w:sz w:val="20"/>
          <w:szCs w:val="20"/>
          <w:color w:val="auto"/>
        </w:rPr>
      </w:pPr>
    </w:p>
    <w:p>
      <w:pPr>
        <w:jc w:val="both"/>
        <w:ind w:right="60" w:firstLine="1499"/>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 Asset</w:t>
      </w:r>
      <w:r>
        <w:rPr>
          <w:rFonts w:ascii="Arial" w:cs="Arial" w:eastAsia="Arial" w:hAnsi="Arial"/>
          <w:sz w:val="16"/>
          <w:szCs w:val="16"/>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9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Indebtedness</w:t>
      </w:r>
      <w:r>
        <w:rPr>
          <w:rFonts w:ascii="Arial" w:cs="Arial" w:eastAsia="Arial" w:hAnsi="Arial"/>
          <w:sz w:val="18"/>
          <w:szCs w:val="18"/>
          <w:color w:val="auto"/>
        </w:rPr>
        <w:t>” means any payment or reimbursement obligation in respect of a Settlement Payment.</w:t>
      </w:r>
    </w:p>
    <w:p>
      <w:pPr>
        <w:spacing w:after="0" w:line="265" w:lineRule="exact"/>
        <w:rPr>
          <w:sz w:val="20"/>
          <w:szCs w:val="20"/>
          <w:color w:val="auto"/>
        </w:rPr>
      </w:pPr>
    </w:p>
    <w:p>
      <w:pPr>
        <w:jc w:val="both"/>
        <w:ind w:right="60" w:firstLine="149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Settlement Lien</w:t>
      </w:r>
      <w:r>
        <w:rPr>
          <w:rFonts w:ascii="Arial" w:cs="Arial" w:eastAsia="Arial" w:hAnsi="Arial"/>
          <w:sz w:val="19"/>
          <w:szCs w:val="19"/>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96" w:lineRule="exact"/>
        <w:rPr>
          <w:sz w:val="20"/>
          <w:szCs w:val="20"/>
          <w:color w:val="auto"/>
        </w:rPr>
      </w:pPr>
    </w:p>
    <w:p>
      <w:pPr>
        <w:jc w:val="both"/>
        <w:ind w:right="2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 Payment</w:t>
      </w:r>
      <w:r>
        <w:rPr>
          <w:rFonts w:ascii="Arial" w:cs="Arial" w:eastAsia="Arial" w:hAnsi="Arial"/>
          <w:sz w:val="20"/>
          <w:szCs w:val="20"/>
          <w:color w:val="auto"/>
        </w:rPr>
        <w:t>” means the transfer, or contractual undertaking (including by automated clearing house transaction) to effect a transfer, of cash or other property to effect a Settlement.</w:t>
      </w:r>
    </w:p>
    <w:p>
      <w:pPr>
        <w:spacing w:after="0" w:line="189" w:lineRule="exact"/>
        <w:rPr>
          <w:sz w:val="20"/>
          <w:szCs w:val="20"/>
          <w:color w:val="auto"/>
        </w:rPr>
      </w:pPr>
    </w:p>
    <w:p>
      <w:pPr>
        <w:jc w:val="both"/>
        <w:ind w:right="2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 Receivable</w:t>
      </w:r>
      <w:r>
        <w:rPr>
          <w:rFonts w:ascii="Arial" w:cs="Arial" w:eastAsia="Arial" w:hAnsi="Arial"/>
          <w:sz w:val="20"/>
          <w:szCs w:val="20"/>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95" w:lineRule="exact"/>
        <w:rPr>
          <w:sz w:val="20"/>
          <w:szCs w:val="20"/>
          <w:color w:val="auto"/>
        </w:rPr>
      </w:pPr>
    </w:p>
    <w:p>
      <w:pPr>
        <w:jc w:val="both"/>
        <w:ind w:right="80" w:firstLine="1499"/>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with respect to any day means</w:t>
      </w:r>
      <w:r>
        <w:rPr>
          <w:rFonts w:ascii="Arial" w:cs="Arial" w:eastAsia="Arial" w:hAnsi="Arial"/>
          <w:sz w:val="18"/>
          <w:szCs w:val="18"/>
          <w:b w:val="1"/>
          <w:bCs w:val="1"/>
          <w:u w:val="single" w:color="auto"/>
          <w:color w:val="0000FF"/>
        </w:rPr>
        <w:t>means a rate equal to</w:t>
      </w:r>
      <w:r>
        <w:rPr>
          <w:rFonts w:ascii="Arial" w:cs="Arial" w:eastAsia="Arial" w:hAnsi="Arial"/>
          <w:sz w:val="18"/>
          <w:szCs w:val="18"/>
          <w:color w:val="auto"/>
        </w:rPr>
        <w:t xml:space="preserve"> the secured overnight financing rate </w:t>
      </w:r>
      <w:r>
        <w:rPr>
          <w:rFonts w:ascii="Arial" w:cs="Arial" w:eastAsia="Arial" w:hAnsi="Arial"/>
          <w:sz w:val="18"/>
          <w:szCs w:val="18"/>
          <w:b w:val="1"/>
          <w:bCs w:val="1"/>
          <w:color w:val="FF0000"/>
          <w:strike w:val="1"/>
        </w:rPr>
        <w:t>published for</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such day by the Federal Reserve Bank of New York, as the administrator of the benchmark, (or a successor administrator) on the Federal Reserve Bank of New York’s Website</w:t>
      </w:r>
      <w:r>
        <w:rPr>
          <w:rFonts w:ascii="Arial" w:cs="Arial" w:eastAsia="Arial" w:hAnsi="Arial"/>
          <w:sz w:val="18"/>
          <w:szCs w:val="18"/>
          <w:b w:val="1"/>
          <w:bCs w:val="1"/>
          <w:u w:val="single" w:color="auto"/>
          <w:color w:val="0000FF"/>
          <w:strike w:val="1"/>
        </w:rPr>
        <w:t>as administered by the SOFR Administrator</w:t>
      </w:r>
      <w:r>
        <w:rPr>
          <w:rFonts w:ascii="Arial" w:cs="Arial" w:eastAsia="Arial" w:hAnsi="Arial"/>
          <w:sz w:val="18"/>
          <w:szCs w:val="18"/>
          <w:color w:val="000000"/>
          <w:strike w:val="1"/>
        </w:rPr>
        <w:t>.</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SOFR-Based Rate</w:t>
      </w:r>
      <w:r>
        <w:rPr>
          <w:rFonts w:ascii="Arial" w:cs="Arial" w:eastAsia="Arial" w:hAnsi="Arial"/>
          <w:sz w:val="20"/>
          <w:szCs w:val="20"/>
          <w:b w:val="1"/>
          <w:bCs w:val="1"/>
          <w:color w:val="FF0000"/>
          <w:strike w:val="1"/>
        </w:rPr>
        <w:t>” means SOFR, Daily Simple SOFR, Compounded SOFR or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strike w:val="1"/>
        </w:rPr>
        <w:t>Term SOFR.</w:t>
      </w:r>
    </w:p>
    <w:p>
      <w:pPr>
        <w:spacing w:after="0" w:line="220" w:lineRule="exact"/>
        <w:rPr>
          <w:sz w:val="20"/>
          <w:szCs w:val="20"/>
          <w:color w:val="auto"/>
        </w:rPr>
      </w:pPr>
    </w:p>
    <w:p>
      <w:pPr>
        <w:ind w:firstLine="1499"/>
        <w:spacing w:after="0" w:line="266" w:lineRule="auto"/>
        <w:rPr>
          <w:sz w:val="20"/>
          <w:szCs w:val="20"/>
          <w:color w:val="auto"/>
        </w:rPr>
      </w:pPr>
      <w:r>
        <w:rPr>
          <w:rFonts w:ascii="Arial" w:cs="Arial" w:eastAsia="Arial" w:hAnsi="Arial"/>
          <w:sz w:val="20"/>
          <w:szCs w:val="20"/>
          <w:b w:val="1"/>
          <w:bCs w:val="1"/>
          <w:u w:val="single" w:color="auto"/>
          <w:color w:val="0000FF"/>
        </w:rPr>
        <w:t>“SOFR Administrator” means the Federal Reserve Bank of New York (or a successor administrator of the secured overnight financing 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22" w:name="page223"/>
    <w:bookmarkEnd w:id="222"/>
    <w:p>
      <w:pPr>
        <w:ind w:left="1500"/>
        <w:spacing w:after="0"/>
        <w:rPr>
          <w:sz w:val="20"/>
          <w:szCs w:val="20"/>
          <w:color w:val="auto"/>
        </w:rPr>
      </w:pPr>
      <w:r>
        <w:rPr>
          <w:rFonts w:ascii="Arial" w:cs="Arial" w:eastAsia="Arial" w:hAnsi="Arial"/>
          <w:sz w:val="20"/>
          <w:szCs w:val="20"/>
          <w:b w:val="1"/>
          <w:bCs w:val="1"/>
          <w:u w:val="single" w:color="auto"/>
          <w:color w:val="0000FF"/>
        </w:rPr>
        <w:t>“SOFR Borrowing” means, as to any Borrowing, the SOFR Loans comprising such</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Borrowing.</w:t>
      </w:r>
    </w:p>
    <w:p>
      <w:pPr>
        <w:spacing w:after="0" w:line="206" w:lineRule="exact"/>
        <w:rPr>
          <w:sz w:val="20"/>
          <w:szCs w:val="20"/>
          <w:color w:val="auto"/>
        </w:rPr>
      </w:pPr>
    </w:p>
    <w:p>
      <w:pPr>
        <w:ind w:firstLine="1499"/>
        <w:spacing w:after="0" w:line="266" w:lineRule="auto"/>
        <w:rPr>
          <w:sz w:val="20"/>
          <w:szCs w:val="20"/>
          <w:color w:val="auto"/>
        </w:rPr>
      </w:pPr>
      <w:r>
        <w:rPr>
          <w:rFonts w:ascii="Arial" w:cs="Arial" w:eastAsia="Arial" w:hAnsi="Arial"/>
          <w:sz w:val="20"/>
          <w:szCs w:val="20"/>
          <w:b w:val="1"/>
          <w:bCs w:val="1"/>
          <w:u w:val="single" w:color="auto"/>
          <w:color w:val="0000FF"/>
        </w:rPr>
        <w:t>“SOFR Loan” means a Loan that bears interest at a rate based on Adjusted Term SOFR, other than pursuant to clause (c) of the definition of “Alternate Base Rate”.</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Sold Entity or Business</w:t>
      </w:r>
      <w:r>
        <w:rPr>
          <w:rFonts w:ascii="Arial" w:cs="Arial" w:eastAsia="Arial" w:hAnsi="Arial"/>
          <w:sz w:val="20"/>
          <w:szCs w:val="20"/>
          <w:color w:val="auto"/>
        </w:rPr>
        <w:t>” has the meaning assigned to such term in the definition of the term “Consolidated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EBITDA.”</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Solicited Discount Proration</w:t>
      </w:r>
      <w:r>
        <w:rPr>
          <w:rFonts w:ascii="Arial" w:cs="Arial" w:eastAsia="Arial" w:hAnsi="Arial"/>
          <w:sz w:val="20"/>
          <w:szCs w:val="20"/>
          <w:color w:val="auto"/>
        </w:rPr>
        <w:t>” has the meaning  assigned  to  such  term  in Section 2.11(a)(ii)(D)(3).</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Solicited Discounted Prepayment Amount</w:t>
      </w:r>
      <w:r>
        <w:rPr>
          <w:rFonts w:ascii="Arial" w:cs="Arial" w:eastAsia="Arial" w:hAnsi="Arial"/>
          <w:sz w:val="19"/>
          <w:szCs w:val="19"/>
          <w:color w:val="auto"/>
        </w:rPr>
        <w:t>” has the meaning assigned to such term in Section 2.11(a)(ii)(D)(1).</w:t>
      </w:r>
    </w:p>
    <w:p>
      <w:pPr>
        <w:spacing w:after="0" w:line="240" w:lineRule="exact"/>
        <w:rPr>
          <w:sz w:val="20"/>
          <w:szCs w:val="20"/>
          <w:color w:val="auto"/>
        </w:rPr>
      </w:pPr>
    </w:p>
    <w:p>
      <w:pPr>
        <w:ind w:right="22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Solicited Discounted Prepayment Notice</w:t>
      </w:r>
      <w:r>
        <w:rPr>
          <w:rFonts w:ascii="Arial" w:cs="Arial" w:eastAsia="Arial" w:hAnsi="Arial"/>
          <w:sz w:val="20"/>
          <w:szCs w:val="20"/>
          <w:color w:val="auto"/>
        </w:rPr>
        <w:t>” means an irrevocable written notice of a Borrower Solicitation of Discounted Prepayment Offers made pursuant to Section 2.11(a)(ii)(D) substantially in the form of Exhibit K.</w:t>
      </w:r>
    </w:p>
    <w:p>
      <w:pPr>
        <w:spacing w:after="0" w:line="189" w:lineRule="exact"/>
        <w:rPr>
          <w:sz w:val="20"/>
          <w:szCs w:val="20"/>
          <w:color w:val="auto"/>
        </w:rPr>
      </w:pPr>
    </w:p>
    <w:p>
      <w:pPr>
        <w:ind w:right="220" w:firstLine="1499"/>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Offer</w:t>
      </w:r>
      <w:r>
        <w:rPr>
          <w:rFonts w:ascii="Arial" w:cs="Arial" w:eastAsia="Arial" w:hAnsi="Arial"/>
          <w:sz w:val="18"/>
          <w:szCs w:val="18"/>
          <w:color w:val="auto"/>
        </w:rPr>
        <w:t>” means the irrevocable written offer by each Term Lender, substantially in the form of Exhibit L, submitted following the Administrative Agent’s receipt of a Solicited Discounted Prepayment Notice.</w:t>
      </w:r>
    </w:p>
    <w:p>
      <w:pPr>
        <w:spacing w:after="0" w:line="14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Response Date</w:t>
      </w:r>
      <w:r>
        <w:rPr>
          <w:rFonts w:ascii="Arial" w:cs="Arial" w:eastAsia="Arial" w:hAnsi="Arial"/>
          <w:sz w:val="18"/>
          <w:szCs w:val="18"/>
          <w:color w:val="auto"/>
        </w:rPr>
        <w:t>” has the meaning assigned to such term in Section 2.11(a)(ii)(D)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Discount</w:t>
      </w:r>
      <w:r>
        <w:rPr>
          <w:rFonts w:ascii="Arial" w:cs="Arial" w:eastAsia="Arial" w:hAnsi="Arial"/>
          <w:sz w:val="20"/>
          <w:szCs w:val="20"/>
          <w:color w:val="auto"/>
        </w:rPr>
        <w:t>” has the meaning assigned to such term in Section 2.11(a)(ii)(B)(1).</w:t>
      </w:r>
    </w:p>
    <w:p>
      <w:pPr>
        <w:spacing w:after="0" w:line="228" w:lineRule="exact"/>
        <w:rPr>
          <w:sz w:val="20"/>
          <w:szCs w:val="20"/>
          <w:color w:val="auto"/>
        </w:rPr>
      </w:pPr>
    </w:p>
    <w:p>
      <w:pPr>
        <w:ind w:right="2900" w:firstLine="1495"/>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Discount Prepayment Amount</w:t>
      </w:r>
      <w:r>
        <w:rPr>
          <w:rFonts w:ascii="Arial" w:cs="Arial" w:eastAsia="Arial" w:hAnsi="Arial"/>
          <w:sz w:val="20"/>
          <w:szCs w:val="20"/>
          <w:color w:val="auto"/>
        </w:rPr>
        <w:t>” has the meaning assigned to such term in Section 2.11(a)(ii)(B)(1).</w:t>
      </w:r>
    </w:p>
    <w:p>
      <w:pPr>
        <w:spacing w:after="0" w:line="189" w:lineRule="exact"/>
        <w:rPr>
          <w:sz w:val="20"/>
          <w:szCs w:val="20"/>
          <w:color w:val="auto"/>
        </w:rPr>
      </w:pPr>
    </w:p>
    <w:p>
      <w:pPr>
        <w:ind w:right="22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Discount Prepayment Notice</w:t>
      </w:r>
      <w:r>
        <w:rPr>
          <w:rFonts w:ascii="Arial" w:cs="Arial" w:eastAsia="Arial" w:hAnsi="Arial"/>
          <w:sz w:val="20"/>
          <w:szCs w:val="20"/>
          <w:color w:val="auto"/>
        </w:rPr>
        <w:t>” means an irrevocable written notice of the Borrower Offer of Specified Discount Prepayment made pursuant to Section 2.11(a)(ii)(B) substantially in the form of Exhibit G.</w:t>
      </w:r>
    </w:p>
    <w:p>
      <w:pPr>
        <w:spacing w:after="0" w:line="189" w:lineRule="exact"/>
        <w:rPr>
          <w:sz w:val="20"/>
          <w:szCs w:val="20"/>
          <w:color w:val="auto"/>
        </w:rPr>
      </w:pPr>
    </w:p>
    <w:p>
      <w:pPr>
        <w:ind w:right="16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Discount Prepayment Response</w:t>
      </w:r>
      <w:r>
        <w:rPr>
          <w:rFonts w:ascii="Arial" w:cs="Arial" w:eastAsia="Arial" w:hAnsi="Arial"/>
          <w:sz w:val="20"/>
          <w:szCs w:val="20"/>
          <w:color w:val="auto"/>
        </w:rPr>
        <w:t>” means the irrevocable written response by each Term Lender, substantially in the form of Exhibit H, to a Specified Discount Prepayment Notice.</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Response Date</w:t>
      </w:r>
      <w:r>
        <w:rPr>
          <w:rFonts w:ascii="Arial" w:cs="Arial" w:eastAsia="Arial" w:hAnsi="Arial"/>
          <w:sz w:val="18"/>
          <w:szCs w:val="18"/>
          <w:color w:val="auto"/>
        </w:rPr>
        <w:t>” has the meaning assigned to such term in Section 2.11(a)(ii)(B)(1).</w:t>
      </w:r>
    </w:p>
    <w:p>
      <w:pPr>
        <w:spacing w:after="0" w:line="25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Discount Proration</w:t>
      </w:r>
      <w:r>
        <w:rPr>
          <w:rFonts w:ascii="Arial" w:cs="Arial" w:eastAsia="Arial" w:hAnsi="Arial"/>
          <w:sz w:val="20"/>
          <w:szCs w:val="20"/>
          <w:color w:val="auto"/>
        </w:rPr>
        <w:t>” has the meaning assigned to such term in Section 2.11(a)(ii)(B)(3).</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means an Event of Default under Section 7.01(a), (b), (h) or (i).</w:t>
      </w:r>
    </w:p>
    <w:p>
      <w:pPr>
        <w:spacing w:after="0" w:line="228" w:lineRule="exact"/>
        <w:rPr>
          <w:sz w:val="20"/>
          <w:szCs w:val="20"/>
          <w:color w:val="auto"/>
        </w:rPr>
      </w:pPr>
    </w:p>
    <w:p>
      <w:pPr>
        <w:ind w:right="22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w:t>
      </w:r>
      <w:r>
        <w:rPr>
          <w:rFonts w:ascii="Arial" w:cs="Arial" w:eastAsia="Arial" w:hAnsi="Arial"/>
          <w:sz w:val="20"/>
          <w:szCs w:val="20"/>
          <w:color w:val="auto"/>
        </w:rPr>
        <w:t>” means any Investment, acquisition (including the commitment of activities constituting such business), sale, transfer or other disposition of assets, incurrence or repayment</w:t>
      </w:r>
    </w:p>
    <w:p>
      <w:pPr>
        <w:spacing w:after="0" w:line="17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346" w:right="339" w:bottom="1440" w:gutter="0" w:footer="0" w:header="0"/>
        </w:sectPr>
      </w:pPr>
    </w:p>
    <w:bookmarkStart w:id="223" w:name="page224"/>
    <w:bookmarkEnd w:id="223"/>
    <w:p>
      <w:pPr>
        <w:jc w:val="both"/>
        <w:ind w:right="40"/>
        <w:spacing w:after="0" w:line="246" w:lineRule="auto"/>
        <w:rPr>
          <w:sz w:val="20"/>
          <w:szCs w:val="20"/>
          <w:color w:val="auto"/>
        </w:rPr>
      </w:pPr>
      <w:r>
        <w:rPr>
          <w:rFonts w:ascii="Arial" w:cs="Arial" w:eastAsia="Arial" w:hAnsi="Arial"/>
          <w:sz w:val="20"/>
          <w:szCs w:val="20"/>
          <w:color w:val="auto"/>
        </w:rPr>
        <w:t>of Indebtedness (including any repayment of the Existing Convertible Notes), incurrence of Liens, Restricted Payment, subsidiary designation, commencement of a New Project or other event that by the terms of the Loan Documents requires “Pro Forma Compliance” with a test or covenant hereunder or requires such test or covenant to be calculated on a Pro Forma Basis after giving Pro Forma Effect thereto.</w:t>
      </w:r>
    </w:p>
    <w:p>
      <w:pPr>
        <w:spacing w:after="0" w:line="204"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means, on any day, with respect to any currency other than Dollars (for purposes of determining the Dollar Amount thereof) or Dollars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Administrative Agent for such purpose, or, at the discretion of the Administrative Agent, such Spot Rate shall instead be the arithmetic average of the spot rates of exchange of the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of any such determination, for any reason, no such spot rate is being quoted, the Administrative Agent may use any other reasonable method it deems appropriate to determine such rate, and such determination shall be presumed correct absent manifest error.</w:t>
      </w:r>
    </w:p>
    <w:p>
      <w:pPr>
        <w:spacing w:after="0" w:line="186" w:lineRule="exact"/>
        <w:rPr>
          <w:sz w:val="20"/>
          <w:szCs w:val="20"/>
          <w:color w:val="auto"/>
        </w:rPr>
      </w:pPr>
    </w:p>
    <w:p>
      <w:pPr>
        <w:jc w:val="both"/>
        <w:ind w:right="40" w:firstLine="149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Reserve Rate</w:t>
      </w:r>
      <w:r>
        <w:rPr>
          <w:rFonts w:ascii="Arial" w:cs="Arial" w:eastAsia="Arial" w:hAnsi="Arial"/>
          <w:sz w:val="18"/>
          <w:szCs w:val="18"/>
          <w:color w:val="auto"/>
        </w:rPr>
        <w:t xml:space="preserve">” means a fraction (expressed as a decimal), the numerator of which is the number one and the denominator of which is the number one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of the maximum reserve, liquid asset or similar percentages (including any marginal, special, emergency or supplemental reserves) expressed as a decimal established by any Governmental Authority to be applicable to any member bank of the Federal Reserve System in respect of Eurocurrency funding or liabilities. Such reserve, liquid asset or similar percentages shall include those imposed pursuant to Regulation D of the Board of Governors.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shall be deemed to be subject to such reserve, liquid asset or similar requirements without benefit of or credit for proration, exemptions or offsets that may be available from time to time to any Lender under Regulation D or any other Requirements of Law. The Statutory Reserve Rate shall be adjusted automatically on and as of the effective date of any change in any reserve percentage.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the lawful currency for the time being of the United Kingdom.</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Submitted Amount</w:t>
      </w:r>
      <w:r>
        <w:rPr>
          <w:rFonts w:ascii="Arial" w:cs="Arial" w:eastAsia="Arial" w:hAnsi="Arial"/>
          <w:sz w:val="20"/>
          <w:szCs w:val="20"/>
          <w:color w:val="auto"/>
        </w:rPr>
        <w:t>” has the meaning assigned to such term in Section 2.11(a)(ii)(C)(1).</w:t>
      </w:r>
    </w:p>
    <w:p>
      <w:pPr>
        <w:spacing w:after="0" w:line="228" w:lineRule="exact"/>
        <w:rPr>
          <w:sz w:val="20"/>
          <w:szCs w:val="20"/>
          <w:color w:val="auto"/>
        </w:rPr>
      </w:pPr>
    </w:p>
    <w:p>
      <w:pPr>
        <w:ind w:left="1500"/>
        <w:spacing w:after="0"/>
        <w:tabs>
          <w:tab w:leader="none" w:pos="2560" w:val="left"/>
          <w:tab w:leader="none" w:pos="3560" w:val="left"/>
          <w:tab w:leader="none" w:pos="4020" w:val="left"/>
          <w:tab w:leader="none" w:pos="4460" w:val="left"/>
          <w:tab w:leader="none" w:pos="5340" w:val="left"/>
          <w:tab w:leader="none" w:pos="6220" w:val="left"/>
          <w:tab w:leader="none" w:pos="6580" w:val="left"/>
          <w:tab w:leader="none" w:pos="7180" w:val="left"/>
          <w:tab w:leader="none" w:pos="7800" w:val="left"/>
        </w:tabs>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Submitted</w:t>
      </w:r>
      <w:r>
        <w:rPr>
          <w:sz w:val="20"/>
          <w:szCs w:val="20"/>
          <w:color w:val="auto"/>
        </w:rPr>
        <w:tab/>
      </w:r>
      <w:r>
        <w:rPr>
          <w:rFonts w:ascii="Arial" w:cs="Arial" w:eastAsia="Arial" w:hAnsi="Arial"/>
          <w:sz w:val="20"/>
          <w:szCs w:val="20"/>
          <w:u w:val="single" w:color="auto"/>
          <w:color w:val="auto"/>
        </w:rPr>
        <w:t>Discount</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has</w:t>
        <w:tab/>
        <w:t>the</w:t>
        <w:tab/>
        <w:t>meaning</w:t>
        <w:tab/>
        <w:t>assigned</w:t>
        <w:tab/>
        <w:t>to</w:t>
        <w:tab/>
        <w:t>such</w:t>
        <w:tab/>
        <w:t>term</w:t>
      </w:r>
      <w:r>
        <w:rPr>
          <w:sz w:val="20"/>
          <w:szCs w:val="20"/>
          <w:color w:val="auto"/>
        </w:rPr>
        <w:tab/>
      </w:r>
      <w:r>
        <w:rPr>
          <w:rFonts w:ascii="Arial" w:cs="Arial" w:eastAsia="Arial" w:hAnsi="Arial"/>
          <w:sz w:val="18"/>
          <w:szCs w:val="18"/>
          <w:color w:val="auto"/>
        </w:rPr>
        <w:t>in Section 2.11(a)(ii)(C)(1).</w:t>
      </w:r>
    </w:p>
    <w:p>
      <w:pPr>
        <w:spacing w:after="0" w:line="228" w:lineRule="exact"/>
        <w:rPr>
          <w:sz w:val="20"/>
          <w:szCs w:val="20"/>
          <w:color w:val="auto"/>
        </w:rPr>
      </w:pPr>
    </w:p>
    <w:p>
      <w:pPr>
        <w:jc w:val="both"/>
        <w:ind w:right="40" w:firstLine="1499"/>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u w:val="single" w:color="auto"/>
          <w:color w:val="auto"/>
        </w:rPr>
        <w:t>parent</w:t>
      </w:r>
      <w:r>
        <w:rPr>
          <w:rFonts w:ascii="Arial" w:cs="Arial" w:eastAsia="Arial" w:hAnsi="Arial"/>
          <w:sz w:val="19"/>
          <w:szCs w:val="19"/>
          <w:color w:val="auto"/>
        </w:rPr>
        <w:t>”) at any date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or other similar non-corporate entity in which such Person and/or one or more subsidiaries of such Person owns more than a 50% equity interest at the time.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24" w:name="page225"/>
    <w:bookmarkEnd w:id="224"/>
    <w:p>
      <w:pPr>
        <w:jc w:val="both"/>
        <w:ind w:firstLine="149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subsidiary of the Borrower (unless otherwise specified). “</w:t>
      </w:r>
      <w:r>
        <w:rPr>
          <w:rFonts w:ascii="Arial" w:cs="Arial" w:eastAsia="Arial" w:hAnsi="Arial"/>
          <w:sz w:val="20"/>
          <w:szCs w:val="20"/>
          <w:u w:val="single" w:color="auto"/>
          <w:color w:val="auto"/>
        </w:rPr>
        <w:t>Subsidiary Loan Party</w:t>
      </w:r>
      <w:r>
        <w:rPr>
          <w:rFonts w:ascii="Arial" w:cs="Arial" w:eastAsia="Arial" w:hAnsi="Arial"/>
          <w:sz w:val="20"/>
          <w:szCs w:val="20"/>
          <w:color w:val="auto"/>
        </w:rPr>
        <w:t>” means each Restricted Subsidiary of the Borrower that is a party to the Guarantee Agreement or a guaranty governed by the laws of the Applicable Country in which a Foreign Subsidiary is incorporated or organized pursuant to Section 5.11.</w:t>
      </w:r>
    </w:p>
    <w:p>
      <w:pPr>
        <w:spacing w:after="0" w:line="19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Borrower</w:t>
      </w:r>
      <w:r>
        <w:rPr>
          <w:rFonts w:ascii="Arial" w:cs="Arial" w:eastAsia="Arial" w:hAnsi="Arial"/>
          <w:sz w:val="20"/>
          <w:szCs w:val="20"/>
          <w:color w:val="auto"/>
        </w:rPr>
        <w:t>” has the meaning assigned to such term in Section 6.03(a)(iv).</w:t>
      </w:r>
    </w:p>
    <w:p>
      <w:pPr>
        <w:spacing w:after="0" w:line="228"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Supermajority Lenders</w:t>
      </w:r>
      <w:r>
        <w:rPr>
          <w:rFonts w:ascii="Arial" w:cs="Arial" w:eastAsia="Arial" w:hAnsi="Arial"/>
          <w:sz w:val="19"/>
          <w:szCs w:val="19"/>
          <w:color w:val="auto"/>
        </w:rPr>
        <w:t xml:space="preserve">” means, at any time, Lenders having Revolving Exposures, Term Loans and unused Commitments representing more than 66 2/3% of the aggregate Revolving Exposures, outstanding Term Loans and unused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set forth in Section 9.02 or Section 9.04 whenever there are one or more Defaulting Lenders, the total outstanding Term Loans and Revolving Exposures of, and the unused Revolving Commitments of, each Defaulting Lender shall be excluded for purposes of making a determination of Supermajority Lenders.</w:t>
      </w:r>
    </w:p>
    <w:p>
      <w:pPr>
        <w:spacing w:after="0" w:line="19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has the meaning set forth in Section 9.22.</w:t>
      </w:r>
    </w:p>
    <w:p>
      <w:pPr>
        <w:spacing w:after="0" w:line="228" w:lineRule="exact"/>
        <w:rPr>
          <w:sz w:val="20"/>
          <w:szCs w:val="20"/>
          <w:color w:val="auto"/>
        </w:rPr>
      </w:pPr>
    </w:p>
    <w:p>
      <w:pPr>
        <w:jc w:val="both"/>
        <w:ind w:firstLine="14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Person</w:t>
      </w:r>
      <w:r>
        <w:rPr>
          <w:rFonts w:ascii="Arial" w:cs="Arial" w:eastAsia="Arial" w:hAnsi="Arial"/>
          <w:sz w:val="20"/>
          <w:szCs w:val="20"/>
          <w:color w:val="auto"/>
        </w:rPr>
        <w:t>” has the meaning assigned to such term in Section 6.04.</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Distributions</w:t>
      </w:r>
      <w:r>
        <w:rPr>
          <w:rFonts w:ascii="Arial" w:cs="Arial" w:eastAsia="Arial" w:hAnsi="Arial"/>
          <w:sz w:val="20"/>
          <w:szCs w:val="20"/>
          <w:color w:val="auto"/>
        </w:rPr>
        <w:t>” has the meaning assigned to such term in Section 6.07(a)(vii)(A).</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Group</w:t>
      </w:r>
      <w:r>
        <w:rPr>
          <w:rFonts w:ascii="Arial" w:cs="Arial" w:eastAsia="Arial" w:hAnsi="Arial"/>
          <w:sz w:val="20"/>
          <w:szCs w:val="20"/>
          <w:color w:val="auto"/>
        </w:rPr>
        <w:t>” has the meaning assigned to such term in Section 6.07(a)(vii)(A).</w:t>
      </w:r>
    </w:p>
    <w:p>
      <w:pPr>
        <w:spacing w:after="0" w:line="228" w:lineRule="exact"/>
        <w:rPr>
          <w:sz w:val="20"/>
          <w:szCs w:val="20"/>
          <w:color w:val="auto"/>
        </w:rPr>
      </w:pPr>
    </w:p>
    <w:p>
      <w:pPr>
        <w:jc w:val="both"/>
        <w:ind w:firstLine="1499"/>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any and all present or future taxes, levies, imposts, duties, deductions, charges or withholdings imposed by any Governmental Authority, including any interest, additions to tax or penalties applicable thereto.</w:t>
      </w:r>
    </w:p>
    <w:p>
      <w:pPr>
        <w:spacing w:after="0" w:line="167" w:lineRule="exact"/>
        <w:rPr>
          <w:sz w:val="20"/>
          <w:szCs w:val="20"/>
          <w:color w:val="auto"/>
        </w:rPr>
      </w:pPr>
    </w:p>
    <w:p>
      <w:pPr>
        <w:jc w:val="both"/>
        <w:ind w:firstLine="149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Commitment</w:t>
      </w:r>
      <w:r>
        <w:rPr>
          <w:rFonts w:ascii="Arial" w:cs="Arial" w:eastAsia="Arial" w:hAnsi="Arial"/>
          <w:sz w:val="20"/>
          <w:szCs w:val="20"/>
          <w:color w:val="auto"/>
        </w:rPr>
        <w:t>” means, with respect to each Lender, the commitment, if any, of such Lender to make a Term Loan hereunder on the Effective Date, expressed as an amount representing the maximum principal amount of the Term Loan to be made by such Lender hereunder. The amount of each Lender’s Term Commitment as of the Effective Date is set forth on Schedule 2.01. As of the Effective Date, the total Term Commitment is $725,000,000.</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means a Lender with a Term Commitment or an outstanding Term Loan.</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Initial Term Loans, Other Term Loans and Incremental Term Loans, as the context requires.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225" w:name="page226"/>
    <w:bookmarkEnd w:id="225"/>
    <w:p>
      <w:pPr>
        <w:jc w:val="both"/>
        <w:ind w:left="8" w:right="6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Maturity Date</w:t>
      </w:r>
      <w:r>
        <w:rPr>
          <w:rFonts w:ascii="Arial" w:cs="Arial" w:eastAsia="Arial" w:hAnsi="Arial"/>
          <w:sz w:val="20"/>
          <w:szCs w:val="20"/>
          <w:color w:val="auto"/>
        </w:rPr>
        <w:t>” means April 30, 2028 (or, with respect to any Term Lender that has extended the maturity date of its Term Loans in accordance with the terms of this Agreement, the extended maturity date set forth in the applicable Loan Modification Agreement, Refinancing Amendment or other amendment hereto).</w:t>
      </w:r>
    </w:p>
    <w:p>
      <w:pPr>
        <w:spacing w:after="0" w:line="209" w:lineRule="exact"/>
        <w:rPr>
          <w:sz w:val="20"/>
          <w:szCs w:val="20"/>
          <w:color w:val="auto"/>
        </w:rPr>
      </w:pPr>
    </w:p>
    <w:p>
      <w:pPr>
        <w:ind w:left="1508"/>
        <w:spacing w:after="0"/>
        <w:rPr>
          <w:sz w:val="20"/>
          <w:szCs w:val="20"/>
          <w:color w:val="auto"/>
        </w:rPr>
      </w:pPr>
      <w:r>
        <w:rPr>
          <w:rFonts w:ascii="Arial" w:cs="Arial" w:eastAsia="Arial" w:hAnsi="Arial"/>
          <w:sz w:val="20"/>
          <w:szCs w:val="20"/>
          <w:b w:val="1"/>
          <w:bCs w:val="1"/>
          <w:u w:val="single" w:color="auto"/>
          <w:color w:val="0000FF"/>
        </w:rPr>
        <w:t>“Term SOFR” means,</w:t>
      </w:r>
    </w:p>
    <w:p>
      <w:pPr>
        <w:spacing w:after="0" w:line="309" w:lineRule="exact"/>
        <w:rPr>
          <w:sz w:val="20"/>
          <w:szCs w:val="20"/>
          <w:color w:val="auto"/>
        </w:rPr>
      </w:pPr>
    </w:p>
    <w:p>
      <w:pPr>
        <w:jc w:val="both"/>
        <w:ind w:left="8" w:firstLine="1467"/>
        <w:spacing w:after="0" w:line="268" w:lineRule="auto"/>
        <w:tabs>
          <w:tab w:leader="none" w:pos="2221" w:val="left"/>
        </w:tabs>
        <w:numPr>
          <w:ilvl w:val="1"/>
          <w:numId w:val="13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0000FF"/>
        </w:rPr>
        <w:t>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w:t>
      </w:r>
    </w:p>
    <w:p>
      <w:pPr>
        <w:spacing w:after="0" w:line="4" w:lineRule="exact"/>
        <w:rPr>
          <w:rFonts w:ascii="Arial" w:cs="Arial" w:eastAsia="Arial" w:hAnsi="Arial"/>
          <w:sz w:val="18"/>
          <w:szCs w:val="18"/>
          <w:b w:val="1"/>
          <w:bCs w:val="1"/>
          <w:u w:val="single" w:color="auto"/>
          <w:color w:val="auto"/>
        </w:rPr>
      </w:pPr>
    </w:p>
    <w:p>
      <w:pPr>
        <w:ind w:left="288" w:hanging="288"/>
        <w:spacing w:after="0"/>
        <w:tabs>
          <w:tab w:leader="none" w:pos="288" w:val="left"/>
        </w:tabs>
        <w:numPr>
          <w:ilvl w:val="0"/>
          <w:numId w:val="137"/>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U.S. Government Securities Business Days prior to such Periodic Term SOFR Determination Day, and</w:t>
      </w:r>
    </w:p>
    <w:p>
      <w:pPr>
        <w:spacing w:after="0" w:line="300" w:lineRule="exact"/>
        <w:rPr>
          <w:rFonts w:ascii="Arial" w:cs="Arial" w:eastAsia="Arial" w:hAnsi="Arial"/>
          <w:sz w:val="20"/>
          <w:szCs w:val="20"/>
          <w:b w:val="1"/>
          <w:bCs w:val="1"/>
          <w:u w:val="single" w:color="auto"/>
          <w:color w:val="0000FF"/>
        </w:rPr>
      </w:pPr>
    </w:p>
    <w:p>
      <w:pPr>
        <w:jc w:val="both"/>
        <w:ind w:left="8" w:firstLine="1467"/>
        <w:spacing w:after="0" w:line="256" w:lineRule="auto"/>
        <w:tabs>
          <w:tab w:leader="none" w:pos="2221" w:val="left"/>
        </w:tabs>
        <w:numPr>
          <w:ilvl w:val="1"/>
          <w:numId w:val="137"/>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0000FF"/>
        </w:rPr>
        <w:t>for any calculation with respect to an ABR Loan on any day, the Term SOFR Reference Rate for a tenor of one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151" w:lineRule="exact"/>
        <w:rPr>
          <w:sz w:val="20"/>
          <w:szCs w:val="20"/>
          <w:color w:val="auto"/>
        </w:rPr>
      </w:pPr>
    </w:p>
    <w:p>
      <w:pPr>
        <w:ind w:left="8" w:right="40" w:firstLine="1499"/>
        <w:spacing w:after="0" w:line="266" w:lineRule="auto"/>
        <w:rPr>
          <w:sz w:val="20"/>
          <w:szCs w:val="20"/>
          <w:color w:val="auto"/>
        </w:rPr>
      </w:pPr>
      <w:r>
        <w:rPr>
          <w:rFonts w:ascii="Arial" w:cs="Arial" w:eastAsia="Arial" w:hAnsi="Arial"/>
          <w:sz w:val="20"/>
          <w:szCs w:val="20"/>
          <w:b w:val="1"/>
          <w:bCs w:val="1"/>
          <w:u w:val="single" w:color="auto"/>
          <w:color w:val="0000FF"/>
        </w:rPr>
        <w:t>“Term SOFR Adjustment” means, for any calculation with respect to a SOFR Loan, a percentage per annum as set forth below for the applicable Interest Period therefor:</w:t>
      </w:r>
    </w:p>
    <w:p>
      <w:pPr>
        <w:spacing w:after="0" w:line="191" w:lineRule="exact"/>
        <w:rPr>
          <w:sz w:val="20"/>
          <w:szCs w:val="20"/>
          <w:color w:val="auto"/>
        </w:rPr>
      </w:pPr>
    </w:p>
    <w:tbl>
      <w:tblPr>
        <w:tblLayout w:type="fixed"/>
        <w:tblInd w:w="1438" w:type="dxa"/>
        <w:tblCellMar>
          <w:top w:w="0" w:type="dxa"/>
          <w:left w:w="0" w:type="dxa"/>
          <w:bottom w:w="0" w:type="dxa"/>
          <w:right w:w="0" w:type="dxa"/>
        </w:tblCellMar>
      </w:tblPr>
      <w:tr>
        <w:trPr>
          <w:trHeight w:val="219"/>
        </w:trPr>
        <w:tc>
          <w:tcPr>
            <w:tcW w:w="860" w:type="dxa"/>
            <w:vAlign w:val="bottom"/>
            <w:tcBorders>
              <w:top w:val="single" w:sz="8" w:color="010101"/>
              <w:left w:val="single" w:sz="8" w:color="010101"/>
            </w:tcBorders>
            <w:shd w:val="clear" w:color="auto" w:fill="E6E6FA"/>
          </w:tcPr>
          <w:p>
            <w:pPr>
              <w:spacing w:after="0"/>
              <w:rPr>
                <w:sz w:val="19"/>
                <w:szCs w:val="19"/>
                <w:color w:val="auto"/>
              </w:rPr>
            </w:pPr>
          </w:p>
        </w:tc>
        <w:tc>
          <w:tcPr>
            <w:tcW w:w="2760" w:type="dxa"/>
            <w:vAlign w:val="bottom"/>
            <w:tcBorders>
              <w:top w:val="single" w:sz="8" w:color="010101"/>
              <w:right w:val="single" w:sz="8" w:color="010101"/>
            </w:tcBorders>
            <w:gridSpan w:val="6"/>
            <w:shd w:val="clear" w:color="auto" w:fill="E6E6FA"/>
          </w:tcPr>
          <w:p>
            <w:pPr>
              <w:jc w:val="center"/>
              <w:ind w:right="1500"/>
              <w:spacing w:after="0" w:line="219" w:lineRule="exact"/>
              <w:rPr>
                <w:sz w:val="20"/>
                <w:szCs w:val="20"/>
                <w:color w:val="auto"/>
              </w:rPr>
            </w:pPr>
            <w:r>
              <w:rPr>
                <w:rFonts w:ascii="Arial" w:cs="Arial" w:eastAsia="Arial" w:hAnsi="Arial"/>
                <w:sz w:val="20"/>
                <w:szCs w:val="20"/>
                <w:b w:val="1"/>
                <w:bCs w:val="1"/>
                <w:color w:val="0000FF"/>
                <w:w w:val="89"/>
              </w:rPr>
              <w:t>Interest Period</w:t>
            </w:r>
          </w:p>
        </w:tc>
        <w:tc>
          <w:tcPr>
            <w:tcW w:w="1000" w:type="dxa"/>
            <w:vAlign w:val="bottom"/>
            <w:tcBorders>
              <w:top w:val="single" w:sz="8" w:color="010101"/>
            </w:tcBorders>
            <w:shd w:val="clear" w:color="auto" w:fill="E6E6FA"/>
          </w:tcPr>
          <w:p>
            <w:pPr>
              <w:spacing w:after="0"/>
              <w:rPr>
                <w:sz w:val="19"/>
                <w:szCs w:val="19"/>
                <w:color w:val="auto"/>
              </w:rPr>
            </w:pPr>
          </w:p>
        </w:tc>
        <w:tc>
          <w:tcPr>
            <w:tcW w:w="2780" w:type="dxa"/>
            <w:vAlign w:val="bottom"/>
            <w:tcBorders>
              <w:top w:val="single" w:sz="8" w:color="010101"/>
              <w:right w:val="single" w:sz="8" w:color="010101"/>
            </w:tcBorders>
            <w:gridSpan w:val="4"/>
            <w:shd w:val="clear" w:color="auto" w:fill="E6E6FA"/>
          </w:tcPr>
          <w:p>
            <w:pPr>
              <w:spacing w:after="0" w:line="219" w:lineRule="exact"/>
              <w:rPr>
                <w:sz w:val="20"/>
                <w:szCs w:val="20"/>
                <w:color w:val="auto"/>
              </w:rPr>
            </w:pPr>
            <w:r>
              <w:rPr>
                <w:rFonts w:ascii="Arial" w:cs="Arial" w:eastAsia="Arial" w:hAnsi="Arial"/>
                <w:sz w:val="20"/>
                <w:szCs w:val="20"/>
                <w:b w:val="1"/>
                <w:bCs w:val="1"/>
                <w:color w:val="0000FF"/>
              </w:rPr>
              <w:t>Percentage</w:t>
            </w:r>
          </w:p>
        </w:tc>
      </w:tr>
      <w:tr>
        <w:trPr>
          <w:trHeight w:val="204"/>
        </w:trPr>
        <w:tc>
          <w:tcPr>
            <w:tcW w:w="860" w:type="dxa"/>
            <w:vAlign w:val="bottom"/>
            <w:tcBorders>
              <w:top w:val="single" w:sz="8" w:color="E6E6FA"/>
              <w:left w:val="single" w:sz="8" w:color="010101"/>
              <w:bottom w:val="single" w:sz="8" w:color="010101"/>
            </w:tcBorders>
            <w:shd w:val="clear" w:color="auto" w:fill="E6E6FA"/>
          </w:tcPr>
          <w:p>
            <w:pPr>
              <w:spacing w:after="0"/>
              <w:rPr>
                <w:sz w:val="17"/>
                <w:szCs w:val="17"/>
                <w:color w:val="auto"/>
              </w:rPr>
            </w:pPr>
          </w:p>
        </w:tc>
        <w:tc>
          <w:tcPr>
            <w:tcW w:w="40" w:type="dxa"/>
            <w:vAlign w:val="bottom"/>
            <w:tcBorders>
              <w:top w:val="single" w:sz="8" w:color="0000FF"/>
              <w:bottom w:val="single" w:sz="8" w:color="010101"/>
            </w:tcBorders>
            <w:shd w:val="clear" w:color="auto" w:fill="E6E6FA"/>
          </w:tcPr>
          <w:p>
            <w:pPr>
              <w:spacing w:after="0"/>
              <w:rPr>
                <w:sz w:val="17"/>
                <w:szCs w:val="17"/>
                <w:color w:val="auto"/>
              </w:rPr>
            </w:pPr>
          </w:p>
        </w:tc>
        <w:tc>
          <w:tcPr>
            <w:tcW w:w="80" w:type="dxa"/>
            <w:vAlign w:val="bottom"/>
            <w:tcBorders>
              <w:top w:val="single" w:sz="8" w:color="0000FF"/>
              <w:bottom w:val="single" w:sz="8" w:color="010101"/>
            </w:tcBorders>
            <w:shd w:val="clear" w:color="auto" w:fill="E6E6FA"/>
          </w:tcPr>
          <w:p>
            <w:pPr>
              <w:spacing w:after="0"/>
              <w:rPr>
                <w:sz w:val="17"/>
                <w:szCs w:val="17"/>
                <w:color w:val="auto"/>
              </w:rPr>
            </w:pPr>
          </w:p>
        </w:tc>
        <w:tc>
          <w:tcPr>
            <w:tcW w:w="940" w:type="dxa"/>
            <w:vAlign w:val="bottom"/>
            <w:tcBorders>
              <w:top w:val="single" w:sz="8" w:color="0000FF"/>
              <w:bottom w:val="single" w:sz="8" w:color="010101"/>
            </w:tcBorders>
            <w:shd w:val="clear" w:color="auto" w:fill="E6E6FA"/>
          </w:tcPr>
          <w:p>
            <w:pPr>
              <w:spacing w:after="0"/>
              <w:rPr>
                <w:sz w:val="17"/>
                <w:szCs w:val="17"/>
                <w:color w:val="auto"/>
              </w:rPr>
            </w:pPr>
          </w:p>
        </w:tc>
        <w:tc>
          <w:tcPr>
            <w:tcW w:w="160" w:type="dxa"/>
            <w:vAlign w:val="bottom"/>
            <w:tcBorders>
              <w:top w:val="single" w:sz="8" w:color="0000FF"/>
              <w:bottom w:val="single" w:sz="8" w:color="010101"/>
            </w:tcBorders>
            <w:shd w:val="clear" w:color="auto" w:fill="E6E6FA"/>
          </w:tcPr>
          <w:p>
            <w:pPr>
              <w:spacing w:after="0"/>
              <w:rPr>
                <w:sz w:val="17"/>
                <w:szCs w:val="17"/>
                <w:color w:val="auto"/>
              </w:rPr>
            </w:pPr>
          </w:p>
        </w:tc>
        <w:tc>
          <w:tcPr>
            <w:tcW w:w="40" w:type="dxa"/>
            <w:vAlign w:val="bottom"/>
            <w:tcBorders>
              <w:top w:val="single" w:sz="8" w:color="0000FF"/>
              <w:bottom w:val="single" w:sz="8" w:color="010101"/>
            </w:tcBorders>
            <w:shd w:val="clear" w:color="auto" w:fill="E6E6FA"/>
          </w:tcPr>
          <w:p>
            <w:pPr>
              <w:spacing w:after="0"/>
              <w:rPr>
                <w:sz w:val="17"/>
                <w:szCs w:val="17"/>
                <w:color w:val="auto"/>
              </w:rPr>
            </w:pPr>
          </w:p>
        </w:tc>
        <w:tc>
          <w:tcPr>
            <w:tcW w:w="1500" w:type="dxa"/>
            <w:vAlign w:val="bottom"/>
            <w:tcBorders>
              <w:top w:val="single" w:sz="8" w:color="E6E6FA"/>
              <w:bottom w:val="single" w:sz="8" w:color="010101"/>
              <w:right w:val="single" w:sz="8" w:color="010101"/>
            </w:tcBorders>
            <w:shd w:val="clear" w:color="auto" w:fill="E6E6FA"/>
          </w:tcPr>
          <w:p>
            <w:pPr>
              <w:spacing w:after="0"/>
              <w:rPr>
                <w:sz w:val="17"/>
                <w:szCs w:val="17"/>
                <w:color w:val="auto"/>
              </w:rPr>
            </w:pPr>
          </w:p>
        </w:tc>
        <w:tc>
          <w:tcPr>
            <w:tcW w:w="1000" w:type="dxa"/>
            <w:vAlign w:val="bottom"/>
            <w:tcBorders>
              <w:top w:val="single" w:sz="8" w:color="E6E6FA"/>
              <w:bottom w:val="single" w:sz="8" w:color="010101"/>
            </w:tcBorders>
            <w:shd w:val="clear" w:color="auto" w:fill="E6E6FA"/>
          </w:tcPr>
          <w:p>
            <w:pPr>
              <w:spacing w:after="0"/>
              <w:rPr>
                <w:sz w:val="17"/>
                <w:szCs w:val="17"/>
                <w:color w:val="auto"/>
              </w:rPr>
            </w:pPr>
          </w:p>
        </w:tc>
        <w:tc>
          <w:tcPr>
            <w:tcW w:w="820" w:type="dxa"/>
            <w:vAlign w:val="bottom"/>
            <w:tcBorders>
              <w:top w:val="single" w:sz="8" w:color="0000FF"/>
              <w:bottom w:val="single" w:sz="8" w:color="010101"/>
            </w:tcBorders>
            <w:shd w:val="clear" w:color="auto" w:fill="E6E6FA"/>
          </w:tcPr>
          <w:p>
            <w:pPr>
              <w:spacing w:after="0"/>
              <w:rPr>
                <w:sz w:val="17"/>
                <w:szCs w:val="17"/>
                <w:color w:val="auto"/>
              </w:rPr>
            </w:pPr>
          </w:p>
        </w:tc>
        <w:tc>
          <w:tcPr>
            <w:tcW w:w="20" w:type="dxa"/>
            <w:vAlign w:val="bottom"/>
            <w:tcBorders>
              <w:top w:val="single" w:sz="8" w:color="0000FF"/>
              <w:bottom w:val="single" w:sz="8" w:color="010101"/>
            </w:tcBorders>
            <w:shd w:val="clear" w:color="auto" w:fill="E6E6FA"/>
          </w:tcPr>
          <w:p>
            <w:pPr>
              <w:spacing w:after="0"/>
              <w:rPr>
                <w:sz w:val="17"/>
                <w:szCs w:val="17"/>
                <w:color w:val="auto"/>
              </w:rPr>
            </w:pPr>
          </w:p>
        </w:tc>
        <w:tc>
          <w:tcPr>
            <w:tcW w:w="80" w:type="dxa"/>
            <w:vAlign w:val="bottom"/>
            <w:tcBorders>
              <w:top w:val="single" w:sz="8" w:color="0000FF"/>
              <w:bottom w:val="single" w:sz="8" w:color="010101"/>
            </w:tcBorders>
            <w:shd w:val="clear" w:color="auto" w:fill="E6E6FA"/>
          </w:tcPr>
          <w:p>
            <w:pPr>
              <w:spacing w:after="0"/>
              <w:rPr>
                <w:sz w:val="17"/>
                <w:szCs w:val="17"/>
                <w:color w:val="auto"/>
              </w:rPr>
            </w:pPr>
          </w:p>
        </w:tc>
        <w:tc>
          <w:tcPr>
            <w:tcW w:w="1860" w:type="dxa"/>
            <w:vAlign w:val="bottom"/>
            <w:tcBorders>
              <w:top w:val="single" w:sz="8" w:color="E6E6FA"/>
              <w:bottom w:val="single" w:sz="8" w:color="010101"/>
              <w:right w:val="single" w:sz="8" w:color="010101"/>
            </w:tcBorders>
            <w:shd w:val="clear" w:color="auto" w:fill="E6E6FA"/>
          </w:tcPr>
          <w:p>
            <w:pPr>
              <w:spacing w:after="0"/>
              <w:rPr>
                <w:sz w:val="17"/>
                <w:szCs w:val="17"/>
                <w:color w:val="auto"/>
              </w:rPr>
            </w:pPr>
          </w:p>
        </w:tc>
      </w:tr>
      <w:tr>
        <w:trPr>
          <w:trHeight w:val="179"/>
        </w:trPr>
        <w:tc>
          <w:tcPr>
            <w:tcW w:w="860" w:type="dxa"/>
            <w:vAlign w:val="bottom"/>
            <w:tcBorders>
              <w:top w:val="single" w:sz="8" w:color="E6E6FA"/>
              <w:left w:val="single" w:sz="8" w:color="010101"/>
            </w:tcBorders>
            <w:shd w:val="clear" w:color="auto" w:fill="E6E6FA"/>
          </w:tcPr>
          <w:p>
            <w:pPr>
              <w:spacing w:after="0"/>
              <w:rPr>
                <w:sz w:val="15"/>
                <w:szCs w:val="15"/>
                <w:color w:val="auto"/>
              </w:rPr>
            </w:pPr>
          </w:p>
        </w:tc>
        <w:tc>
          <w:tcPr>
            <w:tcW w:w="40" w:type="dxa"/>
            <w:vAlign w:val="bottom"/>
            <w:tcBorders>
              <w:top w:val="single" w:sz="8" w:color="E6E6FA"/>
            </w:tcBorders>
            <w:shd w:val="clear" w:color="auto" w:fill="E6E6FA"/>
          </w:tcPr>
          <w:p>
            <w:pPr>
              <w:spacing w:after="0"/>
              <w:rPr>
                <w:sz w:val="15"/>
                <w:szCs w:val="15"/>
                <w:color w:val="auto"/>
              </w:rPr>
            </w:pPr>
          </w:p>
        </w:tc>
        <w:tc>
          <w:tcPr>
            <w:tcW w:w="80" w:type="dxa"/>
            <w:vAlign w:val="bottom"/>
            <w:tcBorders>
              <w:top w:val="single" w:sz="8" w:color="E6E6FA"/>
            </w:tcBorders>
            <w:shd w:val="clear" w:color="auto" w:fill="E6E6FA"/>
          </w:tcPr>
          <w:p>
            <w:pPr>
              <w:spacing w:after="0"/>
              <w:rPr>
                <w:sz w:val="15"/>
                <w:szCs w:val="15"/>
                <w:color w:val="auto"/>
              </w:rPr>
            </w:pPr>
          </w:p>
        </w:tc>
        <w:tc>
          <w:tcPr>
            <w:tcW w:w="2640" w:type="dxa"/>
            <w:vAlign w:val="bottom"/>
            <w:tcBorders>
              <w:top w:val="single" w:sz="8" w:color="E6E6FA"/>
              <w:right w:val="single" w:sz="8" w:color="010101"/>
            </w:tcBorders>
            <w:gridSpan w:val="4"/>
            <w:shd w:val="clear" w:color="auto" w:fill="E6E6FA"/>
          </w:tcPr>
          <w:p>
            <w:pPr>
              <w:spacing w:after="0" w:line="179" w:lineRule="exact"/>
              <w:rPr>
                <w:sz w:val="20"/>
                <w:szCs w:val="20"/>
                <w:color w:val="auto"/>
              </w:rPr>
            </w:pPr>
            <w:r>
              <w:rPr>
                <w:rFonts w:ascii="Arial" w:cs="Arial" w:eastAsia="Arial" w:hAnsi="Arial"/>
                <w:sz w:val="20"/>
                <w:szCs w:val="20"/>
                <w:b w:val="1"/>
                <w:bCs w:val="1"/>
                <w:color w:val="0000FF"/>
              </w:rPr>
              <w:t>One month</w:t>
            </w:r>
          </w:p>
        </w:tc>
        <w:tc>
          <w:tcPr>
            <w:tcW w:w="1840" w:type="dxa"/>
            <w:vAlign w:val="bottom"/>
            <w:tcBorders>
              <w:top w:val="single" w:sz="8" w:color="E6E6FA"/>
            </w:tcBorders>
            <w:gridSpan w:val="3"/>
            <w:shd w:val="clear" w:color="auto" w:fill="E6E6FA"/>
          </w:tcPr>
          <w:p>
            <w:pPr>
              <w:ind w:left="1000"/>
              <w:spacing w:after="0" w:line="179" w:lineRule="exact"/>
              <w:rPr>
                <w:sz w:val="20"/>
                <w:szCs w:val="20"/>
                <w:color w:val="auto"/>
              </w:rPr>
            </w:pPr>
            <w:r>
              <w:rPr>
                <w:rFonts w:ascii="Arial" w:cs="Arial" w:eastAsia="Arial" w:hAnsi="Arial"/>
                <w:sz w:val="20"/>
                <w:szCs w:val="20"/>
                <w:b w:val="1"/>
                <w:bCs w:val="1"/>
                <w:color w:val="0000FF"/>
                <w:w w:val="90"/>
              </w:rPr>
              <w:t>0.</w:t>
            </w:r>
            <w:r>
              <w:rPr>
                <w:rFonts w:ascii="Arial" w:cs="Arial" w:eastAsia="Arial" w:hAnsi="Arial"/>
                <w:sz w:val="20"/>
                <w:szCs w:val="20"/>
                <w:b w:val="1"/>
                <w:bCs w:val="1"/>
                <w:u w:val="single" w:color="auto"/>
                <w:color w:val="0000FF"/>
                <w:w w:val="90"/>
              </w:rPr>
              <w:t>11448%</w:t>
            </w:r>
          </w:p>
        </w:tc>
        <w:tc>
          <w:tcPr>
            <w:tcW w:w="80" w:type="dxa"/>
            <w:vAlign w:val="bottom"/>
            <w:tcBorders>
              <w:top w:val="single" w:sz="8" w:color="E6E6FA"/>
            </w:tcBorders>
            <w:shd w:val="clear" w:color="auto" w:fill="E6E6FA"/>
          </w:tcPr>
          <w:p>
            <w:pPr>
              <w:spacing w:after="0"/>
              <w:rPr>
                <w:sz w:val="15"/>
                <w:szCs w:val="15"/>
                <w:color w:val="auto"/>
              </w:rPr>
            </w:pPr>
          </w:p>
        </w:tc>
        <w:tc>
          <w:tcPr>
            <w:tcW w:w="1860" w:type="dxa"/>
            <w:vAlign w:val="bottom"/>
            <w:tcBorders>
              <w:top w:val="single" w:sz="8" w:color="E6E6FA"/>
              <w:right w:val="single" w:sz="8" w:color="010101"/>
            </w:tcBorders>
            <w:shd w:val="clear" w:color="auto" w:fill="E6E6FA"/>
          </w:tcPr>
          <w:p>
            <w:pPr>
              <w:spacing w:after="0"/>
              <w:rPr>
                <w:sz w:val="15"/>
                <w:szCs w:val="15"/>
                <w:color w:val="auto"/>
              </w:rPr>
            </w:pPr>
          </w:p>
        </w:tc>
      </w:tr>
      <w:tr>
        <w:trPr>
          <w:trHeight w:val="182"/>
        </w:trPr>
        <w:tc>
          <w:tcPr>
            <w:tcW w:w="860" w:type="dxa"/>
            <w:vAlign w:val="bottom"/>
            <w:tcBorders>
              <w:top w:val="single" w:sz="8" w:color="E6E6FA"/>
              <w:left w:val="single" w:sz="8" w:color="010101"/>
              <w:bottom w:val="single" w:sz="8" w:color="010101"/>
            </w:tcBorders>
            <w:shd w:val="clear" w:color="auto" w:fill="E6E6FA"/>
          </w:tcPr>
          <w:p>
            <w:pPr>
              <w:spacing w:after="0"/>
              <w:rPr>
                <w:sz w:val="15"/>
                <w:szCs w:val="15"/>
                <w:color w:val="auto"/>
              </w:rPr>
            </w:pPr>
          </w:p>
        </w:tc>
        <w:tc>
          <w:tcPr>
            <w:tcW w:w="40" w:type="dxa"/>
            <w:vAlign w:val="bottom"/>
            <w:tcBorders>
              <w:top w:val="single" w:sz="8" w:color="E6E6FA"/>
              <w:bottom w:val="single" w:sz="8" w:color="010101"/>
            </w:tcBorders>
            <w:shd w:val="clear" w:color="auto" w:fill="E6E6FA"/>
          </w:tcPr>
          <w:p>
            <w:pPr>
              <w:spacing w:after="0"/>
              <w:rPr>
                <w:sz w:val="15"/>
                <w:szCs w:val="15"/>
                <w:color w:val="auto"/>
              </w:rPr>
            </w:pPr>
          </w:p>
        </w:tc>
        <w:tc>
          <w:tcPr>
            <w:tcW w:w="80" w:type="dxa"/>
            <w:vAlign w:val="bottom"/>
            <w:tcBorders>
              <w:top w:val="single" w:sz="8" w:color="E6E6FA"/>
              <w:bottom w:val="single" w:sz="8" w:color="010101"/>
            </w:tcBorders>
            <w:shd w:val="clear" w:color="auto" w:fill="E6E6FA"/>
          </w:tcPr>
          <w:p>
            <w:pPr>
              <w:spacing w:after="0"/>
              <w:rPr>
                <w:sz w:val="15"/>
                <w:szCs w:val="15"/>
                <w:color w:val="auto"/>
              </w:rPr>
            </w:pPr>
          </w:p>
        </w:tc>
        <w:tc>
          <w:tcPr>
            <w:tcW w:w="940" w:type="dxa"/>
            <w:vAlign w:val="bottom"/>
            <w:tcBorders>
              <w:top w:val="single" w:sz="8" w:color="0000FF"/>
              <w:bottom w:val="single" w:sz="8" w:color="010101"/>
            </w:tcBorders>
            <w:shd w:val="clear" w:color="auto" w:fill="E6E6FA"/>
          </w:tcPr>
          <w:p>
            <w:pPr>
              <w:spacing w:after="0"/>
              <w:rPr>
                <w:sz w:val="15"/>
                <w:szCs w:val="15"/>
                <w:color w:val="auto"/>
              </w:rPr>
            </w:pPr>
          </w:p>
        </w:tc>
        <w:tc>
          <w:tcPr>
            <w:tcW w:w="160" w:type="dxa"/>
            <w:vAlign w:val="bottom"/>
            <w:tcBorders>
              <w:top w:val="single" w:sz="8" w:color="E6E6FA"/>
              <w:bottom w:val="single" w:sz="8" w:color="010101"/>
            </w:tcBorders>
            <w:shd w:val="clear" w:color="auto" w:fill="E6E6FA"/>
          </w:tcPr>
          <w:p>
            <w:pPr>
              <w:spacing w:after="0"/>
              <w:rPr>
                <w:sz w:val="15"/>
                <w:szCs w:val="15"/>
                <w:color w:val="auto"/>
              </w:rPr>
            </w:pPr>
          </w:p>
        </w:tc>
        <w:tc>
          <w:tcPr>
            <w:tcW w:w="40" w:type="dxa"/>
            <w:vAlign w:val="bottom"/>
            <w:tcBorders>
              <w:top w:val="single" w:sz="8" w:color="E6E6FA"/>
              <w:bottom w:val="single" w:sz="8" w:color="010101"/>
            </w:tcBorders>
            <w:shd w:val="clear" w:color="auto" w:fill="E6E6FA"/>
          </w:tcPr>
          <w:p>
            <w:pPr>
              <w:spacing w:after="0"/>
              <w:rPr>
                <w:sz w:val="15"/>
                <w:szCs w:val="15"/>
                <w:color w:val="auto"/>
              </w:rPr>
            </w:pPr>
          </w:p>
        </w:tc>
        <w:tc>
          <w:tcPr>
            <w:tcW w:w="1500" w:type="dxa"/>
            <w:vAlign w:val="bottom"/>
            <w:tcBorders>
              <w:top w:val="single" w:sz="8" w:color="E6E6FA"/>
              <w:bottom w:val="single" w:sz="8" w:color="010101"/>
              <w:right w:val="single" w:sz="8" w:color="010101"/>
            </w:tcBorders>
            <w:shd w:val="clear" w:color="auto" w:fill="E6E6FA"/>
          </w:tcPr>
          <w:p>
            <w:pPr>
              <w:spacing w:after="0"/>
              <w:rPr>
                <w:sz w:val="15"/>
                <w:szCs w:val="15"/>
                <w:color w:val="auto"/>
              </w:rPr>
            </w:pPr>
          </w:p>
        </w:tc>
        <w:tc>
          <w:tcPr>
            <w:tcW w:w="1000" w:type="dxa"/>
            <w:vAlign w:val="bottom"/>
            <w:tcBorders>
              <w:top w:val="single" w:sz="8" w:color="E6E6FA"/>
              <w:bottom w:val="single" w:sz="8" w:color="010101"/>
            </w:tcBorders>
            <w:shd w:val="clear" w:color="auto" w:fill="E6E6FA"/>
          </w:tcPr>
          <w:p>
            <w:pPr>
              <w:spacing w:after="0"/>
              <w:rPr>
                <w:sz w:val="15"/>
                <w:szCs w:val="15"/>
                <w:color w:val="auto"/>
              </w:rPr>
            </w:pPr>
          </w:p>
        </w:tc>
        <w:tc>
          <w:tcPr>
            <w:tcW w:w="820" w:type="dxa"/>
            <w:vAlign w:val="bottom"/>
            <w:tcBorders>
              <w:top w:val="single" w:sz="8" w:color="0000FF"/>
              <w:bottom w:val="single" w:sz="8" w:color="010101"/>
            </w:tcBorders>
            <w:shd w:val="clear" w:color="auto" w:fill="E6E6FA"/>
          </w:tcPr>
          <w:p>
            <w:pPr>
              <w:spacing w:after="0"/>
              <w:rPr>
                <w:sz w:val="15"/>
                <w:szCs w:val="15"/>
                <w:color w:val="auto"/>
              </w:rPr>
            </w:pPr>
          </w:p>
        </w:tc>
        <w:tc>
          <w:tcPr>
            <w:tcW w:w="20" w:type="dxa"/>
            <w:vAlign w:val="bottom"/>
            <w:tcBorders>
              <w:top w:val="single" w:sz="8" w:color="E6E6FA"/>
              <w:bottom w:val="single" w:sz="8" w:color="010101"/>
            </w:tcBorders>
            <w:shd w:val="clear" w:color="auto" w:fill="E6E6FA"/>
          </w:tcPr>
          <w:p>
            <w:pPr>
              <w:spacing w:after="0"/>
              <w:rPr>
                <w:sz w:val="15"/>
                <w:szCs w:val="15"/>
                <w:color w:val="auto"/>
              </w:rPr>
            </w:pPr>
          </w:p>
        </w:tc>
        <w:tc>
          <w:tcPr>
            <w:tcW w:w="80" w:type="dxa"/>
            <w:vAlign w:val="bottom"/>
            <w:tcBorders>
              <w:top w:val="single" w:sz="8" w:color="E6E6FA"/>
              <w:bottom w:val="single" w:sz="8" w:color="010101"/>
            </w:tcBorders>
            <w:shd w:val="clear" w:color="auto" w:fill="E6E6FA"/>
          </w:tcPr>
          <w:p>
            <w:pPr>
              <w:spacing w:after="0"/>
              <w:rPr>
                <w:sz w:val="15"/>
                <w:szCs w:val="15"/>
                <w:color w:val="auto"/>
              </w:rPr>
            </w:pPr>
          </w:p>
        </w:tc>
        <w:tc>
          <w:tcPr>
            <w:tcW w:w="1860" w:type="dxa"/>
            <w:vAlign w:val="bottom"/>
            <w:tcBorders>
              <w:top w:val="single" w:sz="8" w:color="E6E6FA"/>
              <w:bottom w:val="single" w:sz="8" w:color="010101"/>
              <w:right w:val="single" w:sz="8" w:color="010101"/>
            </w:tcBorders>
            <w:shd w:val="clear" w:color="auto" w:fill="E6E6FA"/>
          </w:tcPr>
          <w:p>
            <w:pPr>
              <w:spacing w:after="0"/>
              <w:rPr>
                <w:sz w:val="15"/>
                <w:szCs w:val="15"/>
                <w:color w:val="auto"/>
              </w:rPr>
            </w:pPr>
          </w:p>
        </w:tc>
      </w:tr>
      <w:tr>
        <w:trPr>
          <w:trHeight w:val="196"/>
        </w:trPr>
        <w:tc>
          <w:tcPr>
            <w:tcW w:w="860" w:type="dxa"/>
            <w:vAlign w:val="bottom"/>
            <w:tcBorders>
              <w:left w:val="single" w:sz="8" w:color="010101"/>
            </w:tcBorders>
            <w:shd w:val="clear" w:color="auto" w:fill="E6E6FA"/>
          </w:tcPr>
          <w:p>
            <w:pPr>
              <w:spacing w:after="0"/>
              <w:rPr>
                <w:sz w:val="17"/>
                <w:szCs w:val="17"/>
                <w:color w:val="auto"/>
              </w:rPr>
            </w:pPr>
          </w:p>
        </w:tc>
        <w:tc>
          <w:tcPr>
            <w:tcW w:w="40" w:type="dxa"/>
            <w:vAlign w:val="bottom"/>
            <w:shd w:val="clear" w:color="auto" w:fill="E6E6FA"/>
          </w:tcPr>
          <w:p>
            <w:pPr>
              <w:spacing w:after="0"/>
              <w:rPr>
                <w:sz w:val="17"/>
                <w:szCs w:val="17"/>
                <w:color w:val="auto"/>
              </w:rPr>
            </w:pPr>
          </w:p>
        </w:tc>
        <w:tc>
          <w:tcPr>
            <w:tcW w:w="2720" w:type="dxa"/>
            <w:vAlign w:val="bottom"/>
            <w:tcBorders>
              <w:right w:val="single" w:sz="8" w:color="010101"/>
            </w:tcBorders>
            <w:gridSpan w:val="5"/>
            <w:shd w:val="clear" w:color="auto" w:fill="E6E6FA"/>
          </w:tcPr>
          <w:p>
            <w:pPr>
              <w:jc w:val="center"/>
              <w:ind w:right="1540"/>
              <w:spacing w:after="0" w:line="196" w:lineRule="exact"/>
              <w:rPr>
                <w:sz w:val="20"/>
                <w:szCs w:val="20"/>
                <w:color w:val="auto"/>
              </w:rPr>
            </w:pPr>
            <w:r>
              <w:rPr>
                <w:rFonts w:ascii="Arial" w:cs="Arial" w:eastAsia="Arial" w:hAnsi="Arial"/>
                <w:sz w:val="20"/>
                <w:szCs w:val="20"/>
                <w:b w:val="1"/>
                <w:bCs w:val="1"/>
                <w:color w:val="0000FF"/>
                <w:w w:val="89"/>
              </w:rPr>
              <w:t>Three months</w:t>
            </w:r>
          </w:p>
        </w:tc>
        <w:tc>
          <w:tcPr>
            <w:tcW w:w="1920" w:type="dxa"/>
            <w:vAlign w:val="bottom"/>
            <w:gridSpan w:val="4"/>
            <w:shd w:val="clear" w:color="auto" w:fill="E6E6FA"/>
          </w:tcPr>
          <w:p>
            <w:pPr>
              <w:ind w:left="1000"/>
              <w:spacing w:after="0" w:line="196" w:lineRule="exact"/>
              <w:rPr>
                <w:sz w:val="20"/>
                <w:szCs w:val="20"/>
                <w:color w:val="auto"/>
              </w:rPr>
            </w:pPr>
            <w:r>
              <w:rPr>
                <w:rFonts w:ascii="Arial" w:cs="Arial" w:eastAsia="Arial" w:hAnsi="Arial"/>
                <w:sz w:val="20"/>
                <w:szCs w:val="20"/>
                <w:b w:val="1"/>
                <w:bCs w:val="1"/>
                <w:color w:val="0000FF"/>
                <w:w w:val="99"/>
              </w:rPr>
              <w:t>0.</w:t>
            </w:r>
            <w:r>
              <w:rPr>
                <w:rFonts w:ascii="Arial" w:cs="Arial" w:eastAsia="Arial" w:hAnsi="Arial"/>
                <w:sz w:val="20"/>
                <w:szCs w:val="20"/>
                <w:b w:val="1"/>
                <w:bCs w:val="1"/>
                <w:u w:val="single" w:color="auto"/>
                <w:color w:val="0000FF"/>
                <w:w w:val="99"/>
              </w:rPr>
              <w:t>26161%</w:t>
            </w:r>
          </w:p>
        </w:tc>
        <w:tc>
          <w:tcPr>
            <w:tcW w:w="1860" w:type="dxa"/>
            <w:vAlign w:val="bottom"/>
            <w:tcBorders>
              <w:right w:val="single" w:sz="8" w:color="010101"/>
            </w:tcBorders>
            <w:shd w:val="clear" w:color="auto" w:fill="E6E6FA"/>
          </w:tcPr>
          <w:p>
            <w:pPr>
              <w:spacing w:after="0"/>
              <w:rPr>
                <w:sz w:val="17"/>
                <w:szCs w:val="17"/>
                <w:color w:val="auto"/>
              </w:rPr>
            </w:pPr>
          </w:p>
        </w:tc>
      </w:tr>
      <w:tr>
        <w:trPr>
          <w:trHeight w:val="182"/>
        </w:trPr>
        <w:tc>
          <w:tcPr>
            <w:tcW w:w="860" w:type="dxa"/>
            <w:vAlign w:val="bottom"/>
            <w:tcBorders>
              <w:top w:val="single" w:sz="8" w:color="E6E6FA"/>
              <w:left w:val="single" w:sz="8" w:color="010101"/>
              <w:bottom w:val="single" w:sz="8" w:color="010101"/>
            </w:tcBorders>
            <w:shd w:val="clear" w:color="auto" w:fill="E6E6FA"/>
          </w:tcPr>
          <w:p>
            <w:pPr>
              <w:spacing w:after="0"/>
              <w:rPr>
                <w:sz w:val="15"/>
                <w:szCs w:val="15"/>
                <w:color w:val="auto"/>
              </w:rPr>
            </w:pPr>
          </w:p>
        </w:tc>
        <w:tc>
          <w:tcPr>
            <w:tcW w:w="40" w:type="dxa"/>
            <w:vAlign w:val="bottom"/>
            <w:tcBorders>
              <w:top w:val="single" w:sz="8" w:color="E6E6FA"/>
              <w:bottom w:val="single" w:sz="8" w:color="010101"/>
            </w:tcBorders>
            <w:shd w:val="clear" w:color="auto" w:fill="E6E6FA"/>
          </w:tcPr>
          <w:p>
            <w:pPr>
              <w:spacing w:after="0"/>
              <w:rPr>
                <w:sz w:val="15"/>
                <w:szCs w:val="15"/>
                <w:color w:val="auto"/>
              </w:rPr>
            </w:pPr>
          </w:p>
        </w:tc>
        <w:tc>
          <w:tcPr>
            <w:tcW w:w="80" w:type="dxa"/>
            <w:vAlign w:val="bottom"/>
            <w:tcBorders>
              <w:top w:val="single" w:sz="8" w:color="0000FF"/>
              <w:bottom w:val="single" w:sz="8" w:color="010101"/>
            </w:tcBorders>
            <w:shd w:val="clear" w:color="auto" w:fill="E6E6FA"/>
          </w:tcPr>
          <w:p>
            <w:pPr>
              <w:spacing w:after="0"/>
              <w:rPr>
                <w:sz w:val="15"/>
                <w:szCs w:val="15"/>
                <w:color w:val="auto"/>
              </w:rPr>
            </w:pPr>
          </w:p>
        </w:tc>
        <w:tc>
          <w:tcPr>
            <w:tcW w:w="940" w:type="dxa"/>
            <w:vAlign w:val="bottom"/>
            <w:tcBorders>
              <w:top w:val="single" w:sz="8" w:color="0000FF"/>
              <w:bottom w:val="single" w:sz="8" w:color="010101"/>
            </w:tcBorders>
            <w:shd w:val="clear" w:color="auto" w:fill="E6E6FA"/>
          </w:tcPr>
          <w:p>
            <w:pPr>
              <w:spacing w:after="0"/>
              <w:rPr>
                <w:sz w:val="15"/>
                <w:szCs w:val="15"/>
                <w:color w:val="auto"/>
              </w:rPr>
            </w:pPr>
          </w:p>
        </w:tc>
        <w:tc>
          <w:tcPr>
            <w:tcW w:w="160" w:type="dxa"/>
            <w:vAlign w:val="bottom"/>
            <w:tcBorders>
              <w:top w:val="single" w:sz="8" w:color="0000FF"/>
              <w:bottom w:val="single" w:sz="8" w:color="010101"/>
            </w:tcBorders>
            <w:shd w:val="clear" w:color="auto" w:fill="E6E6FA"/>
          </w:tcPr>
          <w:p>
            <w:pPr>
              <w:spacing w:after="0"/>
              <w:rPr>
                <w:sz w:val="15"/>
                <w:szCs w:val="15"/>
                <w:color w:val="auto"/>
              </w:rPr>
            </w:pPr>
          </w:p>
        </w:tc>
        <w:tc>
          <w:tcPr>
            <w:tcW w:w="40" w:type="dxa"/>
            <w:vAlign w:val="bottom"/>
            <w:tcBorders>
              <w:top w:val="single" w:sz="8" w:color="E6E6FA"/>
              <w:bottom w:val="single" w:sz="8" w:color="010101"/>
            </w:tcBorders>
            <w:shd w:val="clear" w:color="auto" w:fill="E6E6FA"/>
          </w:tcPr>
          <w:p>
            <w:pPr>
              <w:spacing w:after="0"/>
              <w:rPr>
                <w:sz w:val="15"/>
                <w:szCs w:val="15"/>
                <w:color w:val="auto"/>
              </w:rPr>
            </w:pPr>
          </w:p>
        </w:tc>
        <w:tc>
          <w:tcPr>
            <w:tcW w:w="1500" w:type="dxa"/>
            <w:vAlign w:val="bottom"/>
            <w:tcBorders>
              <w:top w:val="single" w:sz="8" w:color="E6E6FA"/>
              <w:bottom w:val="single" w:sz="8" w:color="010101"/>
              <w:right w:val="single" w:sz="8" w:color="010101"/>
            </w:tcBorders>
            <w:shd w:val="clear" w:color="auto" w:fill="E6E6FA"/>
          </w:tcPr>
          <w:p>
            <w:pPr>
              <w:spacing w:after="0"/>
              <w:rPr>
                <w:sz w:val="15"/>
                <w:szCs w:val="15"/>
                <w:color w:val="auto"/>
              </w:rPr>
            </w:pPr>
          </w:p>
        </w:tc>
        <w:tc>
          <w:tcPr>
            <w:tcW w:w="1000" w:type="dxa"/>
            <w:vAlign w:val="bottom"/>
            <w:tcBorders>
              <w:top w:val="single" w:sz="8" w:color="E6E6FA"/>
              <w:bottom w:val="single" w:sz="8" w:color="010101"/>
            </w:tcBorders>
            <w:shd w:val="clear" w:color="auto" w:fill="E6E6FA"/>
          </w:tcPr>
          <w:p>
            <w:pPr>
              <w:spacing w:after="0"/>
              <w:rPr>
                <w:sz w:val="15"/>
                <w:szCs w:val="15"/>
                <w:color w:val="auto"/>
              </w:rPr>
            </w:pPr>
          </w:p>
        </w:tc>
        <w:tc>
          <w:tcPr>
            <w:tcW w:w="820" w:type="dxa"/>
            <w:vAlign w:val="bottom"/>
            <w:tcBorders>
              <w:top w:val="single" w:sz="8" w:color="0000FF"/>
              <w:bottom w:val="single" w:sz="8" w:color="010101"/>
            </w:tcBorders>
            <w:shd w:val="clear" w:color="auto" w:fill="E6E6FA"/>
          </w:tcPr>
          <w:p>
            <w:pPr>
              <w:spacing w:after="0"/>
              <w:rPr>
                <w:sz w:val="15"/>
                <w:szCs w:val="15"/>
                <w:color w:val="auto"/>
              </w:rPr>
            </w:pPr>
          </w:p>
        </w:tc>
        <w:tc>
          <w:tcPr>
            <w:tcW w:w="20" w:type="dxa"/>
            <w:vAlign w:val="bottom"/>
            <w:tcBorders>
              <w:top w:val="single" w:sz="8" w:color="0000FF"/>
              <w:bottom w:val="single" w:sz="8" w:color="010101"/>
            </w:tcBorders>
            <w:shd w:val="clear" w:color="auto" w:fill="E6E6FA"/>
          </w:tcPr>
          <w:p>
            <w:pPr>
              <w:spacing w:after="0"/>
              <w:rPr>
                <w:sz w:val="15"/>
                <w:szCs w:val="15"/>
                <w:color w:val="auto"/>
              </w:rPr>
            </w:pPr>
          </w:p>
        </w:tc>
        <w:tc>
          <w:tcPr>
            <w:tcW w:w="80" w:type="dxa"/>
            <w:vAlign w:val="bottom"/>
            <w:tcBorders>
              <w:top w:val="single" w:sz="8" w:color="E6E6FA"/>
              <w:bottom w:val="single" w:sz="8" w:color="010101"/>
            </w:tcBorders>
            <w:shd w:val="clear" w:color="auto" w:fill="E6E6FA"/>
          </w:tcPr>
          <w:p>
            <w:pPr>
              <w:spacing w:after="0"/>
              <w:rPr>
                <w:sz w:val="15"/>
                <w:szCs w:val="15"/>
                <w:color w:val="auto"/>
              </w:rPr>
            </w:pPr>
          </w:p>
        </w:tc>
        <w:tc>
          <w:tcPr>
            <w:tcW w:w="1860" w:type="dxa"/>
            <w:vAlign w:val="bottom"/>
            <w:tcBorders>
              <w:top w:val="single" w:sz="8" w:color="E6E6FA"/>
              <w:bottom w:val="single" w:sz="8" w:color="010101"/>
              <w:right w:val="single" w:sz="8" w:color="010101"/>
            </w:tcBorders>
            <w:shd w:val="clear" w:color="auto" w:fill="E6E6FA"/>
          </w:tcPr>
          <w:p>
            <w:pPr>
              <w:spacing w:after="0"/>
              <w:rPr>
                <w:sz w:val="15"/>
                <w:szCs w:val="15"/>
                <w:color w:val="auto"/>
              </w:rPr>
            </w:pPr>
          </w:p>
        </w:tc>
      </w:tr>
      <w:tr>
        <w:trPr>
          <w:trHeight w:val="196"/>
        </w:trPr>
        <w:tc>
          <w:tcPr>
            <w:tcW w:w="860" w:type="dxa"/>
            <w:vAlign w:val="bottom"/>
            <w:tcBorders>
              <w:left w:val="single" w:sz="8" w:color="010101"/>
            </w:tcBorders>
            <w:shd w:val="clear" w:color="auto" w:fill="E6E6FA"/>
          </w:tcPr>
          <w:p>
            <w:pPr>
              <w:spacing w:after="0"/>
              <w:rPr>
                <w:sz w:val="17"/>
                <w:szCs w:val="17"/>
                <w:color w:val="auto"/>
              </w:rPr>
            </w:pPr>
          </w:p>
        </w:tc>
        <w:tc>
          <w:tcPr>
            <w:tcW w:w="40" w:type="dxa"/>
            <w:vAlign w:val="bottom"/>
            <w:shd w:val="clear" w:color="auto" w:fill="E6E6FA"/>
          </w:tcPr>
          <w:p>
            <w:pPr>
              <w:spacing w:after="0"/>
              <w:rPr>
                <w:sz w:val="17"/>
                <w:szCs w:val="17"/>
                <w:color w:val="auto"/>
              </w:rPr>
            </w:pPr>
          </w:p>
        </w:tc>
        <w:tc>
          <w:tcPr>
            <w:tcW w:w="80" w:type="dxa"/>
            <w:vAlign w:val="bottom"/>
            <w:shd w:val="clear" w:color="auto" w:fill="E6E6FA"/>
          </w:tcPr>
          <w:p>
            <w:pPr>
              <w:spacing w:after="0"/>
              <w:rPr>
                <w:sz w:val="17"/>
                <w:szCs w:val="17"/>
                <w:color w:val="auto"/>
              </w:rPr>
            </w:pPr>
          </w:p>
        </w:tc>
        <w:tc>
          <w:tcPr>
            <w:tcW w:w="2640" w:type="dxa"/>
            <w:vAlign w:val="bottom"/>
            <w:tcBorders>
              <w:right w:val="single" w:sz="8" w:color="010101"/>
            </w:tcBorders>
            <w:gridSpan w:val="4"/>
            <w:shd w:val="clear" w:color="auto" w:fill="E6E6FA"/>
          </w:tcPr>
          <w:p>
            <w:pPr>
              <w:spacing w:after="0" w:line="196" w:lineRule="exact"/>
              <w:rPr>
                <w:sz w:val="20"/>
                <w:szCs w:val="20"/>
                <w:color w:val="auto"/>
              </w:rPr>
            </w:pPr>
            <w:r>
              <w:rPr>
                <w:rFonts w:ascii="Arial" w:cs="Arial" w:eastAsia="Arial" w:hAnsi="Arial"/>
                <w:sz w:val="20"/>
                <w:szCs w:val="20"/>
                <w:b w:val="1"/>
                <w:bCs w:val="1"/>
                <w:color w:val="0000FF"/>
              </w:rPr>
              <w:t>Six months</w:t>
            </w:r>
          </w:p>
        </w:tc>
        <w:tc>
          <w:tcPr>
            <w:tcW w:w="1920" w:type="dxa"/>
            <w:vAlign w:val="bottom"/>
            <w:gridSpan w:val="4"/>
            <w:shd w:val="clear" w:color="auto" w:fill="E6E6FA"/>
          </w:tcPr>
          <w:p>
            <w:pPr>
              <w:ind w:left="1000"/>
              <w:spacing w:after="0" w:line="196" w:lineRule="exact"/>
              <w:rPr>
                <w:sz w:val="20"/>
                <w:szCs w:val="20"/>
                <w:color w:val="auto"/>
              </w:rPr>
            </w:pPr>
            <w:r>
              <w:rPr>
                <w:rFonts w:ascii="Arial" w:cs="Arial" w:eastAsia="Arial" w:hAnsi="Arial"/>
                <w:sz w:val="20"/>
                <w:szCs w:val="20"/>
                <w:b w:val="1"/>
                <w:bCs w:val="1"/>
                <w:color w:val="0000FF"/>
                <w:w w:val="99"/>
              </w:rPr>
              <w:t>0.</w:t>
            </w:r>
            <w:r>
              <w:rPr>
                <w:rFonts w:ascii="Arial" w:cs="Arial" w:eastAsia="Arial" w:hAnsi="Arial"/>
                <w:sz w:val="20"/>
                <w:szCs w:val="20"/>
                <w:b w:val="1"/>
                <w:bCs w:val="1"/>
                <w:u w:val="single" w:color="auto"/>
                <w:color w:val="0000FF"/>
                <w:w w:val="99"/>
              </w:rPr>
              <w:t>42826%</w:t>
            </w:r>
          </w:p>
        </w:tc>
        <w:tc>
          <w:tcPr>
            <w:tcW w:w="1860" w:type="dxa"/>
            <w:vAlign w:val="bottom"/>
            <w:tcBorders>
              <w:right w:val="single" w:sz="8" w:color="010101"/>
            </w:tcBorders>
            <w:shd w:val="clear" w:color="auto" w:fill="E6E6FA"/>
          </w:tcPr>
          <w:p>
            <w:pPr>
              <w:spacing w:after="0"/>
              <w:rPr>
                <w:sz w:val="17"/>
                <w:szCs w:val="17"/>
                <w:color w:val="auto"/>
              </w:rPr>
            </w:pPr>
          </w:p>
        </w:tc>
      </w:tr>
      <w:tr>
        <w:trPr>
          <w:trHeight w:val="169"/>
        </w:trPr>
        <w:tc>
          <w:tcPr>
            <w:tcW w:w="860" w:type="dxa"/>
            <w:vAlign w:val="bottom"/>
            <w:tcBorders>
              <w:top w:val="single" w:sz="8" w:color="E6E6FA"/>
              <w:left w:val="single" w:sz="8" w:color="010101"/>
              <w:bottom w:val="single" w:sz="8" w:color="010101"/>
            </w:tcBorders>
            <w:shd w:val="clear" w:color="auto" w:fill="E6E6FA"/>
          </w:tcPr>
          <w:p>
            <w:pPr>
              <w:spacing w:after="0"/>
              <w:rPr>
                <w:sz w:val="14"/>
                <w:szCs w:val="14"/>
                <w:color w:val="auto"/>
              </w:rPr>
            </w:pPr>
          </w:p>
        </w:tc>
        <w:tc>
          <w:tcPr>
            <w:tcW w:w="40" w:type="dxa"/>
            <w:vAlign w:val="bottom"/>
            <w:tcBorders>
              <w:top w:val="single" w:sz="8" w:color="E6E6FA"/>
              <w:bottom w:val="single" w:sz="8" w:color="010101"/>
            </w:tcBorders>
            <w:shd w:val="clear" w:color="auto" w:fill="E6E6FA"/>
          </w:tcPr>
          <w:p>
            <w:pPr>
              <w:spacing w:after="0"/>
              <w:rPr>
                <w:sz w:val="14"/>
                <w:szCs w:val="14"/>
                <w:color w:val="auto"/>
              </w:rPr>
            </w:pPr>
          </w:p>
        </w:tc>
        <w:tc>
          <w:tcPr>
            <w:tcW w:w="80" w:type="dxa"/>
            <w:vAlign w:val="bottom"/>
            <w:tcBorders>
              <w:top w:val="single" w:sz="8" w:color="E6E6FA"/>
              <w:bottom w:val="single" w:sz="8" w:color="010101"/>
            </w:tcBorders>
            <w:shd w:val="clear" w:color="auto" w:fill="E6E6FA"/>
          </w:tcPr>
          <w:p>
            <w:pPr>
              <w:spacing w:after="0"/>
              <w:rPr>
                <w:sz w:val="14"/>
                <w:szCs w:val="14"/>
                <w:color w:val="auto"/>
              </w:rPr>
            </w:pPr>
          </w:p>
        </w:tc>
        <w:tc>
          <w:tcPr>
            <w:tcW w:w="940" w:type="dxa"/>
            <w:vAlign w:val="bottom"/>
            <w:tcBorders>
              <w:top w:val="single" w:sz="8" w:color="0000FF"/>
              <w:bottom w:val="single" w:sz="8" w:color="010101"/>
            </w:tcBorders>
            <w:shd w:val="clear" w:color="auto" w:fill="E6E6FA"/>
          </w:tcPr>
          <w:p>
            <w:pPr>
              <w:spacing w:after="0"/>
              <w:rPr>
                <w:sz w:val="14"/>
                <w:szCs w:val="14"/>
                <w:color w:val="auto"/>
              </w:rPr>
            </w:pPr>
          </w:p>
        </w:tc>
        <w:tc>
          <w:tcPr>
            <w:tcW w:w="160" w:type="dxa"/>
            <w:vAlign w:val="bottom"/>
            <w:tcBorders>
              <w:top w:val="single" w:sz="8" w:color="E6E6FA"/>
              <w:bottom w:val="single" w:sz="8" w:color="010101"/>
            </w:tcBorders>
            <w:shd w:val="clear" w:color="auto" w:fill="E6E6FA"/>
          </w:tcPr>
          <w:p>
            <w:pPr>
              <w:spacing w:after="0"/>
              <w:rPr>
                <w:sz w:val="14"/>
                <w:szCs w:val="14"/>
                <w:color w:val="auto"/>
              </w:rPr>
            </w:pPr>
          </w:p>
        </w:tc>
        <w:tc>
          <w:tcPr>
            <w:tcW w:w="40" w:type="dxa"/>
            <w:vAlign w:val="bottom"/>
            <w:tcBorders>
              <w:top w:val="single" w:sz="8" w:color="E6E6FA"/>
              <w:bottom w:val="single" w:sz="8" w:color="010101"/>
            </w:tcBorders>
            <w:shd w:val="clear" w:color="auto" w:fill="E6E6FA"/>
          </w:tcPr>
          <w:p>
            <w:pPr>
              <w:spacing w:after="0"/>
              <w:rPr>
                <w:sz w:val="14"/>
                <w:szCs w:val="14"/>
                <w:color w:val="auto"/>
              </w:rPr>
            </w:pPr>
          </w:p>
        </w:tc>
        <w:tc>
          <w:tcPr>
            <w:tcW w:w="1500" w:type="dxa"/>
            <w:vAlign w:val="bottom"/>
            <w:tcBorders>
              <w:top w:val="single" w:sz="8" w:color="E6E6FA"/>
              <w:bottom w:val="single" w:sz="8" w:color="010101"/>
              <w:right w:val="single" w:sz="8" w:color="010101"/>
            </w:tcBorders>
            <w:shd w:val="clear" w:color="auto" w:fill="E6E6FA"/>
          </w:tcPr>
          <w:p>
            <w:pPr>
              <w:spacing w:after="0"/>
              <w:rPr>
                <w:sz w:val="14"/>
                <w:szCs w:val="14"/>
                <w:color w:val="auto"/>
              </w:rPr>
            </w:pPr>
          </w:p>
        </w:tc>
        <w:tc>
          <w:tcPr>
            <w:tcW w:w="1000" w:type="dxa"/>
            <w:vAlign w:val="bottom"/>
            <w:tcBorders>
              <w:top w:val="single" w:sz="8" w:color="E6E6FA"/>
              <w:bottom w:val="single" w:sz="8" w:color="010101"/>
            </w:tcBorders>
            <w:shd w:val="clear" w:color="auto" w:fill="E6E6FA"/>
          </w:tcPr>
          <w:p>
            <w:pPr>
              <w:spacing w:after="0"/>
              <w:rPr>
                <w:sz w:val="14"/>
                <w:szCs w:val="14"/>
                <w:color w:val="auto"/>
              </w:rPr>
            </w:pPr>
          </w:p>
        </w:tc>
        <w:tc>
          <w:tcPr>
            <w:tcW w:w="820" w:type="dxa"/>
            <w:vAlign w:val="bottom"/>
            <w:tcBorders>
              <w:top w:val="single" w:sz="8" w:color="0000FF"/>
              <w:bottom w:val="single" w:sz="8" w:color="010101"/>
            </w:tcBorders>
            <w:shd w:val="clear" w:color="auto" w:fill="E6E6FA"/>
          </w:tcPr>
          <w:p>
            <w:pPr>
              <w:spacing w:after="0"/>
              <w:rPr>
                <w:sz w:val="14"/>
                <w:szCs w:val="14"/>
                <w:color w:val="auto"/>
              </w:rPr>
            </w:pPr>
          </w:p>
        </w:tc>
        <w:tc>
          <w:tcPr>
            <w:tcW w:w="20" w:type="dxa"/>
            <w:vAlign w:val="bottom"/>
            <w:tcBorders>
              <w:top w:val="single" w:sz="8" w:color="0000FF"/>
              <w:bottom w:val="single" w:sz="8" w:color="010101"/>
            </w:tcBorders>
            <w:shd w:val="clear" w:color="auto" w:fill="E6E6FA"/>
          </w:tcPr>
          <w:p>
            <w:pPr>
              <w:spacing w:after="0"/>
              <w:rPr>
                <w:sz w:val="14"/>
                <w:szCs w:val="14"/>
                <w:color w:val="auto"/>
              </w:rPr>
            </w:pPr>
          </w:p>
        </w:tc>
        <w:tc>
          <w:tcPr>
            <w:tcW w:w="80" w:type="dxa"/>
            <w:vAlign w:val="bottom"/>
            <w:tcBorders>
              <w:top w:val="single" w:sz="8" w:color="E6E6FA"/>
              <w:bottom w:val="single" w:sz="8" w:color="010101"/>
            </w:tcBorders>
            <w:shd w:val="clear" w:color="auto" w:fill="E6E6FA"/>
          </w:tcPr>
          <w:p>
            <w:pPr>
              <w:spacing w:after="0"/>
              <w:rPr>
                <w:sz w:val="14"/>
                <w:szCs w:val="14"/>
                <w:color w:val="auto"/>
              </w:rPr>
            </w:pPr>
          </w:p>
        </w:tc>
        <w:tc>
          <w:tcPr>
            <w:tcW w:w="1860" w:type="dxa"/>
            <w:vAlign w:val="bottom"/>
            <w:tcBorders>
              <w:top w:val="single" w:sz="8" w:color="E6E6FA"/>
              <w:bottom w:val="single" w:sz="8" w:color="010101"/>
              <w:right w:val="single" w:sz="8" w:color="010101"/>
            </w:tcBorders>
            <w:shd w:val="clear" w:color="auto" w:fill="E6E6FA"/>
          </w:tcPr>
          <w:p>
            <w:pPr>
              <w:spacing w:after="0"/>
              <w:rPr>
                <w:sz w:val="14"/>
                <w:szCs w:val="14"/>
                <w:color w:val="auto"/>
              </w:rPr>
            </w:pPr>
          </w:p>
        </w:tc>
      </w:tr>
    </w:tbl>
    <w:p>
      <w:pPr>
        <w:spacing w:after="0" w:line="206" w:lineRule="exact"/>
        <w:rPr>
          <w:sz w:val="20"/>
          <w:szCs w:val="20"/>
          <w:color w:val="auto"/>
        </w:rPr>
      </w:pPr>
    </w:p>
    <w:p>
      <w:pPr>
        <w:ind w:left="8" w:right="40" w:firstLine="1499"/>
        <w:spacing w:after="0" w:line="322" w:lineRule="auto"/>
        <w:rPr>
          <w:sz w:val="20"/>
          <w:szCs w:val="20"/>
          <w:color w:val="auto"/>
        </w:rPr>
      </w:pPr>
      <w:r>
        <w:rPr>
          <w:rFonts w:ascii="Arial" w:cs="Arial" w:eastAsia="Arial" w:hAnsi="Arial"/>
          <w:sz w:val="18"/>
          <w:szCs w:val="18"/>
          <w:b w:val="1"/>
          <w:bCs w:val="1"/>
          <w:u w:val="single" w:color="auto"/>
          <w:color w:val="0000FF"/>
        </w:rPr>
        <w:t>“Term SOFR Administrator” means CME Group Benchmark Administration Limited (CBA) (or a successor administrator of the Term SOFR Reference Rate selected by the Administrative Agent in its reasonable discretion).</w:t>
      </w:r>
    </w:p>
    <w:p>
      <w:pPr>
        <w:spacing w:after="0" w:line="341"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352" w:right="499" w:bottom="1440" w:gutter="0" w:footer="0" w:header="0"/>
        </w:sectPr>
      </w:pPr>
    </w:p>
    <w:bookmarkStart w:id="226" w:name="page227"/>
    <w:bookmarkEnd w:id="226"/>
    <w:p>
      <w:pPr>
        <w:ind w:right="2660" w:firstLine="1499"/>
        <w:spacing w:after="0" w:line="294" w:lineRule="auto"/>
        <w:rPr>
          <w:sz w:val="20"/>
          <w:szCs w:val="20"/>
          <w:color w:val="auto"/>
        </w:rPr>
      </w:pPr>
      <w:r>
        <w:rPr>
          <w:rFonts w:ascii="Arial" w:cs="Arial" w:eastAsia="Arial" w:hAnsi="Arial"/>
          <w:sz w:val="19"/>
          <w:szCs w:val="19"/>
          <w:color w:val="auto"/>
        </w:rPr>
        <w:t xml:space="preserve">“Term SOFR </w:t>
      </w:r>
      <w:r>
        <w:rPr>
          <w:rFonts w:ascii="Arial" w:cs="Arial" w:eastAsia="Arial" w:hAnsi="Arial"/>
          <w:sz w:val="19"/>
          <w:szCs w:val="19"/>
          <w:b w:val="1"/>
          <w:bCs w:val="1"/>
          <w:u w:val="single" w:color="auto"/>
          <w:color w:val="0000FF"/>
        </w:rPr>
        <w:t>Reference Rate</w:t>
      </w:r>
      <w:r>
        <w:rPr>
          <w:rFonts w:ascii="Arial" w:cs="Arial" w:eastAsia="Arial" w:hAnsi="Arial"/>
          <w:sz w:val="19"/>
          <w:szCs w:val="19"/>
          <w:color w:val="auto"/>
        </w:rPr>
        <w:t xml:space="preserve">” means the forward-looking term rate based on SOFR </w:t>
      </w:r>
      <w:r>
        <w:rPr>
          <w:rFonts w:ascii="Arial" w:cs="Arial" w:eastAsia="Arial" w:hAnsi="Arial"/>
          <w:sz w:val="19"/>
          <w:szCs w:val="19"/>
          <w:b w:val="1"/>
          <w:bCs w:val="1"/>
          <w:color w:val="FF0000"/>
          <w:strike w:val="1"/>
        </w:rPr>
        <w:t>that has been selected or recommended by the Relevant Governmental Body</w:t>
      </w:r>
      <w:r>
        <w:rPr>
          <w:rFonts w:ascii="Arial" w:cs="Arial" w:eastAsia="Arial" w:hAnsi="Arial"/>
          <w:sz w:val="19"/>
          <w:szCs w:val="19"/>
          <w:color w:val="000000"/>
        </w:rPr>
        <w:t>.</w:t>
      </w:r>
    </w:p>
    <w:p>
      <w:pPr>
        <w:spacing w:after="0" w:line="159"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means the date on which all Commitments have expired or been terminated, all Secured Obligations have been paid in full in cash (other than (x) Secured Swap Obligations not yet due and payable, (y) Secured Cash Management Obligations not yet due and payable and (z) contingent obligations not yet accrued and payable) and all Letters of Credit have expired or been terminated (other than Letters of Credit that have been cash collateralized or backstopped by an institution and otherwise pursuant to arrangements reasonably satisfactory to the applicable Issuing Bank).</w:t>
      </w:r>
    </w:p>
    <w:p>
      <w:pPr>
        <w:spacing w:after="0" w:line="205" w:lineRule="exact"/>
        <w:rPr>
          <w:sz w:val="20"/>
          <w:szCs w:val="20"/>
          <w:color w:val="auto"/>
        </w:rPr>
      </w:pPr>
    </w:p>
    <w:p>
      <w:pPr>
        <w:jc w:val="both"/>
        <w:ind w:right="20" w:firstLine="149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xml:space="preserve">” means, at any date of determination, the period of four consecutive fiscal quarters of the Borrower then last ended as of such time for which financial statements have been delivered pursuant to Section 5.01(a) or (b) or, at the option of the Borrower, in connection with a Limited Condition Transaction, the period of four consecutive fiscal quarters of the Borrower for which financial statements have been delivered to the Administrative Agent on or prior to the applicable LCT Test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any date of determination before the delivery of the financial statements for the fiscal period ended December 31, 2021, Consolidated EBITDA shall be calculated as provided in the last paragraph of the definition thereof.</w:t>
      </w:r>
    </w:p>
    <w:p>
      <w:pPr>
        <w:spacing w:after="0" w:line="182" w:lineRule="exact"/>
        <w:rPr>
          <w:sz w:val="20"/>
          <w:szCs w:val="20"/>
          <w:color w:val="auto"/>
        </w:rPr>
      </w:pPr>
    </w:p>
    <w:p>
      <w:pPr>
        <w:jc w:val="both"/>
        <w:ind w:right="20" w:firstLine="149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Net Leverage Ratio</w:t>
      </w:r>
      <w:r>
        <w:rPr>
          <w:rFonts w:ascii="Arial" w:cs="Arial" w:eastAsia="Arial" w:hAnsi="Arial"/>
          <w:sz w:val="20"/>
          <w:szCs w:val="20"/>
          <w:color w:val="auto"/>
        </w:rPr>
        <w:t>” means, as of any date of determination, the ratio, on a Pro Forma Basis, of (a) Consolidated Total Net Indebtedness of the Borrower and the Restricted Subsidiaries as of such date to (b) Consolidated EBITDA for the most recently completed Test Period.</w:t>
      </w:r>
    </w:p>
    <w:p>
      <w:pPr>
        <w:spacing w:after="0" w:line="25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w:t>
      </w:r>
      <w:r>
        <w:rPr>
          <w:rFonts w:ascii="Arial" w:cs="Arial" w:eastAsia="Arial" w:hAnsi="Arial"/>
          <w:sz w:val="20"/>
          <w:szCs w:val="20"/>
          <w:color w:val="auto"/>
        </w:rPr>
        <w:t>” has the meaning assigned to such term in the Collateral Agreement.</w:t>
      </w:r>
    </w:p>
    <w:p>
      <w:pPr>
        <w:spacing w:after="0" w:line="309"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Costs</w:t>
      </w:r>
      <w:r>
        <w:rPr>
          <w:rFonts w:ascii="Arial" w:cs="Arial" w:eastAsia="Arial" w:hAnsi="Arial"/>
          <w:sz w:val="20"/>
          <w:szCs w:val="20"/>
          <w:color w:val="auto"/>
        </w:rPr>
        <w:t>” means all fees, premiums, costs and expenses incurred or payable by Holdings, the Borrower or any other Subsidiary in connection with the Transactions, including fees, costs and expenses of any counsel, consultants and other advisors.</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(a) the Financing Transactions, (b) the Debt Repayment, and (c) the payment of the Transaction</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Costs.</w:t>
      </w:r>
    </w:p>
    <w:p>
      <w:pPr>
        <w:spacing w:after="0" w:line="212" w:lineRule="exact"/>
        <w:rPr>
          <w:sz w:val="20"/>
          <w:szCs w:val="20"/>
          <w:color w:val="auto"/>
        </w:rPr>
      </w:pPr>
    </w:p>
    <w:p>
      <w:pPr>
        <w:jc w:val="both"/>
        <w:ind w:firstLine="149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Transformative Event</w:t>
      </w:r>
      <w:r>
        <w:rPr>
          <w:rFonts w:ascii="Arial" w:cs="Arial" w:eastAsia="Arial" w:hAnsi="Arial"/>
          <w:sz w:val="18"/>
          <w:szCs w:val="18"/>
          <w:color w:val="auto"/>
        </w:rPr>
        <w:t>” means any merger, acquisition, investment, dissolution, liquidation, consolidation or disposition that is either (a) not permitted by the terms of the Loan Documents immediately prior to the consummation of such transaction or (b) if permitted by the terms of the Loan Documents immediately prior to the consummation of such transaction, would not provide the Borrower and its Restricted Subsidiaries with adequate flexibility under the Loan Documents for the continuation and/or expansion of their combined operations following such transaction, as reasonably determined by the Borrower acting in good faith.</w:t>
      </w:r>
    </w:p>
    <w:p>
      <w:pPr>
        <w:spacing w:after="0" w:line="190" w:lineRule="exact"/>
        <w:rPr>
          <w:sz w:val="20"/>
          <w:szCs w:val="20"/>
          <w:color w:val="auto"/>
        </w:rPr>
      </w:pPr>
    </w:p>
    <w:p>
      <w:pPr>
        <w:jc w:val="both"/>
        <w:ind w:right="20" w:firstLine="1499"/>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when used in reference to any Loan or Borrowing, refers to whether the rate of interest on such Loan, or on the Loans comprising such Borrowing, is determined by reference to the Adjusted </w:t>
      </w:r>
      <w:r>
        <w:rPr>
          <w:rFonts w:ascii="Arial" w:cs="Arial" w:eastAsia="Arial" w:hAnsi="Arial"/>
          <w:sz w:val="18"/>
          <w:szCs w:val="18"/>
          <w:b w:val="1"/>
          <w:bCs w:val="1"/>
          <w:color w:val="FF0000"/>
          <w:strike w:val="1"/>
        </w:rPr>
        <w:t>LIBO Rate</w:t>
      </w:r>
      <w:r>
        <w:rPr>
          <w:rFonts w:ascii="Arial" w:cs="Arial" w:eastAsia="Arial" w:hAnsi="Arial"/>
          <w:sz w:val="18"/>
          <w:szCs w:val="18"/>
          <w:b w:val="1"/>
          <w:bCs w:val="1"/>
          <w:u w:val="single" w:color="auto"/>
          <w:color w:val="0000FF"/>
        </w:rPr>
        <w:t>Term SOFR</w:t>
      </w:r>
      <w:r>
        <w:rPr>
          <w:rFonts w:ascii="Arial" w:cs="Arial" w:eastAsia="Arial" w:hAnsi="Arial"/>
          <w:sz w:val="18"/>
          <w:szCs w:val="18"/>
          <w:color w:val="auto"/>
        </w:rPr>
        <w:t xml:space="preserve"> or Alternate Base Rate.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16" w:right="539" w:bottom="1440" w:gutter="0" w:footer="0" w:header="0"/>
        </w:sectPr>
      </w:pPr>
    </w:p>
    <w:bookmarkStart w:id="227" w:name="page228"/>
    <w:bookmarkEnd w:id="227"/>
    <w:p>
      <w:pPr>
        <w:jc w:val="both"/>
        <w:ind w:right="20" w:firstLine="149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or “</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xml:space="preserve">” means the Uniform Commercial Code as in effect from time to time in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91" w:lineRule="exact"/>
        <w:rPr>
          <w:sz w:val="20"/>
          <w:szCs w:val="20"/>
          <w:color w:val="auto"/>
        </w:rPr>
      </w:pPr>
    </w:p>
    <w:p>
      <w:pPr>
        <w:jc w:val="both"/>
        <w:ind w:right="60" w:firstLine="14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w:t>
      </w:r>
    </w:p>
    <w:p>
      <w:pPr>
        <w:spacing w:after="0" w:line="187" w:lineRule="exact"/>
        <w:rPr>
          <w:sz w:val="20"/>
          <w:szCs w:val="20"/>
          <w:color w:val="auto"/>
        </w:rPr>
      </w:pPr>
    </w:p>
    <w:p>
      <w:pPr>
        <w:jc w:val="both"/>
        <w:ind w:right="60" w:firstLine="14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3" w:lineRule="exact"/>
        <w:rPr>
          <w:sz w:val="20"/>
          <w:szCs w:val="20"/>
          <w:color w:val="auto"/>
        </w:rPr>
      </w:pPr>
    </w:p>
    <w:p>
      <w:pPr>
        <w:ind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83"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xml:space="preserve">” means the </w:t>
      </w:r>
      <w:r>
        <w:rPr>
          <w:rFonts w:ascii="Arial" w:cs="Arial" w:eastAsia="Arial" w:hAnsi="Arial"/>
          <w:sz w:val="20"/>
          <w:szCs w:val="20"/>
          <w:b w:val="1"/>
          <w:bCs w:val="1"/>
          <w:u w:val="single" w:color="auto"/>
          <w:color w:val="0000FF"/>
        </w:rPr>
        <w:t>applicable</w:t>
      </w:r>
      <w:r>
        <w:rPr>
          <w:rFonts w:ascii="Arial" w:cs="Arial" w:eastAsia="Arial" w:hAnsi="Arial"/>
          <w:sz w:val="20"/>
          <w:szCs w:val="20"/>
          <w:color w:val="auto"/>
        </w:rPr>
        <w:t xml:space="preserve"> Benchmark Replacement excluding the </w:t>
      </w:r>
      <w:r>
        <w:rPr>
          <w:rFonts w:ascii="Arial" w:cs="Arial" w:eastAsia="Arial" w:hAnsi="Arial"/>
          <w:sz w:val="20"/>
          <w:szCs w:val="20"/>
          <w:b w:val="1"/>
          <w:bCs w:val="1"/>
          <w:u w:val="single" w:color="auto"/>
          <w:color w:val="0000FF"/>
        </w:rPr>
        <w:t>related</w:t>
      </w:r>
      <w:r>
        <w:rPr>
          <w:rFonts w:ascii="Arial" w:cs="Arial" w:eastAsia="Arial" w:hAnsi="Arial"/>
          <w:sz w:val="20"/>
          <w:szCs w:val="20"/>
          <w:color w:val="auto"/>
        </w:rPr>
        <w:t xml:space="preserve"> Benchmark Replacement Adjustment.</w:t>
      </w:r>
    </w:p>
    <w:p>
      <w:pPr>
        <w:spacing w:after="0" w:line="272" w:lineRule="exact"/>
        <w:rPr>
          <w:sz w:val="20"/>
          <w:szCs w:val="20"/>
          <w:color w:val="auto"/>
        </w:rPr>
      </w:pPr>
    </w:p>
    <w:p>
      <w:pPr>
        <w:jc w:val="both"/>
        <w:ind w:firstLine="1498"/>
        <w:spacing w:after="0" w:line="272" w:lineRule="auto"/>
        <w:rPr>
          <w:sz w:val="20"/>
          <w:szCs w:val="20"/>
          <w:color w:val="auto"/>
        </w:rPr>
      </w:pPr>
      <w:r>
        <w:rPr>
          <w:rFonts w:ascii="Arial" w:cs="Arial" w:eastAsia="Arial" w:hAnsi="Arial"/>
          <w:sz w:val="19"/>
          <w:szCs w:val="19"/>
          <w:b w:val="1"/>
          <w:bCs w:val="1"/>
          <w:u w:val="single" w:color="auto"/>
          <w:color w:val="0000FF"/>
        </w:rPr>
        <w:t>“U.S.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has the meaning set forth in Section 9.22.</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means the United States of America.</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United States Tax Compliance Certificate</w:t>
      </w:r>
      <w:r>
        <w:rPr>
          <w:rFonts w:ascii="Arial" w:cs="Arial" w:eastAsia="Arial" w:hAnsi="Arial"/>
          <w:sz w:val="19"/>
          <w:szCs w:val="19"/>
          <w:color w:val="auto"/>
        </w:rPr>
        <w:t>” has the meaning assigned to such term in Section 2.17(f)(ii)(C).</w:t>
      </w:r>
    </w:p>
    <w:p>
      <w:pPr>
        <w:spacing w:after="0" w:line="240" w:lineRule="exact"/>
        <w:rPr>
          <w:sz w:val="20"/>
          <w:szCs w:val="20"/>
          <w:color w:val="auto"/>
        </w:rPr>
      </w:pPr>
    </w:p>
    <w:p>
      <w:pPr>
        <w:ind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Lender</w:t>
      </w:r>
      <w:r>
        <w:rPr>
          <w:rFonts w:ascii="Arial" w:cs="Arial" w:eastAsia="Arial" w:hAnsi="Arial"/>
          <w:sz w:val="20"/>
          <w:szCs w:val="20"/>
          <w:color w:val="auto"/>
        </w:rPr>
        <w:t>” means any Regulated Entity, any Revolving Lender as of the Effective Date, any Joint Lead Arranger or any of their respective Affiliates.</w:t>
      </w:r>
    </w:p>
    <w:p>
      <w:pPr>
        <w:spacing w:after="0" w:line="203" w:lineRule="exact"/>
        <w:rPr>
          <w:sz w:val="20"/>
          <w:szCs w:val="20"/>
          <w:color w:val="auto"/>
        </w:rPr>
      </w:pPr>
    </w:p>
    <w:p>
      <w:pPr>
        <w:ind w:right="8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means any Subsidiary designated by the Borrower as an Unrestricted Subsidiary pursuant to Section 5.13 subsequent to the Effective Date.</w:t>
      </w:r>
    </w:p>
    <w:p>
      <w:pPr>
        <w:spacing w:after="0" w:line="189" w:lineRule="exact"/>
        <w:rPr>
          <w:sz w:val="20"/>
          <w:szCs w:val="20"/>
          <w:color w:val="auto"/>
        </w:rPr>
      </w:pPr>
    </w:p>
    <w:p>
      <w:pPr>
        <w:ind w:right="6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USA PATRIOT Act</w:t>
      </w:r>
      <w:r>
        <w:rPr>
          <w:rFonts w:ascii="Arial" w:cs="Arial" w:eastAsia="Arial" w:hAnsi="Arial"/>
          <w:sz w:val="20"/>
          <w:szCs w:val="20"/>
          <w:color w:val="auto"/>
        </w:rPr>
        <w:t>” means the Uniting and Strengthening America by Providing Appropriate Tools Required to Intercept and Obstruct Terrorism Act of 2001, as amended from time to time.</w:t>
      </w:r>
    </w:p>
    <w:p>
      <w:pPr>
        <w:spacing w:after="0" w:line="189"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Voluntary Prepayment Amount</w:t>
      </w:r>
      <w:r>
        <w:rPr>
          <w:rFonts w:ascii="Arial" w:cs="Arial" w:eastAsia="Arial" w:hAnsi="Arial"/>
          <w:sz w:val="20"/>
          <w:szCs w:val="20"/>
          <w:color w:val="auto"/>
        </w:rPr>
        <w:t>” has the meaning set forth in the definition of “Incremental Cap”.</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28" w:name="page229"/>
    <w:bookmarkEnd w:id="228"/>
    <w:p>
      <w:pPr>
        <w:jc w:val="both"/>
        <w:ind w:right="40" w:firstLine="1499"/>
        <w:spacing w:after="0" w:line="275" w:lineRule="auto"/>
        <w:rPr>
          <w:sz w:val="20"/>
          <w:szCs w:val="20"/>
          <w:color w:val="auto"/>
        </w:rPr>
      </w:pPr>
      <w:r>
        <w:rPr>
          <w:rFonts w:ascii="Arial" w:cs="Arial" w:eastAsia="Arial" w:hAnsi="Arial"/>
          <w:sz w:val="18"/>
          <w:szCs w:val="18"/>
          <w:color w:val="auto"/>
        </w:rPr>
        <w:t>“Weighted Average Life to Maturity”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in each case, without giving effect to any reductions of amortization or other scheduled payments for periods where amortization has been reduced as a result of the prepayment of the applicable Indebtedness.</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Restricted Subsidiary</w:t>
      </w:r>
      <w:r>
        <w:rPr>
          <w:rFonts w:ascii="Arial" w:cs="Arial" w:eastAsia="Arial" w:hAnsi="Arial"/>
          <w:sz w:val="19"/>
          <w:szCs w:val="19"/>
          <w:color w:val="auto"/>
        </w:rPr>
        <w:t>” means any Restricted Subsidiary that is a Wholly Owned Subsidiary.</w:t>
      </w:r>
    </w:p>
    <w:p>
      <w:pPr>
        <w:spacing w:after="0" w:line="253" w:lineRule="exact"/>
        <w:rPr>
          <w:sz w:val="20"/>
          <w:szCs w:val="20"/>
          <w:color w:val="auto"/>
        </w:rPr>
      </w:pPr>
    </w:p>
    <w:p>
      <w:pPr>
        <w:jc w:val="both"/>
        <w:ind w:right="60" w:firstLine="149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as to any Person, (i) any corporation 100% of whose capital stock is at the time owned by such Person and/or one or more Wholly Owned Subsidiaries of such Person and (ii) any partnership, limited liability company, association, or other similar non-corporate entity in which such Person and/or one or more Wholly Owned Subsidiaries of such Person has a 100% equity interest at such time (other than, in the case of the preceding clauses (i) and (ii), director’s qualifying shares and/or other nominal amount of shares required to be held by Persons other than the Borrower and its Subsidiaries under applicable law).</w:t>
      </w:r>
    </w:p>
    <w:p>
      <w:pPr>
        <w:spacing w:after="0" w:line="177" w:lineRule="exact"/>
        <w:rPr>
          <w:sz w:val="20"/>
          <w:szCs w:val="20"/>
          <w:color w:val="auto"/>
        </w:rPr>
      </w:pPr>
    </w:p>
    <w:p>
      <w:pPr>
        <w:jc w:val="both"/>
        <w:ind w:right="60" w:firstLine="14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203" w:lineRule="exact"/>
        <w:rPr>
          <w:sz w:val="20"/>
          <w:szCs w:val="20"/>
          <w:color w:val="auto"/>
        </w:rPr>
      </w:pPr>
    </w:p>
    <w:p>
      <w:pPr>
        <w:jc w:val="both"/>
        <w:ind w:firstLine="149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9"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1.02</w:t>
      </w:r>
      <w:r>
        <w:rPr>
          <w:sz w:val="20"/>
          <w:szCs w:val="20"/>
          <w:color w:val="auto"/>
        </w:rPr>
        <w:tab/>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w:t>
      </w:r>
    </w:p>
    <w:p>
      <w:pPr>
        <w:spacing w:after="0" w:line="228" w:lineRule="exact"/>
        <w:rPr>
          <w:sz w:val="20"/>
          <w:szCs w:val="20"/>
          <w:color w:val="auto"/>
        </w:rPr>
      </w:pPr>
    </w:p>
    <w:p>
      <w:pPr>
        <w:jc w:val="both"/>
        <w:ind w:right="40" w:firstLine="1498"/>
        <w:spacing w:after="0" w:line="244" w:lineRule="auto"/>
        <w:rPr>
          <w:sz w:val="20"/>
          <w:szCs w:val="20"/>
          <w:color w:val="auto"/>
        </w:rPr>
      </w:pPr>
      <w:r>
        <w:rPr>
          <w:rFonts w:ascii="Arial" w:cs="Arial" w:eastAsia="Arial" w:hAnsi="Arial"/>
          <w:sz w:val="20"/>
          <w:szCs w:val="20"/>
          <w:color w:val="auto"/>
        </w:rPr>
        <w:t>For purposes of this Agreement, Loans may be classified and referred to by Class (</w:t>
      </w:r>
      <w:r>
        <w:rPr>
          <w:rFonts w:ascii="Arial" w:cs="Arial" w:eastAsia="Arial" w:hAnsi="Arial"/>
          <w:sz w:val="20"/>
          <w:szCs w:val="20"/>
          <w:u w:val="single" w:color="auto"/>
          <w:color w:val="auto"/>
        </w:rPr>
        <w:t>e.g</w:t>
      </w:r>
      <w:r>
        <w:rPr>
          <w:rFonts w:ascii="Arial" w:cs="Arial" w:eastAsia="Arial" w:hAnsi="Arial"/>
          <w:sz w:val="20"/>
          <w:szCs w:val="20"/>
          <w:color w:val="auto"/>
        </w:rPr>
        <w:t>., a “</w:t>
      </w:r>
      <w:r>
        <w:rPr>
          <w:rFonts w:ascii="Arial" w:cs="Arial" w:eastAsia="Arial" w:hAnsi="Arial"/>
          <w:sz w:val="20"/>
          <w:szCs w:val="20"/>
          <w:u w:val="single" w:color="auto"/>
          <w:color w:val="auto"/>
        </w:rPr>
        <w:t>Revolving Loan</w:t>
      </w:r>
      <w:r>
        <w:rPr>
          <w:rFonts w:ascii="Arial" w:cs="Arial" w:eastAsia="Arial" w:hAnsi="Arial"/>
          <w:sz w:val="20"/>
          <w:szCs w:val="20"/>
          <w:color w:val="auto"/>
        </w:rPr>
        <w:t>”) or by Type (</w:t>
      </w:r>
      <w:r>
        <w:rPr>
          <w:rFonts w:ascii="Arial" w:cs="Arial" w:eastAsia="Arial" w:hAnsi="Arial"/>
          <w:sz w:val="20"/>
          <w:szCs w:val="20"/>
          <w:u w:val="single" w:color="auto"/>
          <w:color w:val="auto"/>
        </w:rPr>
        <w:t>e.g</w:t>
      </w:r>
      <w:r>
        <w:rPr>
          <w:rFonts w:ascii="Arial" w:cs="Arial" w:eastAsia="Arial" w:hAnsi="Arial"/>
          <w:sz w:val="20"/>
          <w:szCs w:val="20"/>
          <w:color w:val="auto"/>
        </w:rPr>
        <w:t>., a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 or “</w:t>
      </w:r>
      <w:r>
        <w:rPr>
          <w:rFonts w:ascii="Arial" w:cs="Arial" w:eastAsia="Arial" w:hAnsi="Arial"/>
          <w:sz w:val="20"/>
          <w:szCs w:val="20"/>
          <w:u w:val="single" w:color="auto"/>
          <w:color w:val="auto"/>
        </w:rPr>
        <w:t>ABR Loan</w:t>
      </w:r>
      <w:r>
        <w:rPr>
          <w:rFonts w:ascii="Arial" w:cs="Arial" w:eastAsia="Arial" w:hAnsi="Arial"/>
          <w:sz w:val="20"/>
          <w:szCs w:val="20"/>
          <w:color w:val="auto"/>
        </w:rPr>
        <w:t>”) or by Class and Type (</w:t>
      </w:r>
      <w:r>
        <w:rPr>
          <w:rFonts w:ascii="Arial" w:cs="Arial" w:eastAsia="Arial" w:hAnsi="Arial"/>
          <w:sz w:val="20"/>
          <w:szCs w:val="20"/>
          <w:u w:val="single" w:color="auto"/>
          <w:color w:val="auto"/>
        </w:rPr>
        <w:t>e.g</w:t>
      </w:r>
      <w:r>
        <w:rPr>
          <w:rFonts w:ascii="Arial" w:cs="Arial" w:eastAsia="Arial" w:hAnsi="Arial"/>
          <w:sz w:val="20"/>
          <w:szCs w:val="20"/>
          <w:color w:val="auto"/>
        </w:rPr>
        <w:t>., a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Revolving Loan”). Borrowings also may be classified and referred to by Class (</w:t>
      </w:r>
      <w:r>
        <w:rPr>
          <w:rFonts w:ascii="Arial" w:cs="Arial" w:eastAsia="Arial" w:hAnsi="Arial"/>
          <w:sz w:val="20"/>
          <w:szCs w:val="20"/>
          <w:u w:val="single" w:color="auto"/>
          <w:color w:val="auto"/>
        </w:rPr>
        <w:t>e.g</w:t>
      </w:r>
      <w:r>
        <w:rPr>
          <w:rFonts w:ascii="Arial" w:cs="Arial" w:eastAsia="Arial" w:hAnsi="Arial"/>
          <w:sz w:val="20"/>
          <w:szCs w:val="20"/>
          <w:color w:val="auto"/>
        </w:rPr>
        <w:t>., a “</w:t>
      </w:r>
      <w:r>
        <w:rPr>
          <w:rFonts w:ascii="Arial" w:cs="Arial" w:eastAsia="Arial" w:hAnsi="Arial"/>
          <w:sz w:val="20"/>
          <w:szCs w:val="20"/>
          <w:u w:val="single" w:color="auto"/>
          <w:color w:val="auto"/>
        </w:rPr>
        <w:t>Revolving Borrowing</w:t>
      </w:r>
      <w:r>
        <w:rPr>
          <w:rFonts w:ascii="Arial" w:cs="Arial" w:eastAsia="Arial" w:hAnsi="Arial"/>
          <w:sz w:val="20"/>
          <w:szCs w:val="20"/>
          <w:color w:val="auto"/>
        </w:rPr>
        <w:t>” or “</w:t>
      </w:r>
      <w:r>
        <w:rPr>
          <w:rFonts w:ascii="Arial" w:cs="Arial" w:eastAsia="Arial" w:hAnsi="Arial"/>
          <w:sz w:val="20"/>
          <w:szCs w:val="20"/>
          <w:u w:val="single" w:color="auto"/>
          <w:color w:val="auto"/>
        </w:rPr>
        <w:t>Term Borrowing</w:t>
      </w:r>
      <w:r>
        <w:rPr>
          <w:rFonts w:ascii="Arial" w:cs="Arial" w:eastAsia="Arial" w:hAnsi="Arial"/>
          <w:sz w:val="20"/>
          <w:szCs w:val="20"/>
          <w:color w:val="auto"/>
        </w:rPr>
        <w:t>”) or by Type (</w:t>
      </w:r>
      <w:r>
        <w:rPr>
          <w:rFonts w:ascii="Arial" w:cs="Arial" w:eastAsia="Arial" w:hAnsi="Arial"/>
          <w:sz w:val="20"/>
          <w:szCs w:val="20"/>
          <w:u w:val="single" w:color="auto"/>
          <w:color w:val="auto"/>
        </w:rPr>
        <w:t>e.g</w:t>
      </w:r>
      <w:r>
        <w:rPr>
          <w:rFonts w:ascii="Arial" w:cs="Arial" w:eastAsia="Arial" w:hAnsi="Arial"/>
          <w:sz w:val="20"/>
          <w:szCs w:val="20"/>
          <w:color w:val="auto"/>
        </w:rPr>
        <w:t>., a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w:t>
      </w:r>
      <w:r>
        <w:rPr>
          <w:rFonts w:ascii="Arial" w:cs="Arial" w:eastAsia="Arial" w:hAnsi="Arial"/>
          <w:sz w:val="20"/>
          <w:szCs w:val="20"/>
          <w:u w:val="single" w:color="auto"/>
          <w:color w:val="auto"/>
        </w:rPr>
        <w:t>Borrowing</w:t>
      </w:r>
      <w:r>
        <w:rPr>
          <w:rFonts w:ascii="Arial" w:cs="Arial" w:eastAsia="Arial" w:hAnsi="Arial"/>
          <w:sz w:val="20"/>
          <w:szCs w:val="20"/>
          <w:color w:val="auto"/>
        </w:rPr>
        <w:t>”) or by Class and Type (</w:t>
      </w:r>
      <w:r>
        <w:rPr>
          <w:rFonts w:ascii="Arial" w:cs="Arial" w:eastAsia="Arial" w:hAnsi="Arial"/>
          <w:sz w:val="20"/>
          <w:szCs w:val="20"/>
          <w:u w:val="single" w:color="auto"/>
          <w:color w:val="auto"/>
        </w:rPr>
        <w:t>e.g</w:t>
      </w:r>
      <w:r>
        <w:rPr>
          <w:rFonts w:ascii="Arial" w:cs="Arial" w:eastAsia="Arial" w:hAnsi="Arial"/>
          <w:sz w:val="20"/>
          <w:szCs w:val="20"/>
          <w:color w:val="auto"/>
        </w:rPr>
        <w:t>., a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Revolving Borrowing”). Borrowings of Revolving Loans are sometimes referred to herein as “</w:t>
      </w:r>
      <w:r>
        <w:rPr>
          <w:rFonts w:ascii="Arial" w:cs="Arial" w:eastAsia="Arial" w:hAnsi="Arial"/>
          <w:sz w:val="20"/>
          <w:szCs w:val="20"/>
          <w:u w:val="single" w:color="auto"/>
          <w:color w:val="auto"/>
        </w:rPr>
        <w:t>Revolving Borrowings</w:t>
      </w:r>
      <w:r>
        <w:rPr>
          <w:rFonts w:ascii="Arial" w:cs="Arial" w:eastAsia="Arial" w:hAnsi="Arial"/>
          <w:sz w:val="20"/>
          <w:szCs w:val="20"/>
          <w:color w:val="auto"/>
        </w:rPr>
        <w:t>”.</w:t>
      </w:r>
    </w:p>
    <w:p>
      <w:pPr>
        <w:spacing w:after="0" w:line="220" w:lineRule="exact"/>
        <w:rPr>
          <w:sz w:val="20"/>
          <w:szCs w:val="20"/>
          <w:color w:val="auto"/>
        </w:rPr>
      </w:pPr>
    </w:p>
    <w:p>
      <w:pPr>
        <w:jc w:val="center"/>
        <w:ind w:right="-279"/>
        <w:spacing w:after="0"/>
        <w:tabs>
          <w:tab w:leader="none" w:pos="340" w:val="left"/>
        </w:tabs>
        <w:rPr>
          <w:sz w:val="20"/>
          <w:szCs w:val="20"/>
          <w:color w:val="auto"/>
        </w:rPr>
      </w:pPr>
      <w:r>
        <w:rPr>
          <w:rFonts w:ascii="Arial" w:cs="Arial" w:eastAsia="Arial" w:hAnsi="Arial"/>
          <w:sz w:val="20"/>
          <w:szCs w:val="20"/>
          <w:color w:val="010000"/>
        </w:rPr>
        <w:t>SECTION 1.03</w:t>
      </w:r>
      <w:r>
        <w:rPr>
          <w:sz w:val="20"/>
          <w:szCs w:val="20"/>
          <w:color w:val="auto"/>
        </w:rPr>
        <w:tab/>
      </w:r>
      <w:r>
        <w:rPr>
          <w:rFonts w:ascii="Arial" w:cs="Arial" w:eastAsia="Arial" w:hAnsi="Arial"/>
          <w:sz w:val="16"/>
          <w:szCs w:val="16"/>
          <w:u w:val="single" w:color="auto"/>
          <w:color w:val="auto"/>
        </w:rPr>
        <w:t>Terms Generally</w:t>
      </w:r>
      <w:r>
        <w:rPr>
          <w:rFonts w:ascii="Arial" w:cs="Arial" w:eastAsia="Arial" w:hAnsi="Arial"/>
          <w:sz w:val="16"/>
          <w:szCs w:val="16"/>
          <w:color w:val="auto"/>
        </w:rPr>
        <w:t>.</w:t>
      </w:r>
    </w:p>
    <w:p>
      <w:pPr>
        <w:spacing w:after="0" w:line="228" w:lineRule="exact"/>
        <w:rPr>
          <w:sz w:val="20"/>
          <w:szCs w:val="20"/>
          <w:color w:val="auto"/>
        </w:rPr>
      </w:pPr>
    </w:p>
    <w:p>
      <w:pPr>
        <w:jc w:val="both"/>
        <w:ind w:firstLine="1499"/>
        <w:spacing w:after="0" w:line="246" w:lineRule="auto"/>
        <w:rPr>
          <w:sz w:val="20"/>
          <w:szCs w:val="20"/>
          <w:color w:val="auto"/>
        </w:rPr>
      </w:pPr>
      <w:r>
        <w:rPr>
          <w:rFonts w:ascii="Arial" w:cs="Arial" w:eastAsia="Arial" w:hAnsi="Arial"/>
          <w:sz w:val="20"/>
          <w:szCs w:val="20"/>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66" w:right="499" w:bottom="1440" w:gutter="0" w:footer="0" w:header="0"/>
        </w:sectPr>
      </w:pPr>
    </w:p>
    <w:bookmarkStart w:id="229" w:name="page230"/>
    <w:bookmarkEnd w:id="229"/>
    <w:p>
      <w:pPr>
        <w:jc w:val="both"/>
        <w:spacing w:after="0" w:line="255" w:lineRule="auto"/>
        <w:rPr>
          <w:sz w:val="20"/>
          <w:szCs w:val="20"/>
          <w:color w:val="auto"/>
        </w:rPr>
      </w:pPr>
      <w:r>
        <w:rPr>
          <w:rFonts w:ascii="Arial" w:cs="Arial" w:eastAsia="Arial" w:hAnsi="Arial"/>
          <w:sz w:val="19"/>
          <w:szCs w:val="19"/>
          <w:color w:val="auto"/>
        </w:rPr>
        <w:t>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347" w:lineRule="exact"/>
        <w:rPr>
          <w:sz w:val="20"/>
          <w:szCs w:val="20"/>
          <w:color w:val="auto"/>
        </w:rPr>
      </w:pPr>
    </w:p>
    <w:p>
      <w:pPr>
        <w:jc w:val="both"/>
        <w:ind w:right="20" w:firstLine="1499"/>
        <w:spacing w:after="0" w:line="258" w:lineRule="auto"/>
        <w:rPr>
          <w:sz w:val="20"/>
          <w:szCs w:val="20"/>
          <w:color w:val="auto"/>
        </w:rPr>
      </w:pPr>
      <w:r>
        <w:rPr>
          <w:rFonts w:ascii="Arial" w:cs="Arial" w:eastAsia="Arial" w:hAnsi="Arial"/>
          <w:sz w:val="19"/>
          <w:szCs w:val="19"/>
          <w:color w:val="auto"/>
        </w:rPr>
        <w:t>All references to “in the ordinary course of business” of the Borrower or any Subsidiary thereof means (i) in the ordinary course of business of, or in furtherance of an objective that is in the ordinary course of business of the Borrower or such Subsidiary, as applicable, (ii) customary and usual in the industry or industries of the Borrower and its Subsidiaries in the United States or any other jurisdiction in which the Borrower or any Subsidiary does business, as applicable, or (iii) generally consistent with the past or current practice of the Borrower or such Subsidiary, as applicable, or any similarly situated businesses of the United States or any other jurisdiction in which the Borrower or any Subsidiary does business, as applicable.</w:t>
      </w:r>
    </w:p>
    <w:p>
      <w:pPr>
        <w:spacing w:after="0" w:line="209" w:lineRule="exact"/>
        <w:rPr>
          <w:sz w:val="20"/>
          <w:szCs w:val="20"/>
          <w:color w:val="auto"/>
        </w:rPr>
      </w:pPr>
    </w:p>
    <w:p>
      <w:pPr>
        <w:jc w:val="both"/>
        <w:ind w:firstLine="1499"/>
        <w:spacing w:after="0" w:line="311" w:lineRule="auto"/>
        <w:rPr>
          <w:sz w:val="20"/>
          <w:szCs w:val="20"/>
          <w:color w:val="auto"/>
        </w:rPr>
      </w:pPr>
      <w:r>
        <w:rPr>
          <w:rFonts w:ascii="Arial" w:cs="Arial" w:eastAsia="Arial" w:hAnsi="Arial"/>
          <w:sz w:val="16"/>
          <w:szCs w:val="16"/>
          <w:color w:val="auto"/>
        </w:rPr>
        <w:t>For purposes of determining compliance with any Section of Article VI, in the event that any Lien, Investment, Indebtedness (whether at the time of incurrence or upon application of all or a portion of the proceeds thereof), Disposition, Restricted Payment, Affiliate transaction, restrictive agreement or prepayment of Indebtedness meets the criteria of one or more than one of the categories of transactions permitted pursuant to any clause of such Sections, such transaction (or portion thereof) at the time of incurrence or consummation thereof shall be deemed to be incurred or otherwise permitted under such clause(s) determined by the Borrower in its sole discretion at such time of incurrence or consummation, as applicable (or any later time from time to time, in each case, as determined by the Borrower in its sole discretion at such time and thereafter may be reclassified by the Borrower (it being understood and agreed that such reclassification shall be automatic if at the end of any fiscal quarter such reclassification would then be permitted)).</w:t>
      </w:r>
    </w:p>
    <w:p>
      <w:pPr>
        <w:spacing w:after="0" w:line="156" w:lineRule="exact"/>
        <w:rPr>
          <w:sz w:val="20"/>
          <w:szCs w:val="20"/>
          <w:color w:val="auto"/>
        </w:rPr>
      </w:pPr>
    </w:p>
    <w:p>
      <w:pPr>
        <w:jc w:val="both"/>
        <w:ind w:right="60" w:firstLine="1499"/>
        <w:spacing w:after="0" w:line="286" w:lineRule="auto"/>
        <w:rPr>
          <w:sz w:val="20"/>
          <w:szCs w:val="20"/>
          <w:color w:val="auto"/>
        </w:rPr>
      </w:pPr>
      <w:r>
        <w:rPr>
          <w:rFonts w:ascii="Arial" w:cs="Arial" w:eastAsia="Arial" w:hAnsi="Arial"/>
          <w:sz w:val="19"/>
          <w:szCs w:val="19"/>
          <w:color w:val="auto"/>
        </w:rPr>
        <w:t>When the performance of any covenant, duty or obligation is stated to be due or performance required on a day which is not a Business Day, the date of such performance shall extend to the immediately succeeding Business Day.</w:t>
      </w:r>
    </w:p>
    <w:p>
      <w:pPr>
        <w:spacing w:after="0" w:line="180" w:lineRule="exact"/>
        <w:rPr>
          <w:sz w:val="20"/>
          <w:szCs w:val="20"/>
          <w:color w:val="auto"/>
        </w:rPr>
      </w:pPr>
    </w:p>
    <w:p>
      <w:pPr>
        <w:jc w:val="both"/>
        <w:ind w:right="60" w:firstLine="1499"/>
        <w:spacing w:after="0" w:line="246" w:lineRule="auto"/>
        <w:rPr>
          <w:sz w:val="20"/>
          <w:szCs w:val="20"/>
          <w:color w:val="auto"/>
        </w:rPr>
      </w:pPr>
      <w:r>
        <w:rPr>
          <w:rFonts w:ascii="Arial" w:cs="Arial" w:eastAsia="Arial" w:hAnsi="Arial"/>
          <w:sz w:val="20"/>
          <w:szCs w:val="20"/>
          <w:color w:val="auto"/>
        </w:rPr>
        <w:t xml:space="preserve">The Administrative Agent does not warrant nor accept any responsibility nor shall the Administrative Agent have any liability with respect to (i) any </w:t>
      </w:r>
      <w:r>
        <w:rPr>
          <w:rFonts w:ascii="Arial" w:cs="Arial" w:eastAsia="Arial" w:hAnsi="Arial"/>
          <w:sz w:val="20"/>
          <w:szCs w:val="20"/>
          <w:b w:val="1"/>
          <w:bCs w:val="1"/>
          <w:color w:val="FF0000"/>
          <w:strike w:val="1"/>
        </w:rPr>
        <w:t>Benchmark Replacement</w:t>
      </w:r>
      <w:r>
        <w:rPr>
          <w:rFonts w:ascii="Arial" w:cs="Arial" w:eastAsia="Arial" w:hAnsi="Arial"/>
          <w:sz w:val="20"/>
          <w:szCs w:val="20"/>
          <w:color w:val="auto"/>
        </w:rPr>
        <w:t xml:space="preserve"> Conforming Changes, (ii) the administration, submission or any matter relating to the rates in the definition of Benchmark or with respect to any rate that is an alternative, comparable or successor rate thereto or (iii) the effect of any of the foregoing.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30" w:name="page231"/>
    <w:bookmarkEnd w:id="230"/>
    <w:p>
      <w:pPr>
        <w:ind w:left="4120"/>
        <w:spacing w:after="0"/>
        <w:tabs>
          <w:tab w:leader="none" w:pos="5680" w:val="left"/>
        </w:tabs>
        <w:rPr>
          <w:sz w:val="20"/>
          <w:szCs w:val="20"/>
          <w:color w:val="auto"/>
        </w:rPr>
      </w:pPr>
      <w:r>
        <w:rPr>
          <w:rFonts w:ascii="Arial" w:cs="Arial" w:eastAsia="Arial" w:hAnsi="Arial"/>
          <w:sz w:val="20"/>
          <w:szCs w:val="20"/>
          <w:color w:val="010000"/>
        </w:rPr>
        <w:t>SECTION 1.04</w:t>
      </w:r>
      <w:r>
        <w:rPr>
          <w:sz w:val="20"/>
          <w:szCs w:val="20"/>
          <w:color w:val="auto"/>
        </w:rPr>
        <w:tab/>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243" w:lineRule="exact"/>
        <w:rPr>
          <w:sz w:val="20"/>
          <w:szCs w:val="20"/>
          <w:color w:val="auto"/>
        </w:rPr>
      </w:pPr>
    </w:p>
    <w:p>
      <w:pPr>
        <w:jc w:val="both"/>
        <w:ind w:right="60" w:firstLine="1490"/>
        <w:spacing w:after="0" w:line="249" w:lineRule="auto"/>
        <w:tabs>
          <w:tab w:leader="none" w:pos="228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prescribed herein.</w:t>
      </w:r>
    </w:p>
    <w:p>
      <w:pPr>
        <w:spacing w:after="0" w:line="201" w:lineRule="exact"/>
        <w:rPr>
          <w:rFonts w:ascii="Arial" w:cs="Arial" w:eastAsia="Arial" w:hAnsi="Arial"/>
          <w:sz w:val="20"/>
          <w:szCs w:val="20"/>
          <w:color w:val="auto"/>
        </w:rPr>
      </w:pPr>
    </w:p>
    <w:p>
      <w:pPr>
        <w:jc w:val="both"/>
        <w:ind w:right="60" w:firstLine="1490"/>
        <w:spacing w:after="0" w:line="260" w:lineRule="auto"/>
        <w:tabs>
          <w:tab w:leader="none" w:pos="228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for purposes of determining compliance with any test contained in this Agreement, Consolidated EBITDA, the Total Net Leverage Ratio, the Senior Secured First Lien Net Leverage Ratio, the Senior Secured Net Leverage Ratio and the Cash Interest Coverage Ratio shall be calculated on a Pro Forma Basis to give effect to the Transaction and all Specified Transactions that have been made during the applicable period of measurement or subsequent to such period and prior to or simultaneously with the event for which the calculation is made.</w:t>
      </w:r>
    </w:p>
    <w:p>
      <w:pPr>
        <w:spacing w:after="0" w:line="205" w:lineRule="exact"/>
        <w:rPr>
          <w:sz w:val="20"/>
          <w:szCs w:val="20"/>
          <w:color w:val="auto"/>
        </w:rPr>
      </w:pPr>
    </w:p>
    <w:p>
      <w:pPr>
        <w:jc w:val="center"/>
        <w:ind w:left="1200"/>
        <w:spacing w:after="0"/>
        <w:tabs>
          <w:tab w:leader="none" w:pos="340" w:val="left"/>
        </w:tabs>
        <w:rPr>
          <w:sz w:val="20"/>
          <w:szCs w:val="20"/>
          <w:color w:val="auto"/>
        </w:rPr>
      </w:pPr>
      <w:r>
        <w:rPr>
          <w:rFonts w:ascii="Arial" w:cs="Arial" w:eastAsia="Arial" w:hAnsi="Arial"/>
          <w:sz w:val="20"/>
          <w:szCs w:val="20"/>
          <w:color w:val="010000"/>
        </w:rPr>
        <w:t>SECTION 1.05</w:t>
      </w:r>
      <w:r>
        <w:rPr>
          <w:sz w:val="20"/>
          <w:szCs w:val="20"/>
          <w:color w:val="auto"/>
        </w:rPr>
        <w:tab/>
      </w:r>
      <w:r>
        <w:rPr>
          <w:rFonts w:ascii="Arial" w:cs="Arial" w:eastAsia="Arial" w:hAnsi="Arial"/>
          <w:sz w:val="16"/>
          <w:szCs w:val="16"/>
          <w:u w:val="single" w:color="auto"/>
          <w:color w:val="auto"/>
        </w:rPr>
        <w:t>Effectuation of Transactions</w:t>
      </w:r>
      <w:r>
        <w:rPr>
          <w:rFonts w:ascii="Arial" w:cs="Arial" w:eastAsia="Arial" w:hAnsi="Arial"/>
          <w:sz w:val="16"/>
          <w:szCs w:val="16"/>
          <w:color w:val="auto"/>
        </w:rPr>
        <w:t>.</w:t>
      </w:r>
    </w:p>
    <w:p>
      <w:pPr>
        <w:spacing w:after="0" w:line="228" w:lineRule="exact"/>
        <w:rPr>
          <w:sz w:val="20"/>
          <w:szCs w:val="20"/>
          <w:color w:val="auto"/>
        </w:rPr>
      </w:pPr>
    </w:p>
    <w:p>
      <w:pPr>
        <w:jc w:val="both"/>
        <w:ind w:right="20" w:firstLine="1499"/>
        <w:spacing w:after="0" w:line="246" w:lineRule="auto"/>
        <w:rPr>
          <w:sz w:val="20"/>
          <w:szCs w:val="20"/>
          <w:color w:val="auto"/>
        </w:rPr>
      </w:pPr>
      <w:r>
        <w:rPr>
          <w:rFonts w:ascii="Arial" w:cs="Arial" w:eastAsia="Arial" w:hAnsi="Arial"/>
          <w:sz w:val="20"/>
          <w:szCs w:val="20"/>
          <w:color w:val="auto"/>
        </w:rPr>
        <w:t>All references herein to Holdings, the Borrower and their respective Subsidiaries shall be deemed to be references to such Persons, and all the representations and warranties of Holdings, the Borrower and the other Loan Parties contained in this Agreement and the other Loan Documents shall be deemed made, in each case, after giving effect to the Transactions to occur on the Effective Date, unless the context otherwise requires.</w:t>
      </w:r>
    </w:p>
    <w:p>
      <w:pPr>
        <w:spacing w:after="0" w:line="217" w:lineRule="exact"/>
        <w:rPr>
          <w:sz w:val="20"/>
          <w:szCs w:val="20"/>
          <w:color w:val="auto"/>
        </w:rPr>
      </w:pPr>
    </w:p>
    <w:p>
      <w:pPr>
        <w:jc w:val="center"/>
        <w:ind w:left="1480"/>
        <w:spacing w:after="0"/>
        <w:tabs>
          <w:tab w:leader="none" w:pos="340" w:val="left"/>
        </w:tabs>
        <w:rPr>
          <w:sz w:val="20"/>
          <w:szCs w:val="20"/>
          <w:color w:val="auto"/>
        </w:rPr>
      </w:pPr>
      <w:r>
        <w:rPr>
          <w:rFonts w:ascii="Arial" w:cs="Arial" w:eastAsia="Arial" w:hAnsi="Arial"/>
          <w:sz w:val="20"/>
          <w:szCs w:val="20"/>
          <w:color w:val="010000"/>
        </w:rPr>
        <w:t>SECTION 1.06</w:t>
      </w:r>
      <w:r>
        <w:rPr>
          <w:sz w:val="20"/>
          <w:szCs w:val="20"/>
          <w:color w:val="auto"/>
        </w:rPr>
        <w:tab/>
      </w:r>
      <w:r>
        <w:rPr>
          <w:rFonts w:ascii="Arial" w:cs="Arial" w:eastAsia="Arial" w:hAnsi="Arial"/>
          <w:sz w:val="18"/>
          <w:szCs w:val="18"/>
          <w:u w:val="single" w:color="auto"/>
          <w:color w:val="auto"/>
        </w:rPr>
        <w:t>Limited Condition Transactions</w:t>
      </w:r>
      <w:r>
        <w:rPr>
          <w:rFonts w:ascii="Arial" w:cs="Arial" w:eastAsia="Arial" w:hAnsi="Arial"/>
          <w:sz w:val="18"/>
          <w:szCs w:val="18"/>
          <w:color w:val="auto"/>
        </w:rPr>
        <w:t>.</w:t>
      </w:r>
    </w:p>
    <w:p>
      <w:pPr>
        <w:spacing w:after="0" w:line="228" w:lineRule="exact"/>
        <w:rPr>
          <w:sz w:val="20"/>
          <w:szCs w:val="20"/>
          <w:color w:val="auto"/>
        </w:rPr>
      </w:pPr>
    </w:p>
    <w:p>
      <w:pPr>
        <w:jc w:val="both"/>
        <w:ind w:firstLine="1499"/>
        <w:spacing w:after="0" w:line="268" w:lineRule="auto"/>
        <w:rPr>
          <w:sz w:val="20"/>
          <w:szCs w:val="20"/>
          <w:color w:val="auto"/>
        </w:rPr>
      </w:pPr>
      <w:r>
        <w:rPr>
          <w:rFonts w:ascii="Arial" w:cs="Arial" w:eastAsia="Arial" w:hAnsi="Arial"/>
          <w:sz w:val="18"/>
          <w:szCs w:val="18"/>
          <w:color w:val="auto"/>
        </w:rPr>
        <w:t>Notwithstanding anything in this Agreement or any Loan Document to the contrary, when calculating any applicable ratio, the amount or availability of the Available Amount or any other basket (including incremental facilities or any baskets based on Consolidated EBITDA or total assets), or determining other compliance with this Agreement (including the determination of compliance with representations, warranties or any provision of this Agreement which requires that no Default or Event of Default has occurred, is continuing or would result therefrom) in connection with a Specified Transaction or other transaction undertaken in connection with the consummation of a Limited Condition Transaction, the date of determination of such ratio, the amount or availability of the Available Amount or any other basket and determination of the accuracy of any representation or warranty or whether a Default or Event of Default has occurred, is continuing or would result therefrom or other applicable covenant shall, at the option of the Borrower (the Borrower’s election to exercise such option in connection with any Limited Condition Transaction, an “</w:t>
      </w:r>
      <w:r>
        <w:rPr>
          <w:rFonts w:ascii="Arial" w:cs="Arial" w:eastAsia="Arial" w:hAnsi="Arial"/>
          <w:sz w:val="18"/>
          <w:szCs w:val="18"/>
          <w:u w:val="single" w:color="auto"/>
          <w:color w:val="auto"/>
        </w:rPr>
        <w:t>LCT Election</w:t>
      </w:r>
      <w:r>
        <w:rPr>
          <w:rFonts w:ascii="Arial" w:cs="Arial" w:eastAsia="Arial" w:hAnsi="Arial"/>
          <w:sz w:val="18"/>
          <w:szCs w:val="18"/>
          <w:color w:val="auto"/>
        </w:rPr>
        <w:t>”), be deemed to be the date the definitive agreements for such Limited Condition Transaction are entered into (the “</w:t>
      </w:r>
      <w:r>
        <w:rPr>
          <w:rFonts w:ascii="Arial" w:cs="Arial" w:eastAsia="Arial" w:hAnsi="Arial"/>
          <w:sz w:val="18"/>
          <w:szCs w:val="18"/>
          <w:u w:val="single" w:color="auto"/>
          <w:color w:val="auto"/>
        </w:rPr>
        <w:t>LCT Test Date</w:t>
      </w:r>
      <w:r>
        <w:rPr>
          <w:rFonts w:ascii="Arial" w:cs="Arial" w:eastAsia="Arial" w:hAnsi="Arial"/>
          <w:sz w:val="18"/>
          <w:szCs w:val="18"/>
          <w:color w:val="auto"/>
        </w:rPr>
        <w:t>”) and if, after such ratios and other provisions are measured on a Pro Forma Basis after giving effect to such Limited Condition Transaction and the other Specified Transactions or other transactions to be entered into in connection therewith (including any incurrence of Indebtedness and the use of proceeds thereof) as if they occurred at the beginning of the applicable Test Period ending prior to the LCT Test Date, the Borrower could have taken such action on the relevant LCT Test Date in compliance with such ratios and provisions, such provisions shall be deemed to have been complied with. For the avoidance of doubt, (x) if any of such ratios are exceeded as a result of fluctuations in such ratio (including due to fluctuations in Consolidated EBITDA of the Borrower and its Subsidiaries) at or prior to the consummation of the relevant Limited Condition Transaction, such ratios and other provisions will not be deemed to have been exceeded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or other transactions. If the Borrower has made an LCT Election for any Limited Condition Transaction, then in connection with any subsequent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31" w:name="page232"/>
    <w:bookmarkEnd w:id="231"/>
    <w:p>
      <w:pPr>
        <w:jc w:val="both"/>
        <w:spacing w:after="0" w:line="278" w:lineRule="auto"/>
        <w:rPr>
          <w:sz w:val="20"/>
          <w:szCs w:val="20"/>
          <w:color w:val="auto"/>
        </w:rPr>
      </w:pPr>
      <w:r>
        <w:rPr>
          <w:rFonts w:ascii="Arial" w:cs="Arial" w:eastAsia="Arial" w:hAnsi="Arial"/>
          <w:sz w:val="18"/>
          <w:szCs w:val="18"/>
          <w:color w:val="auto"/>
        </w:rPr>
        <w:t>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w:t>
      </w:r>
    </w:p>
    <w:p>
      <w:pPr>
        <w:spacing w:after="0" w:line="191"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1.07</w:t>
      </w:r>
      <w:r>
        <w:rPr>
          <w:sz w:val="20"/>
          <w:szCs w:val="20"/>
          <w:color w:val="auto"/>
        </w:rPr>
        <w:tab/>
      </w:r>
      <w:r>
        <w:rPr>
          <w:rFonts w:ascii="Arial" w:cs="Arial" w:eastAsia="Arial" w:hAnsi="Arial"/>
          <w:sz w:val="18"/>
          <w:szCs w:val="18"/>
          <w:u w:val="single" w:color="auto"/>
          <w:color w:val="auto"/>
        </w:rPr>
        <w:t>Additional Alternative Currencies</w:t>
      </w:r>
      <w:r>
        <w:rPr>
          <w:rFonts w:ascii="Arial" w:cs="Arial" w:eastAsia="Arial" w:hAnsi="Arial"/>
          <w:sz w:val="18"/>
          <w:szCs w:val="18"/>
          <w:color w:val="auto"/>
        </w:rPr>
        <w:t>.</w:t>
      </w:r>
    </w:p>
    <w:p>
      <w:pPr>
        <w:spacing w:after="0" w:line="222" w:lineRule="exact"/>
        <w:rPr>
          <w:sz w:val="20"/>
          <w:szCs w:val="20"/>
          <w:color w:val="auto"/>
        </w:rPr>
      </w:pPr>
    </w:p>
    <w:p>
      <w:pPr>
        <w:jc w:val="both"/>
        <w:ind w:right="60" w:firstLine="1490"/>
        <w:spacing w:after="0" w:line="244" w:lineRule="auto"/>
        <w:tabs>
          <w:tab w:leader="none" w:pos="228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The Borrower may from time to time request that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Revolving Loans be made and/or Letters of Credit be issued in a currency other than Dollars or those specifically listed in the definition of “Alternative Currency.” In the case of any such request with respect to the making of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Revolving Loans, such request shall be subject to the approval of the Administrative Agent and all of the Revolving Lenders. In the case of any such request with respect to the issuance of Letters of Credit, such request shall be subject to the approval of the Administrative Agent, the applicable Issuing Bank and all of the Revolving Lenders.</w:t>
      </w:r>
    </w:p>
    <w:p>
      <w:pPr>
        <w:spacing w:after="0" w:line="207" w:lineRule="exact"/>
        <w:rPr>
          <w:rFonts w:ascii="Arial" w:cs="Arial" w:eastAsia="Arial" w:hAnsi="Arial"/>
          <w:sz w:val="20"/>
          <w:szCs w:val="20"/>
          <w:color w:val="auto"/>
        </w:rPr>
      </w:pPr>
    </w:p>
    <w:p>
      <w:pPr>
        <w:ind w:left="2240" w:hanging="750"/>
        <w:spacing w:after="0"/>
        <w:tabs>
          <w:tab w:leader="none" w:pos="22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Any such request shall be made to the Administrative Agent not later than 11:00</w:t>
      </w:r>
    </w:p>
    <w:p>
      <w:pPr>
        <w:spacing w:after="0" w:line="15" w:lineRule="exact"/>
        <w:rPr>
          <w:sz w:val="20"/>
          <w:szCs w:val="20"/>
          <w:color w:val="auto"/>
        </w:rPr>
      </w:pPr>
    </w:p>
    <w:p>
      <w:pPr>
        <w:jc w:val="both"/>
        <w:ind w:right="40"/>
        <w:spacing w:after="0" w:line="269" w:lineRule="auto"/>
        <w:rPr>
          <w:sz w:val="20"/>
          <w:szCs w:val="20"/>
          <w:color w:val="auto"/>
        </w:rPr>
      </w:pPr>
      <w:r>
        <w:rPr>
          <w:rFonts w:ascii="Arial" w:cs="Arial" w:eastAsia="Arial" w:hAnsi="Arial"/>
          <w:sz w:val="18"/>
          <w:szCs w:val="18"/>
          <w:color w:val="auto"/>
        </w:rPr>
        <w:t xml:space="preserve">a.m. (New York City time), ten (10) Business Days prior to the date of the desired Revolving Borrowing or issuance of Letters of Credit (or such other time or date as may be agreed to by the Administrative Agent and, in the case of any such request pertaining to Letters of Credit, each Issuing Bank, in its or their sole discretion). In the case of any such request pertaining to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Revolving Loans, the Administrative Agent shall promptly notify each Revolving Lender thereof. In the case of any such request pertaining to Letters of Credit, the Administrative Agent shall promptly notify the applicable Issuing Bank thereof. Each Revolving Lender (in the case of any such request pertaining to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Revolving Loans) or each Issuing Bank (in the case of a request pertaining to Letters of Credit) shall notify the Administrative Agent, not later than 11:00 a.m. (New York City time), two (2) Business Days after its receipt of such request as to whether it consents, in its sole discretion, to the making of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Revolving Loans or the issuance of Letters of Credit, as the case may be, in such requested currency.</w:t>
      </w:r>
    </w:p>
    <w:p>
      <w:pPr>
        <w:spacing w:after="0" w:line="202" w:lineRule="exact"/>
        <w:rPr>
          <w:sz w:val="20"/>
          <w:szCs w:val="20"/>
          <w:color w:val="auto"/>
        </w:rPr>
      </w:pPr>
    </w:p>
    <w:p>
      <w:pPr>
        <w:jc w:val="both"/>
        <w:ind w:right="60" w:firstLine="1490"/>
        <w:spacing w:after="0" w:line="244" w:lineRule="auto"/>
        <w:tabs>
          <w:tab w:leader="none" w:pos="2286"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Any failure by a Revolving Lender or an Issuing Bank, as the case may be, to respond to such request within the time period specified in the last sentence of clause (b) above shall be deemed to be a refusal by such Revolving Lender or such Issuing Bank, as the case may be, to permit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Revolving Loans to be made or Letters of Credit to be issued in such requested currency. If the Administrative Agent and all the Revolving Lenders consent to making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Revolving Loans in such requested currency, the Administrative Agent shall so notify</w:t>
      </w:r>
    </w:p>
    <w:p>
      <w:pPr>
        <w:spacing w:after="0" w:line="31" w:lineRule="exact"/>
        <w:rPr>
          <w:sz w:val="20"/>
          <w:szCs w:val="20"/>
          <w:color w:val="auto"/>
        </w:rPr>
      </w:pPr>
    </w:p>
    <w:p>
      <w:pPr>
        <w:jc w:val="both"/>
        <w:ind w:right="40"/>
        <w:spacing w:after="0" w:line="243" w:lineRule="auto"/>
        <w:rPr>
          <w:sz w:val="20"/>
          <w:szCs w:val="20"/>
          <w:color w:val="auto"/>
        </w:rPr>
      </w:pPr>
      <w:r>
        <w:rPr>
          <w:rFonts w:ascii="Arial" w:cs="Arial" w:eastAsia="Arial" w:hAnsi="Arial"/>
          <w:sz w:val="20"/>
          <w:szCs w:val="20"/>
          <w:color w:val="auto"/>
        </w:rPr>
        <w:t xml:space="preserve">the Borrower and such currency shall thereupon be deemed for all purposes to be an Alternative Currency hereunder for purposes of any Borrowings of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Revolving Loans. If the Administrative Agent and each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Section 1.07, the Administrative Agent shall promptly so notify the Borrower.</w:t>
      </w:r>
    </w:p>
    <w:p>
      <w:pPr>
        <w:spacing w:after="0" w:line="207"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1.08</w:t>
      </w:r>
      <w:r>
        <w:rPr>
          <w:sz w:val="20"/>
          <w:szCs w:val="20"/>
          <w:color w:val="auto"/>
        </w:rPr>
        <w:tab/>
      </w:r>
      <w:r>
        <w:rPr>
          <w:rFonts w:ascii="Arial" w:cs="Arial" w:eastAsia="Arial" w:hAnsi="Arial"/>
          <w:sz w:val="18"/>
          <w:szCs w:val="18"/>
          <w:u w:val="single" w:color="auto"/>
          <w:color w:val="auto"/>
        </w:rPr>
        <w:t>Currency Equivalents Generally</w:t>
      </w:r>
      <w:r>
        <w:rPr>
          <w:rFonts w:ascii="Arial" w:cs="Arial" w:eastAsia="Arial" w:hAnsi="Arial"/>
          <w:sz w:val="18"/>
          <w:szCs w:val="18"/>
          <w:color w:val="auto"/>
        </w:rPr>
        <w:t>.</w:t>
      </w:r>
    </w:p>
    <w:p>
      <w:pPr>
        <w:spacing w:after="0" w:line="242" w:lineRule="exact"/>
        <w:rPr>
          <w:sz w:val="20"/>
          <w:szCs w:val="20"/>
          <w:color w:val="auto"/>
        </w:rPr>
      </w:pPr>
    </w:p>
    <w:p>
      <w:pPr>
        <w:jc w:val="both"/>
        <w:ind w:right="20" w:firstLine="1490"/>
        <w:spacing w:after="0" w:line="246" w:lineRule="auto"/>
        <w:tabs>
          <w:tab w:leader="none" w:pos="2288"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Administrative Agent shall determine the Spot Rates as of each Revaluation Date to be used for calculating Dollar Amounts of a Borrowing or an issuance of any Letter of Credit or extension, renewal or increase of the amount thereof and any amounts outstanding hereunder denominated in Alternative Currencies. Such Spot Rates shall become effective as of such Revaluation Date and shall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32" w:name="page233"/>
    <w:bookmarkEnd w:id="232"/>
    <w:p>
      <w:pPr>
        <w:jc w:val="both"/>
        <w:ind w:right="20"/>
        <w:spacing w:after="0" w:line="246" w:lineRule="auto"/>
        <w:rPr>
          <w:sz w:val="20"/>
          <w:szCs w:val="20"/>
          <w:color w:val="auto"/>
        </w:rPr>
      </w:pPr>
      <w:r>
        <w:rPr>
          <w:rFonts w:ascii="Arial" w:cs="Arial" w:eastAsia="Arial" w:hAnsi="Arial"/>
          <w:sz w:val="20"/>
          <w:szCs w:val="20"/>
          <w:color w:val="auto"/>
        </w:rPr>
        <w:t>be the Spot Rates employed in converting any amounts between the applicable currencies until the next Revaluation Date to occur. Except as set forth in this Agreement, the applicable amount of any currency (other than Dollars) for purposes of the Loan Documents shall be such Dollar Amount as so determined by the Administrative Agent or the Issuing Banks, as applicable and notified to the Borrower.</w:t>
      </w:r>
    </w:p>
    <w:p>
      <w:pPr>
        <w:spacing w:after="0" w:line="204" w:lineRule="exact"/>
        <w:rPr>
          <w:sz w:val="20"/>
          <w:szCs w:val="20"/>
          <w:color w:val="auto"/>
        </w:rPr>
      </w:pPr>
    </w:p>
    <w:p>
      <w:pPr>
        <w:jc w:val="both"/>
        <w:ind w:firstLine="1467"/>
        <w:spacing w:after="0" w:line="243" w:lineRule="auto"/>
        <w:tabs>
          <w:tab w:leader="none" w:pos="226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Wherever in this Agreement in connection with a Borrowing, conversion, continuation or prepayment of a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b w:val="1"/>
          <w:bCs w:val="1"/>
          <w:color w:val="FF0000"/>
        </w:rPr>
        <w:t xml:space="preserve"> </w:t>
      </w:r>
      <w:r>
        <w:rPr>
          <w:rFonts w:ascii="Arial" w:cs="Arial" w:eastAsia="Arial" w:hAnsi="Arial"/>
          <w:sz w:val="20"/>
          <w:szCs w:val="20"/>
          <w:color w:val="000000"/>
        </w:rPr>
        <w:t>Loan or the issuance, amendment or extension of a Letter of Credit, an amount, such as a required minimum or</w:t>
      </w:r>
      <w:r>
        <w:rPr>
          <w:rFonts w:ascii="Arial" w:cs="Arial" w:eastAsia="Arial" w:hAnsi="Arial"/>
          <w:sz w:val="20"/>
          <w:szCs w:val="20"/>
          <w:b w:val="1"/>
          <w:bCs w:val="1"/>
          <w:color w:val="FF0000"/>
        </w:rPr>
        <w:t xml:space="preserve"> </w:t>
      </w:r>
      <w:r>
        <w:rPr>
          <w:rFonts w:ascii="Arial" w:cs="Arial" w:eastAsia="Arial" w:hAnsi="Arial"/>
          <w:sz w:val="20"/>
          <w:szCs w:val="20"/>
          <w:color w:val="000000"/>
        </w:rPr>
        <w:t xml:space="preserve">multiple amount, is expressed in Dollars, but such Borrowing,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000000"/>
        </w:rPr>
        <w:t xml:space="preserv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 and notified to the Borrower.</w:t>
      </w:r>
    </w:p>
    <w:p>
      <w:pPr>
        <w:spacing w:after="0" w:line="207" w:lineRule="exact"/>
        <w:rPr>
          <w:rFonts w:ascii="Arial" w:cs="Arial" w:eastAsia="Arial" w:hAnsi="Arial"/>
          <w:sz w:val="20"/>
          <w:szCs w:val="20"/>
          <w:color w:val="auto"/>
        </w:rPr>
      </w:pPr>
    </w:p>
    <w:p>
      <w:pPr>
        <w:jc w:val="both"/>
        <w:ind w:right="60" w:firstLine="1490"/>
        <w:spacing w:after="0" w:line="269" w:lineRule="auto"/>
        <w:tabs>
          <w:tab w:leader="none" w:pos="228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For purposes of determining compliance as of any date with any covenant or incurrence test under any Loan Document or for purposes of making any determination under any Default or Event of Default hereunder or for any other specified purpose hereunder, amounts incurred or outstanding in currencies (other than Dollars) shall be translated into Dollars at the Exchange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Indebtedness or Liens are incurred to extend, replace, refund, refinance, renew or defease other Indebtedness or Liens denominated in currencies (other than Dollars),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shall be deemed not to have been exceeded so long as the principal amount of such refinancing Indebtedness does not exceed the principal amount of such Indebtedness being extended, replaced, refunded, refinanced, renewed or defeased, plus the amount of any premium paid, and fees and expenses incurred, in connection with such extension, replacement, refunding refinancing, renewal or defeasance (including any fees and original issue discount incurred in respect of such resulting Indebtedness). No Default or Event of Default shall arise as a result of any limitation or threshold set forth in Dollars in any covenant, representation or Default or Event of Default under any Loan Document being exceeded solely as a result of changes in currency exchange rates from the applicable Exchange Rate on the first Business Day of the fiscal quarter of the Borrower in which such determination occurs or in respect of which such determination is made.</w:t>
      </w:r>
    </w:p>
    <w:p>
      <w:pPr>
        <w:spacing w:after="0" w:line="191"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1.09</w:t>
      </w:r>
      <w:r>
        <w:rPr>
          <w:sz w:val="20"/>
          <w:szCs w:val="20"/>
          <w:color w:val="auto"/>
        </w:rPr>
        <w:tab/>
      </w:r>
      <w:r>
        <w:rPr>
          <w:rFonts w:ascii="Arial" w:cs="Arial" w:eastAsia="Arial" w:hAnsi="Arial"/>
          <w:sz w:val="16"/>
          <w:szCs w:val="16"/>
          <w:u w:val="single" w:color="auto"/>
          <w:color w:val="auto"/>
        </w:rPr>
        <w:t>Change in Currency</w:t>
      </w:r>
      <w:r>
        <w:rPr>
          <w:rFonts w:ascii="Arial" w:cs="Arial" w:eastAsia="Arial" w:hAnsi="Arial"/>
          <w:sz w:val="16"/>
          <w:szCs w:val="16"/>
          <w:color w:val="auto"/>
        </w:rPr>
        <w:t>.</w:t>
      </w:r>
    </w:p>
    <w:p>
      <w:pPr>
        <w:spacing w:after="0" w:line="228" w:lineRule="exact"/>
        <w:rPr>
          <w:sz w:val="20"/>
          <w:szCs w:val="20"/>
          <w:color w:val="auto"/>
        </w:rPr>
      </w:pPr>
    </w:p>
    <w:p>
      <w:pPr>
        <w:jc w:val="both"/>
        <w:ind w:firstLine="1467"/>
        <w:spacing w:after="0" w:line="272" w:lineRule="auto"/>
        <w:tabs>
          <w:tab w:leader="none" w:pos="226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Each obligation of the Borrower to make a payment denominated in the national currency unit of any member state of the European Union that adopts the Euro as its lawful currency after the date hereof shall be redenominated into Euros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Revolving Borrowing in the currency of such member state is outstanding immediately prior to such date, such replacement shall take effect, with respect to such Borrowing, at the end of the then current Interest Period.</w:t>
      </w:r>
    </w:p>
    <w:p>
      <w:pPr>
        <w:spacing w:after="0" w:line="186" w:lineRule="exact"/>
        <w:rPr>
          <w:rFonts w:ascii="Arial" w:cs="Arial" w:eastAsia="Arial" w:hAnsi="Arial"/>
          <w:sz w:val="18"/>
          <w:szCs w:val="18"/>
          <w:color w:val="auto"/>
        </w:rPr>
      </w:pPr>
    </w:p>
    <w:p>
      <w:pPr>
        <w:jc w:val="both"/>
        <w:ind w:right="60" w:firstLine="1490"/>
        <w:spacing w:after="0" w:line="249" w:lineRule="auto"/>
        <w:tabs>
          <w:tab w:leader="none" w:pos="2286" w:val="left"/>
        </w:tabs>
        <w:numPr>
          <w:ilvl w:val="1"/>
          <w:numId w:val="143"/>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specify to be necessary to reflect the adoption of the Euro by any member state of the European Union.</w:t>
      </w:r>
    </w:p>
    <w:p>
      <w:pPr>
        <w:spacing w:after="0" w:line="201" w:lineRule="exact"/>
        <w:rPr>
          <w:rFonts w:ascii="Arial" w:cs="Arial" w:eastAsia="Arial" w:hAnsi="Arial"/>
          <w:sz w:val="20"/>
          <w:szCs w:val="20"/>
          <w:color w:val="auto"/>
        </w:rPr>
      </w:pPr>
    </w:p>
    <w:p>
      <w:pPr>
        <w:ind w:right="60" w:firstLine="1490"/>
        <w:spacing w:after="0" w:line="286" w:lineRule="auto"/>
        <w:tabs>
          <w:tab w:leader="none" w:pos="2286" w:val="left"/>
        </w:tabs>
        <w:numPr>
          <w:ilvl w:val="1"/>
          <w:numId w:val="143"/>
        </w:numPr>
        <w:rPr>
          <w:rFonts w:ascii="Arial" w:cs="Arial" w:eastAsia="Arial" w:hAnsi="Arial"/>
          <w:sz w:val="19"/>
          <w:szCs w:val="19"/>
          <w:color w:val="auto"/>
        </w:rPr>
      </w:pPr>
      <w:r>
        <w:rPr>
          <w:rFonts w:ascii="Arial" w:cs="Arial" w:eastAsia="Arial" w:hAnsi="Arial"/>
          <w:sz w:val="19"/>
          <w:szCs w:val="19"/>
          <w:color w:val="auto"/>
        </w:rPr>
        <w:t>Each provision of this Agreement also shall be subject to such reasonable changes of construction as the Administrative Agent may from time to time specify to be necessary to reflect a change in currency of any other country.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33" w:name="page234"/>
    <w:bookmarkEnd w:id="233"/>
    <w:p>
      <w:pPr>
        <w:jc w:val="center"/>
        <w:ind w:left="760"/>
        <w:spacing w:after="0"/>
        <w:tabs>
          <w:tab w:leader="none" w:pos="340" w:val="left"/>
        </w:tabs>
        <w:rPr>
          <w:sz w:val="20"/>
          <w:szCs w:val="20"/>
          <w:color w:val="auto"/>
        </w:rPr>
      </w:pPr>
      <w:r>
        <w:rPr>
          <w:rFonts w:ascii="Arial" w:cs="Arial" w:eastAsia="Arial" w:hAnsi="Arial"/>
          <w:sz w:val="20"/>
          <w:szCs w:val="20"/>
          <w:color w:val="010000"/>
        </w:rPr>
        <w:t>SECTION 1.10</w:t>
      </w:r>
      <w:r>
        <w:rPr>
          <w:sz w:val="20"/>
          <w:szCs w:val="20"/>
          <w:color w:val="auto"/>
        </w:rPr>
        <w:tab/>
      </w:r>
      <w:r>
        <w:rPr>
          <w:rFonts w:ascii="Arial" w:cs="Arial" w:eastAsia="Arial" w:hAnsi="Arial"/>
          <w:sz w:val="18"/>
          <w:szCs w:val="18"/>
          <w:b w:val="1"/>
          <w:bCs w:val="1"/>
          <w:u w:val="single" w:color="auto"/>
          <w:color w:val="FF0000"/>
          <w:strike w:val="1"/>
        </w:rPr>
        <w:t xml:space="preserve">Adjusted LIBO </w:t>
      </w:r>
      <w:r>
        <w:rPr>
          <w:rFonts w:ascii="Arial" w:cs="Arial" w:eastAsia="Arial" w:hAnsi="Arial"/>
          <w:sz w:val="18"/>
          <w:szCs w:val="18"/>
          <w:color w:val="000000"/>
          <w:strike w:val="1"/>
        </w:rPr>
        <w:t>Rate</w:t>
      </w:r>
      <w:r>
        <w:rPr>
          <w:rFonts w:ascii="Arial" w:cs="Arial" w:eastAsia="Arial" w:hAnsi="Arial"/>
          <w:sz w:val="18"/>
          <w:szCs w:val="18"/>
          <w:b w:val="1"/>
          <w:bCs w:val="1"/>
          <w:u w:val="single" w:color="auto"/>
          <w:color w:val="0000FF"/>
          <w:strike w:val="1"/>
        </w:rPr>
        <w:t>s</w:t>
      </w:r>
      <w:r>
        <w:rPr>
          <w:rFonts w:ascii="Arial" w:cs="Arial" w:eastAsia="Arial" w:hAnsi="Arial"/>
          <w:sz w:val="18"/>
          <w:szCs w:val="18"/>
          <w:color w:val="000000"/>
          <w:strike w:val="1"/>
        </w:rPr>
        <w:t>.</w:t>
      </w:r>
    </w:p>
    <w:p>
      <w:pPr>
        <w:spacing w:after="0" w:line="230" w:lineRule="exact"/>
        <w:rPr>
          <w:sz w:val="20"/>
          <w:szCs w:val="20"/>
          <w:color w:val="auto"/>
        </w:rPr>
      </w:pPr>
    </w:p>
    <w:p>
      <w:pPr>
        <w:ind w:left="745"/>
        <w:spacing w:after="0"/>
        <w:rPr>
          <w:sz w:val="20"/>
          <w:szCs w:val="20"/>
          <w:color w:val="auto"/>
        </w:rPr>
      </w:pPr>
      <w:r>
        <w:rPr>
          <w:rFonts w:ascii="Arial" w:cs="Arial" w:eastAsia="Arial" w:hAnsi="Arial"/>
          <w:sz w:val="18"/>
          <w:szCs w:val="18"/>
          <w:b w:val="1"/>
          <w:bCs w:val="1"/>
          <w:u w:val="single" w:color="auto"/>
          <w:color w:val="0000FF"/>
        </w:rPr>
        <w:t>The Administrative Agent does not warrant or accept responsibility for, and shall not have any liability with respect to</w:t>
      </w:r>
    </w:p>
    <w:p>
      <w:pPr>
        <w:spacing w:after="0" w:line="44" w:lineRule="exact"/>
        <w:rPr>
          <w:sz w:val="20"/>
          <w:szCs w:val="20"/>
          <w:color w:val="auto"/>
        </w:rPr>
      </w:pPr>
    </w:p>
    <w:p>
      <w:pPr>
        <w:jc w:val="both"/>
        <w:ind w:left="5" w:hanging="5"/>
        <w:spacing w:after="0" w:line="267" w:lineRule="auto"/>
        <w:tabs>
          <w:tab w:leader="none" w:pos="298" w:val="left"/>
        </w:tabs>
        <w:numPr>
          <w:ilvl w:val="0"/>
          <w:numId w:val="144"/>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the continuation of, administration of, submission of, calculation of or any other matter related to the Alternate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4" w:lineRule="exact"/>
        <w:rPr>
          <w:rFonts w:ascii="Arial" w:cs="Arial" w:eastAsia="Arial" w:hAnsi="Arial"/>
          <w:sz w:val="18"/>
          <w:szCs w:val="18"/>
          <w:b w:val="1"/>
          <w:bCs w:val="1"/>
          <w:u w:val="single" w:color="auto"/>
          <w:color w:val="0000FF"/>
        </w:rPr>
      </w:pPr>
    </w:p>
    <w:p>
      <w:pPr>
        <w:jc w:val="both"/>
        <w:ind w:left="5" w:firstLine="1490"/>
        <w:spacing w:after="0" w:line="244" w:lineRule="auto"/>
        <w:tabs>
          <w:tab w:leader="none" w:pos="2291" w:val="left"/>
        </w:tabs>
        <w:numPr>
          <w:ilvl w:val="1"/>
          <w:numId w:val="144"/>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Notwithstanding anything to the contrary herein or in any other Loan Document, upon the occurrence of a Benchmark Transition Event or an Early Opt-in Election, as applicable, the Administrative Agent and the Borrower may amend this Agreement to replace the Benchmark with a Benchmark Replacement. Any such amendment with respect to a Benchmark</w:t>
      </w:r>
    </w:p>
    <w:p>
      <w:pPr>
        <w:spacing w:after="0" w:line="3" w:lineRule="exact"/>
        <w:rPr>
          <w:rFonts w:ascii="Arial" w:cs="Arial" w:eastAsia="Arial" w:hAnsi="Arial"/>
          <w:sz w:val="20"/>
          <w:szCs w:val="20"/>
          <w:b w:val="1"/>
          <w:bCs w:val="1"/>
          <w:color w:val="FF0000"/>
          <w:strike w:val="1"/>
        </w:rPr>
      </w:pPr>
    </w:p>
    <w:p>
      <w:pPr>
        <w:jc w:val="both"/>
        <w:ind w:left="5" w:firstLine="1498"/>
        <w:spacing w:after="0" w:line="269" w:lineRule="auto"/>
        <w:rPr>
          <w:rFonts w:ascii="Arial" w:cs="Arial" w:eastAsia="Arial" w:hAnsi="Arial"/>
          <w:sz w:val="20"/>
          <w:szCs w:val="20"/>
          <w:b w:val="1"/>
          <w:bCs w:val="1"/>
          <w:color w:val="FF0000"/>
          <w:strike w:val="1"/>
        </w:rPr>
      </w:pPr>
      <w:r>
        <w:rPr>
          <w:rFonts w:ascii="Arial" w:cs="Arial" w:eastAsia="Arial" w:hAnsi="Arial"/>
          <w:sz w:val="18"/>
          <w:szCs w:val="18"/>
          <w:b w:val="1"/>
          <w:bCs w:val="1"/>
          <w:color w:val="FF0000"/>
          <w:strike w:val="1"/>
        </w:rPr>
        <w:t xml:space="preserve">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w:t>
      </w:r>
      <w:r>
        <w:rPr>
          <w:rFonts w:ascii="Arial" w:cs="Arial" w:eastAsia="Arial" w:hAnsi="Arial"/>
          <w:sz w:val="18"/>
          <w:szCs w:val="18"/>
          <w:b w:val="1"/>
          <w:bCs w:val="1"/>
          <w:i w:val="1"/>
          <w:iCs w:val="1"/>
          <w:color w:val="FF0000"/>
          <w:strike w:val="1"/>
        </w:rPr>
        <w:t>provided</w:t>
      </w:r>
      <w:r>
        <w:rPr>
          <w:rFonts w:ascii="Arial" w:cs="Arial" w:eastAsia="Arial" w:hAnsi="Arial"/>
          <w:sz w:val="18"/>
          <w:szCs w:val="18"/>
          <w:b w:val="1"/>
          <w:bCs w:val="1"/>
          <w:color w:val="FF0000"/>
          <w:strike w:val="1"/>
        </w:rPr>
        <w:t xml:space="preserve"> that, to the extent the Benchmark is replaced with a SOFR-Based Rate, Lenders shall only be entitled to object to the Benchmark Replacement Adjustments with respect thereto. Any such amendment with respect to an Early Opt-in Election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No replacement of the Benchmark with a Benchmark Replacement pursuant to this Section 1.10 will occur prior to the applicable Benchmark Transition Start Date.</w:t>
      </w:r>
    </w:p>
    <w:p>
      <w:pPr>
        <w:spacing w:after="0" w:line="182" w:lineRule="exact"/>
        <w:rPr>
          <w:rFonts w:ascii="Arial" w:cs="Arial" w:eastAsia="Arial" w:hAnsi="Arial"/>
          <w:sz w:val="20"/>
          <w:szCs w:val="20"/>
          <w:b w:val="1"/>
          <w:bCs w:val="1"/>
          <w:color w:val="FF0000"/>
          <w:strike w:val="1"/>
        </w:rPr>
      </w:pPr>
    </w:p>
    <w:p>
      <w:pPr>
        <w:jc w:val="both"/>
        <w:ind w:left="5" w:firstLine="1490"/>
        <w:spacing w:after="0" w:line="284" w:lineRule="auto"/>
        <w:tabs>
          <w:tab w:leader="none" w:pos="2291" w:val="left"/>
        </w:tabs>
        <w:numPr>
          <w:ilvl w:val="1"/>
          <w:numId w:val="144"/>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66" w:lineRule="exact"/>
        <w:rPr>
          <w:rFonts w:ascii="Arial" w:cs="Arial" w:eastAsia="Arial" w:hAnsi="Arial"/>
          <w:sz w:val="18"/>
          <w:szCs w:val="18"/>
          <w:b w:val="1"/>
          <w:bCs w:val="1"/>
          <w:color w:val="FF0000"/>
          <w:strike w:val="1"/>
        </w:rPr>
      </w:pPr>
    </w:p>
    <w:p>
      <w:pPr>
        <w:ind w:left="2285" w:hanging="790"/>
        <w:spacing w:after="0"/>
        <w:tabs>
          <w:tab w:leader="none" w:pos="2285" w:val="left"/>
        </w:tabs>
        <w:numPr>
          <w:ilvl w:val="1"/>
          <w:numId w:val="144"/>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The Administrative Agent will promptly notify the Borrower and the Lenders of</w:t>
      </w:r>
    </w:p>
    <w:p>
      <w:pPr>
        <w:spacing w:after="0" w:line="21" w:lineRule="exact"/>
        <w:rPr>
          <w:rFonts w:ascii="Arial" w:cs="Arial" w:eastAsia="Arial" w:hAnsi="Arial"/>
          <w:sz w:val="20"/>
          <w:szCs w:val="20"/>
          <w:b w:val="1"/>
          <w:bCs w:val="1"/>
          <w:color w:val="FF0000"/>
          <w:strike w:val="1"/>
        </w:rPr>
      </w:pPr>
    </w:p>
    <w:p>
      <w:pPr>
        <w:ind w:left="5" w:firstLine="1490"/>
        <w:spacing w:after="0" w:line="243" w:lineRule="auto"/>
        <w:tabs>
          <w:tab w:leader="none" w:pos="1745" w:val="left"/>
        </w:tabs>
        <w:numPr>
          <w:ilvl w:val="1"/>
          <w:numId w:val="145"/>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any occurrence of a Benchmark Transition Event or an Early Opt-in Election, as applicable, and its related Benchmark Replacement Date and Benchmark Transition Start Date, (ii)</w:t>
      </w:r>
    </w:p>
    <w:p>
      <w:pPr>
        <w:spacing w:after="0" w:line="193" w:lineRule="exact"/>
        <w:rPr>
          <w:sz w:val="20"/>
          <w:szCs w:val="20"/>
          <w:color w:val="auto"/>
        </w:rPr>
      </w:pPr>
    </w:p>
    <w:p>
      <w:pPr>
        <w:jc w:val="center"/>
        <w:ind w:right="-24"/>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66040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5"/>
          </w:cols>
          <w:pgMar w:left="495" w:top="116" w:right="539" w:bottom="1440" w:gutter="0" w:footer="0" w:header="0"/>
        </w:sectPr>
      </w:pPr>
    </w:p>
    <w:bookmarkStart w:id="234" w:name="page235"/>
    <w:bookmarkEnd w:id="234"/>
    <w:p>
      <w:pPr>
        <w:jc w:val="both"/>
        <w:ind w:left="5" w:right="40"/>
        <w:spacing w:after="0" w:line="243" w:lineRule="auto"/>
        <w:rPr>
          <w:sz w:val="20"/>
          <w:szCs w:val="20"/>
          <w:color w:val="auto"/>
        </w:rPr>
      </w:pPr>
      <w:r>
        <w:rPr>
          <w:rFonts w:ascii="Arial" w:cs="Arial" w:eastAsia="Arial" w:hAnsi="Arial"/>
          <w:sz w:val="20"/>
          <w:szCs w:val="20"/>
          <w:b w:val="1"/>
          <w:bCs w:val="1"/>
          <w:color w:val="FF0000"/>
          <w:strike w:val="1"/>
        </w:rPr>
        <w:t>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1.10,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1.10.</w:t>
      </w:r>
    </w:p>
    <w:p>
      <w:pPr>
        <w:spacing w:after="0" w:line="203" w:lineRule="exact"/>
        <w:rPr>
          <w:sz w:val="20"/>
          <w:szCs w:val="20"/>
          <w:color w:val="auto"/>
        </w:rPr>
      </w:pPr>
    </w:p>
    <w:p>
      <w:pPr>
        <w:jc w:val="both"/>
        <w:ind w:left="5" w:right="40" w:firstLine="1490"/>
        <w:spacing w:after="0" w:line="260" w:lineRule="auto"/>
        <w:tabs>
          <w:tab w:leader="none" w:pos="2291" w:val="left"/>
        </w:tabs>
        <w:numPr>
          <w:ilvl w:val="0"/>
          <w:numId w:val="146"/>
        </w:numPr>
        <w:rPr>
          <w:rFonts w:ascii="Arial" w:cs="Arial" w:eastAsia="Arial" w:hAnsi="Arial"/>
          <w:sz w:val="19"/>
          <w:szCs w:val="19"/>
          <w:b w:val="1"/>
          <w:bCs w:val="1"/>
          <w:color w:val="FF0000"/>
          <w:strike w:val="1"/>
        </w:rPr>
      </w:pPr>
      <w:r>
        <w:rPr>
          <w:rFonts w:ascii="Arial" w:cs="Arial" w:eastAsia="Arial" w:hAnsi="Arial"/>
          <w:sz w:val="19"/>
          <w:szCs w:val="19"/>
          <w:b w:val="1"/>
          <w:bCs w:val="1"/>
          <w:color w:val="FF0000"/>
          <w:strike w:val="1"/>
        </w:rPr>
        <w:t>Upon the Borrower’s receipt of notice of the commencement of a Benchmark Unavailability Period, the Borrower may revoke any request for a Eurocurrency Rate Borrowing of, conversion to or continuation of Eurocurrency Rate Loans to be made, converted or continued during any Benchmark Unavailability Period and, failing that, the Borrower will be deemed to have converted any such request into a request for a Borrowing of or conversion to Base Rate Loans. During any Benchmark Unavailability Period, the component of Base Rate based upon Adjusted Eurocurrency Rate will not be used in any determination of Base Rate.</w:t>
      </w:r>
    </w:p>
    <w:p>
      <w:pPr>
        <w:spacing w:after="0" w:line="285" w:lineRule="exact"/>
        <w:rPr>
          <w:sz w:val="20"/>
          <w:szCs w:val="20"/>
          <w:color w:val="auto"/>
        </w:rPr>
      </w:pPr>
    </w:p>
    <w:p>
      <w:pPr>
        <w:jc w:val="center"/>
        <w:ind w:right="275"/>
        <w:spacing w:after="0"/>
        <w:tabs>
          <w:tab w:leader="none" w:pos="340" w:val="left"/>
        </w:tabs>
        <w:rPr>
          <w:sz w:val="20"/>
          <w:szCs w:val="20"/>
          <w:color w:val="auto"/>
        </w:rPr>
      </w:pPr>
      <w:r>
        <w:rPr>
          <w:rFonts w:ascii="Arial" w:cs="Arial" w:eastAsia="Arial" w:hAnsi="Arial"/>
          <w:sz w:val="20"/>
          <w:szCs w:val="20"/>
          <w:color w:val="010000"/>
        </w:rPr>
        <w:t>SECTION 1.11</w:t>
      </w:r>
      <w:r>
        <w:rPr>
          <w:sz w:val="20"/>
          <w:szCs w:val="20"/>
          <w:color w:val="auto"/>
        </w:rPr>
        <w:tab/>
      </w:r>
      <w:r>
        <w:rPr>
          <w:rFonts w:ascii="Arial" w:cs="Arial" w:eastAsia="Arial" w:hAnsi="Arial"/>
          <w:sz w:val="18"/>
          <w:szCs w:val="18"/>
          <w:u w:val="single" w:color="auto"/>
          <w:color w:val="auto"/>
        </w:rPr>
        <w:t>Divisions</w:t>
      </w:r>
      <w:r>
        <w:rPr>
          <w:rFonts w:ascii="Arial" w:cs="Arial" w:eastAsia="Arial" w:hAnsi="Arial"/>
          <w:sz w:val="18"/>
          <w:szCs w:val="18"/>
          <w:color w:val="auto"/>
        </w:rPr>
        <w:t>.</w:t>
      </w:r>
    </w:p>
    <w:p>
      <w:pPr>
        <w:spacing w:after="0" w:line="228" w:lineRule="exact"/>
        <w:rPr>
          <w:sz w:val="20"/>
          <w:szCs w:val="20"/>
          <w:color w:val="auto"/>
        </w:rPr>
      </w:pPr>
    </w:p>
    <w:p>
      <w:pPr>
        <w:jc w:val="both"/>
        <w:ind w:left="5" w:right="60" w:firstLine="1499"/>
        <w:spacing w:after="0" w:line="260" w:lineRule="auto"/>
        <w:rPr>
          <w:sz w:val="20"/>
          <w:szCs w:val="20"/>
          <w:color w:val="auto"/>
        </w:rPr>
      </w:pPr>
      <w:r>
        <w:rPr>
          <w:rFonts w:ascii="Arial" w:cs="Arial" w:eastAsia="Arial" w:hAnsi="Arial"/>
          <w:sz w:val="19"/>
          <w:szCs w:val="19"/>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2" w:lineRule="exact"/>
        <w:rPr>
          <w:sz w:val="20"/>
          <w:szCs w:val="20"/>
          <w:color w:val="auto"/>
        </w:rPr>
      </w:pPr>
    </w:p>
    <w:p>
      <w:pPr>
        <w:jc w:val="center"/>
        <w:ind w:right="-44"/>
        <w:spacing w:after="0"/>
        <w:rPr>
          <w:sz w:val="20"/>
          <w:szCs w:val="20"/>
          <w:color w:val="auto"/>
        </w:rPr>
      </w:pPr>
      <w:r>
        <w:rPr>
          <w:rFonts w:ascii="Arial" w:cs="Arial" w:eastAsia="Arial" w:hAnsi="Arial"/>
          <w:sz w:val="22"/>
          <w:szCs w:val="22"/>
          <w:color w:val="auto"/>
        </w:rPr>
        <w:t>ARTICLE II</w:t>
      </w:r>
    </w:p>
    <w:p>
      <w:pPr>
        <w:spacing w:after="0" w:line="224" w:lineRule="exact"/>
        <w:rPr>
          <w:sz w:val="20"/>
          <w:szCs w:val="20"/>
          <w:color w:val="auto"/>
        </w:rPr>
      </w:pPr>
    </w:p>
    <w:p>
      <w:pPr>
        <w:jc w:val="center"/>
        <w:ind w:right="-4"/>
        <w:spacing w:after="0"/>
        <w:rPr>
          <w:sz w:val="20"/>
          <w:szCs w:val="20"/>
          <w:color w:val="auto"/>
        </w:rPr>
      </w:pPr>
      <w:r>
        <w:rPr>
          <w:rFonts w:ascii="Arial" w:cs="Arial" w:eastAsia="Arial" w:hAnsi="Arial"/>
          <w:sz w:val="20"/>
          <w:szCs w:val="20"/>
          <w:u w:val="single" w:color="auto"/>
          <w:color w:val="auto"/>
        </w:rPr>
        <w:t>THE CREDITS</w:t>
      </w:r>
    </w:p>
    <w:p>
      <w:pPr>
        <w:spacing w:after="0" w:line="215" w:lineRule="exact"/>
        <w:rPr>
          <w:sz w:val="20"/>
          <w:szCs w:val="20"/>
          <w:color w:val="auto"/>
        </w:rPr>
      </w:pPr>
    </w:p>
    <w:p>
      <w:pPr>
        <w:jc w:val="center"/>
        <w:ind w:right="-84"/>
        <w:spacing w:after="0"/>
        <w:tabs>
          <w:tab w:leader="none" w:pos="340" w:val="left"/>
        </w:tabs>
        <w:rPr>
          <w:sz w:val="20"/>
          <w:szCs w:val="20"/>
          <w:color w:val="auto"/>
        </w:rPr>
      </w:pPr>
      <w:r>
        <w:rPr>
          <w:rFonts w:ascii="Arial" w:cs="Arial" w:eastAsia="Arial" w:hAnsi="Arial"/>
          <w:sz w:val="20"/>
          <w:szCs w:val="20"/>
          <w:color w:val="010000"/>
        </w:rPr>
        <w:t>SECTION 2.01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242" w:lineRule="exact"/>
        <w:rPr>
          <w:sz w:val="20"/>
          <w:szCs w:val="20"/>
          <w:color w:val="auto"/>
        </w:rPr>
      </w:pPr>
    </w:p>
    <w:p>
      <w:pPr>
        <w:jc w:val="both"/>
        <w:ind w:left="5" w:right="60" w:firstLine="1499"/>
        <w:spacing w:after="0" w:line="275" w:lineRule="auto"/>
        <w:rPr>
          <w:sz w:val="20"/>
          <w:szCs w:val="20"/>
          <w:color w:val="auto"/>
        </w:rPr>
      </w:pPr>
      <w:r>
        <w:rPr>
          <w:rFonts w:ascii="Arial" w:cs="Arial" w:eastAsia="Arial" w:hAnsi="Arial"/>
          <w:sz w:val="18"/>
          <w:szCs w:val="18"/>
          <w:color w:val="auto"/>
        </w:rPr>
        <w:t>Subject to the terms and conditions set forth herein, (a) each Term Lender agrees to make Term Loans to the Borrower on the Effective Date denominated in Dollars in a principal amount not exceeding such Term Lender’s Term Commitment and</w:t>
      </w:r>
    </w:p>
    <w:p>
      <w:pPr>
        <w:jc w:val="both"/>
        <w:ind w:left="5" w:right="40" w:hanging="5"/>
        <w:spacing w:after="0" w:line="256" w:lineRule="auto"/>
        <w:tabs>
          <w:tab w:leader="none" w:pos="31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 Amounts repaid or prepaid in respect of Term Loans may not be reborrowed.</w:t>
      </w:r>
    </w:p>
    <w:p>
      <w:pPr>
        <w:spacing w:after="0" w:line="194" w:lineRule="exact"/>
        <w:rPr>
          <w:sz w:val="20"/>
          <w:szCs w:val="20"/>
          <w:color w:val="auto"/>
        </w:rPr>
      </w:pPr>
    </w:p>
    <w:p>
      <w:pPr>
        <w:ind w:left="4125"/>
        <w:spacing w:after="0"/>
        <w:tabs>
          <w:tab w:leader="none" w:pos="5684" w:val="left"/>
        </w:tabs>
        <w:rPr>
          <w:sz w:val="20"/>
          <w:szCs w:val="20"/>
          <w:color w:val="auto"/>
        </w:rPr>
      </w:pPr>
      <w:r>
        <w:rPr>
          <w:rFonts w:ascii="Arial" w:cs="Arial" w:eastAsia="Arial" w:hAnsi="Arial"/>
          <w:sz w:val="20"/>
          <w:szCs w:val="20"/>
          <w:color w:val="010000"/>
        </w:rPr>
        <w:t>SECTION 2.02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242" w:lineRule="exact"/>
        <w:rPr>
          <w:sz w:val="20"/>
          <w:szCs w:val="20"/>
          <w:color w:val="auto"/>
        </w:rPr>
      </w:pPr>
    </w:p>
    <w:p>
      <w:pPr>
        <w:jc w:val="both"/>
        <w:ind w:left="5" w:firstLine="1467"/>
        <w:spacing w:after="0" w:line="258" w:lineRule="auto"/>
        <w:tabs>
          <w:tab w:leader="none" w:pos="221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Each (i) Loan shall be made as part of a Borrowing consisting of Loans of the same Class and Type made by the Lenders ratably in accordance with their respective Commitments of the applicable Class and (ii) Revolving Loans shall be made by the Revolving Lenders ratably in accordance with their respective Revolving Commitments. The failure of any Lender to make any Loan required to be made by it shall not relieve any other Lender of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82"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66040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5"/>
          </w:cols>
          <w:pgMar w:left="495" w:top="118" w:right="499" w:bottom="1440" w:gutter="0" w:footer="0" w:header="0"/>
        </w:sectPr>
      </w:pPr>
    </w:p>
    <w:bookmarkStart w:id="235" w:name="page236"/>
    <w:bookmarkEnd w:id="235"/>
    <w:p>
      <w:pPr>
        <w:jc w:val="both"/>
        <w:ind w:right="60" w:firstLine="1490"/>
        <w:spacing w:after="0" w:line="272" w:lineRule="auto"/>
        <w:tabs>
          <w:tab w:leader="none" w:pos="223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Subject to Section 2.14, each Revolving Borrowing and Term Borrowing shall be comprised entirely of ABR Loans or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as the Borrower may request in accordance 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Borrowings made on the Effective Date must be made as ABR Borrowings unless the Borrower shall have given the notice required for a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Borrowing under Section 2.03 and provided an indemnity letter extending the benefits of Section 2.16 to Lenders in respect of such Borrowings. Revolving Loans denominated in (i) Dollars or Canadian Dollars may be ABR Loans or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and (ii) any Alternative Currency (other than Canadian Dollars) shall be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Each Lender at its option may make any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93" w:lineRule="exact"/>
        <w:rPr>
          <w:rFonts w:ascii="Arial" w:cs="Arial" w:eastAsia="Arial" w:hAnsi="Arial"/>
          <w:sz w:val="18"/>
          <w:szCs w:val="18"/>
          <w:color w:val="auto"/>
        </w:rPr>
      </w:pPr>
    </w:p>
    <w:p>
      <w:pPr>
        <w:jc w:val="both"/>
        <w:ind w:firstLine="1467"/>
        <w:spacing w:after="0" w:line="256" w:lineRule="auto"/>
        <w:tabs>
          <w:tab w:leader="none" w:pos="221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w:t>
      </w:r>
      <w:r>
        <w:rPr>
          <w:rFonts w:ascii="Arial" w:cs="Arial" w:eastAsia="Arial" w:hAnsi="Arial"/>
          <w:sz w:val="19"/>
          <w:szCs w:val="19"/>
          <w:b w:val="1"/>
          <w:bCs w:val="1"/>
          <w:color w:val="FF0000"/>
          <w:strike w:val="1"/>
        </w:rPr>
        <w:t>Eurodollar</w:t>
      </w:r>
      <w:r>
        <w:rPr>
          <w:rFonts w:ascii="Arial" w:cs="Arial" w:eastAsia="Arial" w:hAnsi="Arial"/>
          <w:sz w:val="19"/>
          <w:szCs w:val="19"/>
          <w:b w:val="1"/>
          <w:bCs w:val="1"/>
          <w:u w:val="single" w:color="auto"/>
          <w:color w:val="0000FF"/>
        </w:rPr>
        <w:t>SOFR</w:t>
      </w:r>
      <w:r>
        <w:rPr>
          <w:rFonts w:ascii="Arial" w:cs="Arial" w:eastAsia="Arial" w:hAnsi="Arial"/>
          <w:sz w:val="19"/>
          <w:szCs w:val="19"/>
          <w:color w:val="auto"/>
        </w:rPr>
        <w:t xml:space="preserve"> Borrowing, such Borrowing shall be in an aggregate amount that is an integral multiple of the Borrowing Multiple and not less than the Borrowing Minimum;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w:t>
      </w:r>
      <w:r>
        <w:rPr>
          <w:rFonts w:ascii="Arial" w:cs="Arial" w:eastAsia="Arial" w:hAnsi="Arial"/>
          <w:sz w:val="19"/>
          <w:szCs w:val="19"/>
          <w:b w:val="1"/>
          <w:bCs w:val="1"/>
          <w:color w:val="FF0000"/>
          <w:strike w:val="1"/>
        </w:rPr>
        <w:t>Eurodollar</w:t>
      </w:r>
      <w:r>
        <w:rPr>
          <w:rFonts w:ascii="Arial" w:cs="Arial" w:eastAsia="Arial" w:hAnsi="Arial"/>
          <w:sz w:val="19"/>
          <w:szCs w:val="19"/>
          <w:b w:val="1"/>
          <w:bCs w:val="1"/>
          <w:u w:val="single" w:color="auto"/>
          <w:color w:val="0000FF"/>
        </w:rPr>
        <w:t>SOFR</w:t>
      </w:r>
      <w:r>
        <w:rPr>
          <w:rFonts w:ascii="Arial" w:cs="Arial" w:eastAsia="Arial" w:hAnsi="Arial"/>
          <w:sz w:val="19"/>
          <w:szCs w:val="19"/>
          <w:b w:val="1"/>
          <w:bCs w:val="1"/>
          <w:color w:val="FF0000"/>
        </w:rPr>
        <w:t xml:space="preserve"> </w:t>
      </w:r>
      <w:r>
        <w:rPr>
          <w:rFonts w:ascii="Arial" w:cs="Arial" w:eastAsia="Arial" w:hAnsi="Arial"/>
          <w:sz w:val="19"/>
          <w:szCs w:val="19"/>
          <w:color w:val="000000"/>
        </w:rPr>
        <w:t>Borrowing that results from a continuation of an outstanding</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Eurodollar</w:t>
      </w:r>
      <w:r>
        <w:rPr>
          <w:rFonts w:ascii="Arial" w:cs="Arial" w:eastAsia="Arial" w:hAnsi="Arial"/>
          <w:sz w:val="19"/>
          <w:szCs w:val="19"/>
          <w:b w:val="1"/>
          <w:bCs w:val="1"/>
          <w:u w:val="single" w:color="auto"/>
          <w:color w:val="0000FF"/>
        </w:rPr>
        <w:t>SOFR</w:t>
      </w:r>
      <w:r>
        <w:rPr>
          <w:rFonts w:ascii="Arial" w:cs="Arial" w:eastAsia="Arial" w:hAnsi="Arial"/>
          <w:sz w:val="19"/>
          <w:szCs w:val="19"/>
          <w:b w:val="1"/>
          <w:bCs w:val="1"/>
          <w:color w:val="FF0000"/>
        </w:rPr>
        <w:t xml:space="preserve"> </w:t>
      </w:r>
      <w:r>
        <w:rPr>
          <w:rFonts w:ascii="Arial" w:cs="Arial" w:eastAsia="Arial" w:hAnsi="Arial"/>
          <w:sz w:val="19"/>
          <w:szCs w:val="19"/>
          <w:color w:val="000000"/>
        </w:rPr>
        <w:t>Borrowing may be in an aggregate</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amount that is equal to such outstanding Borrowing. At the time that each ABR Borrowing is made, such Borrowing shall be in an aggregate amount that is an integral multiple of the Borrowing Multiple and not less than the Borrowing Minimum. Borrowings of more than one Type and Class may be outstanding at the same time;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there shall not at any time be more than a total of eight </w:t>
      </w:r>
      <w:r>
        <w:rPr>
          <w:rFonts w:ascii="Arial" w:cs="Arial" w:eastAsia="Arial" w:hAnsi="Arial"/>
          <w:sz w:val="19"/>
          <w:szCs w:val="19"/>
          <w:b w:val="1"/>
          <w:bCs w:val="1"/>
          <w:color w:val="FF0000"/>
          <w:strike w:val="1"/>
        </w:rPr>
        <w:t>Eurodollar</w:t>
      </w:r>
      <w:r>
        <w:rPr>
          <w:rFonts w:ascii="Arial" w:cs="Arial" w:eastAsia="Arial" w:hAnsi="Arial"/>
          <w:sz w:val="19"/>
          <w:szCs w:val="19"/>
          <w:b w:val="1"/>
          <w:bCs w:val="1"/>
          <w:u w:val="single" w:color="auto"/>
          <w:color w:val="0000FF"/>
        </w:rPr>
        <w:t>SOFR</w:t>
      </w:r>
      <w:r>
        <w:rPr>
          <w:rFonts w:ascii="Arial" w:cs="Arial" w:eastAsia="Arial" w:hAnsi="Arial"/>
          <w:sz w:val="19"/>
          <w:szCs w:val="19"/>
          <w:b w:val="1"/>
          <w:bCs w:val="1"/>
          <w:color w:val="FF0000"/>
        </w:rPr>
        <w:t xml:space="preserve"> </w:t>
      </w:r>
      <w:r>
        <w:rPr>
          <w:rFonts w:ascii="Arial" w:cs="Arial" w:eastAsia="Arial" w:hAnsi="Arial"/>
          <w:sz w:val="19"/>
          <w:szCs w:val="19"/>
          <w:color w:val="000000"/>
        </w:rPr>
        <w:t>Borrowings outstanding</w:t>
      </w:r>
      <w:r>
        <w:rPr>
          <w:rFonts w:ascii="Arial" w:cs="Arial" w:eastAsia="Arial" w:hAnsi="Arial"/>
          <w:sz w:val="19"/>
          <w:szCs w:val="19"/>
          <w:b w:val="1"/>
          <w:bCs w:val="1"/>
          <w:color w:val="FF0000"/>
        </w:rPr>
        <w:t xml:space="preserve"> </w:t>
      </w:r>
      <w:r>
        <w:rPr>
          <w:rFonts w:ascii="Arial" w:cs="Arial" w:eastAsia="Arial" w:hAnsi="Arial"/>
          <w:sz w:val="19"/>
          <w:szCs w:val="19"/>
          <w:i w:val="1"/>
          <w:iCs w:val="1"/>
          <w:color w:val="000000"/>
        </w:rPr>
        <w:t>plus</w:t>
      </w:r>
      <w:r>
        <w:rPr>
          <w:rFonts w:ascii="Arial" w:cs="Arial" w:eastAsia="Arial" w:hAnsi="Arial"/>
          <w:sz w:val="19"/>
          <w:szCs w:val="19"/>
          <w:b w:val="1"/>
          <w:bCs w:val="1"/>
          <w:color w:val="FF0000"/>
        </w:rPr>
        <w:t xml:space="preserve"> </w:t>
      </w:r>
      <w:r>
        <w:rPr>
          <w:rFonts w:ascii="Arial" w:cs="Arial" w:eastAsia="Arial" w:hAnsi="Arial"/>
          <w:sz w:val="19"/>
          <w:szCs w:val="19"/>
          <w:color w:val="000000"/>
        </w:rPr>
        <w:t>an additional two</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Eurodollar</w:t>
      </w:r>
      <w:r>
        <w:rPr>
          <w:rFonts w:ascii="Arial" w:cs="Arial" w:eastAsia="Arial" w:hAnsi="Arial"/>
          <w:sz w:val="19"/>
          <w:szCs w:val="19"/>
          <w:b w:val="1"/>
          <w:bCs w:val="1"/>
          <w:u w:val="single" w:color="auto"/>
          <w:color w:val="0000FF"/>
        </w:rPr>
        <w:t>SOFR</w:t>
      </w:r>
      <w:r>
        <w:rPr>
          <w:rFonts w:ascii="Arial" w:cs="Arial" w:eastAsia="Arial" w:hAnsi="Arial"/>
          <w:sz w:val="19"/>
          <w:szCs w:val="19"/>
          <w:b w:val="1"/>
          <w:bCs w:val="1"/>
          <w:color w:val="FF0000"/>
        </w:rPr>
        <w:t xml:space="preserve"> </w:t>
      </w:r>
      <w:r>
        <w:rPr>
          <w:rFonts w:ascii="Arial" w:cs="Arial" w:eastAsia="Arial" w:hAnsi="Arial"/>
          <w:sz w:val="19"/>
          <w:szCs w:val="19"/>
          <w:color w:val="000000"/>
        </w:rPr>
        <w:t>Borrowings for each outstanding Incremental</w:t>
      </w:r>
      <w:r>
        <w:rPr>
          <w:rFonts w:ascii="Arial" w:cs="Arial" w:eastAsia="Arial" w:hAnsi="Arial"/>
          <w:sz w:val="19"/>
          <w:szCs w:val="19"/>
          <w:b w:val="1"/>
          <w:bCs w:val="1"/>
          <w:color w:val="FF0000"/>
        </w:rPr>
        <w:t xml:space="preserve"> </w:t>
      </w:r>
      <w:r>
        <w:rPr>
          <w:rFonts w:ascii="Arial" w:cs="Arial" w:eastAsia="Arial" w:hAnsi="Arial"/>
          <w:sz w:val="19"/>
          <w:szCs w:val="19"/>
          <w:color w:val="000000"/>
        </w:rPr>
        <w:t>Facility. Notwithstanding anything to the contrary herein, an ABR Revolving Borrowing of the applicable Class may be in an aggregate amount equal to the entire unused balance of the aggregate</w:t>
      </w:r>
    </w:p>
    <w:p>
      <w:pPr>
        <w:spacing w:after="0" w:line="2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Revolving Commitments of such Class or that is required to finance the reimbursement of an LC Disbursement as contemplated by Section 2.05(f).</w:t>
      </w:r>
    </w:p>
    <w:p>
      <w:pPr>
        <w:spacing w:after="0" w:line="203"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2.03</w:t>
      </w:r>
      <w:r>
        <w:rPr>
          <w:sz w:val="20"/>
          <w:szCs w:val="20"/>
          <w:color w:val="auto"/>
        </w:rPr>
        <w:tab/>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w:t>
      </w:r>
    </w:p>
    <w:p>
      <w:pPr>
        <w:spacing w:after="0" w:line="228" w:lineRule="exact"/>
        <w:rPr>
          <w:sz w:val="20"/>
          <w:szCs w:val="20"/>
          <w:color w:val="auto"/>
        </w:rPr>
      </w:pPr>
    </w:p>
    <w:p>
      <w:pPr>
        <w:jc w:val="both"/>
        <w:ind w:firstLine="1499"/>
        <w:spacing w:after="0" w:line="274" w:lineRule="auto"/>
        <w:rPr>
          <w:sz w:val="20"/>
          <w:szCs w:val="20"/>
          <w:color w:val="auto"/>
        </w:rPr>
      </w:pPr>
      <w:r>
        <w:rPr>
          <w:rFonts w:ascii="Arial" w:cs="Arial" w:eastAsia="Arial" w:hAnsi="Arial"/>
          <w:sz w:val="18"/>
          <w:szCs w:val="18"/>
          <w:color w:val="auto"/>
        </w:rPr>
        <w:t xml:space="preserve">To request a Revolving Borrowing or Term Borrowing, the Borrower shall notify the Administrative Agent of such request by telephone (a) in the case of a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Borrowing, not later than 2:00 p.m., New York City time, three (3) Business Days (or, in the case of any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Borrowing to be made on the Effective Date, one (1) Business Day) before the date of the proposed Borrowing or (b) in the case of an ABR Borrowing, not later than 1:00 p.m., New York City time, on the date of the proposed Borrowing. Each such telephonic Borrowing Request shall be irrevocable and shall be confirmed promptly by hand delivery or facsimile to the Administrative Agent of a written Borrowing Request signed by the Borrower substantially in the form of Exhibit C-1. Each such telephonic and written Borrowing Request shall specify the following information:</w:t>
      </w:r>
    </w:p>
    <w:p>
      <w:pPr>
        <w:spacing w:after="0" w:line="180" w:lineRule="exact"/>
        <w:rPr>
          <w:sz w:val="20"/>
          <w:szCs w:val="20"/>
          <w:color w:val="auto"/>
        </w:rPr>
      </w:pPr>
    </w:p>
    <w:p>
      <w:pPr>
        <w:ind w:left="740" w:right="480" w:firstLine="1499"/>
        <w:spacing w:after="0" w:line="260" w:lineRule="auto"/>
        <w:tabs>
          <w:tab w:leader="none" w:pos="3338" w:val="left"/>
        </w:tabs>
        <w:numPr>
          <w:ilvl w:val="0"/>
          <w:numId w:val="151"/>
        </w:numPr>
        <w:rPr>
          <w:rFonts w:ascii="Arial" w:cs="Arial" w:eastAsia="Arial" w:hAnsi="Arial"/>
          <w:sz w:val="20"/>
          <w:szCs w:val="20"/>
          <w:color w:val="010000"/>
        </w:rPr>
      </w:pPr>
      <w:r>
        <w:rPr>
          <w:rFonts w:ascii="Arial" w:cs="Arial" w:eastAsia="Arial" w:hAnsi="Arial"/>
          <w:sz w:val="20"/>
          <w:szCs w:val="20"/>
          <w:color w:val="auto"/>
        </w:rPr>
        <w:t>whether the requested Borrowing is to be a Revolving Borrowing, a Term Borrowing or a Borrowing of any other Class (specifying the Class thereof);</w:t>
      </w:r>
    </w:p>
    <w:p>
      <w:pPr>
        <w:spacing w:after="0" w:line="189" w:lineRule="exact"/>
        <w:rPr>
          <w:rFonts w:ascii="Arial" w:cs="Arial" w:eastAsia="Arial" w:hAnsi="Arial"/>
          <w:sz w:val="20"/>
          <w:szCs w:val="20"/>
          <w:color w:val="010000"/>
        </w:rPr>
      </w:pPr>
    </w:p>
    <w:p>
      <w:pPr>
        <w:ind w:left="2980" w:hanging="741"/>
        <w:spacing w:after="0"/>
        <w:tabs>
          <w:tab w:leader="none" w:pos="2980" w:val="left"/>
        </w:tabs>
        <w:numPr>
          <w:ilvl w:val="0"/>
          <w:numId w:val="151"/>
        </w:numPr>
        <w:rPr>
          <w:rFonts w:ascii="Arial" w:cs="Arial" w:eastAsia="Arial" w:hAnsi="Arial"/>
          <w:sz w:val="20"/>
          <w:szCs w:val="20"/>
          <w:color w:val="010000"/>
        </w:rPr>
      </w:pPr>
      <w:r>
        <w:rPr>
          <w:rFonts w:ascii="Arial" w:cs="Arial" w:eastAsia="Arial" w:hAnsi="Arial"/>
          <w:sz w:val="20"/>
          <w:szCs w:val="20"/>
          <w:color w:val="auto"/>
        </w:rPr>
        <w:t>the aggregate amount of such Borrowing;</w:t>
      </w:r>
    </w:p>
    <w:p>
      <w:pPr>
        <w:spacing w:after="0" w:line="241" w:lineRule="exact"/>
        <w:rPr>
          <w:rFonts w:ascii="Arial" w:cs="Arial" w:eastAsia="Arial" w:hAnsi="Arial"/>
          <w:sz w:val="20"/>
          <w:szCs w:val="20"/>
          <w:color w:val="010000"/>
        </w:rPr>
      </w:pPr>
    </w:p>
    <w:p>
      <w:pPr>
        <w:ind w:left="2980" w:hanging="741"/>
        <w:spacing w:after="0"/>
        <w:tabs>
          <w:tab w:leader="none" w:pos="2980" w:val="left"/>
        </w:tabs>
        <w:numPr>
          <w:ilvl w:val="0"/>
          <w:numId w:val="151"/>
        </w:numPr>
        <w:rPr>
          <w:rFonts w:ascii="Arial" w:cs="Arial" w:eastAsia="Arial" w:hAnsi="Arial"/>
          <w:sz w:val="20"/>
          <w:szCs w:val="20"/>
          <w:color w:val="010000"/>
        </w:rPr>
      </w:pPr>
      <w:r>
        <w:rPr>
          <w:rFonts w:ascii="Arial" w:cs="Arial" w:eastAsia="Arial" w:hAnsi="Arial"/>
          <w:sz w:val="20"/>
          <w:szCs w:val="20"/>
          <w:color w:val="auto"/>
        </w:rPr>
        <w:t>the date of such Borrowing, which shall be a Business Day;</w:t>
      </w:r>
    </w:p>
    <w:p>
      <w:pPr>
        <w:spacing w:after="0" w:line="228" w:lineRule="exact"/>
        <w:rPr>
          <w:rFonts w:ascii="Arial" w:cs="Arial" w:eastAsia="Arial" w:hAnsi="Arial"/>
          <w:sz w:val="20"/>
          <w:szCs w:val="20"/>
          <w:color w:val="010000"/>
        </w:rPr>
      </w:pPr>
    </w:p>
    <w:p>
      <w:pPr>
        <w:ind w:left="2980" w:hanging="741"/>
        <w:spacing w:after="0"/>
        <w:tabs>
          <w:tab w:leader="none" w:pos="2980" w:val="left"/>
        </w:tabs>
        <w:numPr>
          <w:ilvl w:val="0"/>
          <w:numId w:val="151"/>
        </w:numPr>
        <w:rPr>
          <w:rFonts w:ascii="Arial" w:cs="Arial" w:eastAsia="Arial" w:hAnsi="Arial"/>
          <w:sz w:val="20"/>
          <w:szCs w:val="20"/>
          <w:color w:val="010000"/>
        </w:rPr>
      </w:pPr>
      <w:r>
        <w:rPr>
          <w:rFonts w:ascii="Arial" w:cs="Arial" w:eastAsia="Arial" w:hAnsi="Arial"/>
          <w:sz w:val="20"/>
          <w:szCs w:val="20"/>
          <w:color w:val="auto"/>
        </w:rPr>
        <w:t>whether such  Borrowing  is  to  be  an  ABR  Borrowing  or  a</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b w:val="1"/>
          <w:bCs w:val="1"/>
          <w:color w:val="FF0000"/>
        </w:rPr>
        <w:t xml:space="preserve"> </w:t>
      </w:r>
      <w:r>
        <w:rPr>
          <w:rFonts w:ascii="Arial" w:cs="Arial" w:eastAsia="Arial" w:hAnsi="Arial"/>
          <w:sz w:val="20"/>
          <w:szCs w:val="20"/>
          <w:color w:val="000000"/>
        </w:rPr>
        <w:t>Borrowing;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52" w:right="499" w:bottom="1440" w:gutter="0" w:footer="0" w:header="0"/>
        </w:sectPr>
      </w:pPr>
    </w:p>
    <w:bookmarkStart w:id="236" w:name="page237"/>
    <w:bookmarkEnd w:id="236"/>
    <w:p>
      <w:pPr>
        <w:ind w:left="748" w:right="60" w:firstLine="1499"/>
        <w:spacing w:after="0" w:line="265" w:lineRule="auto"/>
        <w:tabs>
          <w:tab w:leader="none" w:pos="3346" w:val="left"/>
        </w:tabs>
        <w:numPr>
          <w:ilvl w:val="0"/>
          <w:numId w:val="152"/>
        </w:numPr>
        <w:rPr>
          <w:rFonts w:ascii="Arial" w:cs="Arial" w:eastAsia="Arial" w:hAnsi="Arial"/>
          <w:sz w:val="20"/>
          <w:szCs w:val="20"/>
          <w:color w:val="010000"/>
        </w:rPr>
      </w:pPr>
      <w:r>
        <w:rPr>
          <w:rFonts w:ascii="Arial" w:cs="Arial" w:eastAsia="Arial" w:hAnsi="Arial"/>
          <w:sz w:val="20"/>
          <w:szCs w:val="20"/>
          <w:color w:val="auto"/>
        </w:rPr>
        <w:t xml:space="preserve">in the case of a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Borrowing, the initial Interest Period to be applicable thereto, which shall be a period contemplated by the definition of the term “Interest Period”;</w:t>
      </w:r>
    </w:p>
    <w:p>
      <w:pPr>
        <w:spacing w:after="0" w:line="198" w:lineRule="exact"/>
        <w:rPr>
          <w:rFonts w:ascii="Arial" w:cs="Arial" w:eastAsia="Arial" w:hAnsi="Arial"/>
          <w:sz w:val="20"/>
          <w:szCs w:val="20"/>
          <w:color w:val="010000"/>
        </w:rPr>
      </w:pPr>
    </w:p>
    <w:p>
      <w:pPr>
        <w:ind w:left="3348" w:hanging="1101"/>
        <w:spacing w:after="0"/>
        <w:tabs>
          <w:tab w:leader="none" w:pos="3348" w:val="left"/>
        </w:tabs>
        <w:numPr>
          <w:ilvl w:val="0"/>
          <w:numId w:val="152"/>
        </w:numPr>
        <w:rPr>
          <w:rFonts w:ascii="Arial" w:cs="Arial" w:eastAsia="Arial" w:hAnsi="Arial"/>
          <w:sz w:val="19"/>
          <w:szCs w:val="19"/>
          <w:color w:val="010000"/>
        </w:rPr>
      </w:pPr>
      <w:r>
        <w:rPr>
          <w:rFonts w:ascii="Arial" w:cs="Arial" w:eastAsia="Arial" w:hAnsi="Arial"/>
          <w:sz w:val="19"/>
          <w:szCs w:val="19"/>
          <w:color w:val="auto"/>
        </w:rPr>
        <w:t>the location and number of the Borrower’s account or accounts to which funds are to be</w:t>
      </w:r>
    </w:p>
    <w:p>
      <w:pPr>
        <w:spacing w:after="0" w:line="26" w:lineRule="exact"/>
        <w:rPr>
          <w:rFonts w:ascii="Arial" w:cs="Arial" w:eastAsia="Arial" w:hAnsi="Arial"/>
          <w:sz w:val="19"/>
          <w:szCs w:val="19"/>
          <w:color w:val="010000"/>
        </w:rPr>
      </w:pPr>
    </w:p>
    <w:p>
      <w:pPr>
        <w:ind w:left="748"/>
        <w:spacing w:after="0"/>
        <w:rPr>
          <w:rFonts w:ascii="Arial" w:cs="Arial" w:eastAsia="Arial" w:hAnsi="Arial"/>
          <w:sz w:val="19"/>
          <w:szCs w:val="19"/>
          <w:color w:val="010000"/>
        </w:rPr>
      </w:pPr>
      <w:r>
        <w:rPr>
          <w:rFonts w:ascii="Arial" w:cs="Arial" w:eastAsia="Arial" w:hAnsi="Arial"/>
          <w:sz w:val="20"/>
          <w:szCs w:val="20"/>
          <w:color w:val="auto"/>
        </w:rPr>
        <w:t>disbursed; and</w:t>
      </w:r>
    </w:p>
    <w:p>
      <w:pPr>
        <w:spacing w:after="0" w:line="212" w:lineRule="exact"/>
        <w:rPr>
          <w:rFonts w:ascii="Arial" w:cs="Arial" w:eastAsia="Arial" w:hAnsi="Arial"/>
          <w:sz w:val="19"/>
          <w:szCs w:val="19"/>
          <w:color w:val="010000"/>
        </w:rPr>
      </w:pPr>
    </w:p>
    <w:p>
      <w:pPr>
        <w:ind w:left="3348" w:hanging="1101"/>
        <w:spacing w:after="0"/>
        <w:tabs>
          <w:tab w:leader="none" w:pos="3348" w:val="left"/>
        </w:tabs>
        <w:numPr>
          <w:ilvl w:val="0"/>
          <w:numId w:val="152"/>
        </w:numPr>
        <w:rPr>
          <w:rFonts w:ascii="Arial" w:cs="Arial" w:eastAsia="Arial" w:hAnsi="Arial"/>
          <w:sz w:val="20"/>
          <w:szCs w:val="20"/>
          <w:color w:val="010000"/>
        </w:rPr>
      </w:pPr>
      <w:r>
        <w:rPr>
          <w:rFonts w:ascii="Arial" w:cs="Arial" w:eastAsia="Arial" w:hAnsi="Arial"/>
          <w:sz w:val="20"/>
          <w:szCs w:val="20"/>
          <w:color w:val="auto"/>
        </w:rPr>
        <w:t>in the case of a Revolving Borrowing, the currency in which such Borrowing is to be</w:t>
      </w:r>
    </w:p>
    <w:p>
      <w:pPr>
        <w:spacing w:after="0" w:line="15" w:lineRule="exact"/>
        <w:rPr>
          <w:rFonts w:ascii="Arial" w:cs="Arial" w:eastAsia="Arial" w:hAnsi="Arial"/>
          <w:sz w:val="20"/>
          <w:szCs w:val="20"/>
          <w:color w:val="010000"/>
        </w:rPr>
      </w:pPr>
    </w:p>
    <w:p>
      <w:pPr>
        <w:ind w:left="748"/>
        <w:spacing w:after="0"/>
        <w:rPr>
          <w:rFonts w:ascii="Arial" w:cs="Arial" w:eastAsia="Arial" w:hAnsi="Arial"/>
          <w:sz w:val="20"/>
          <w:szCs w:val="20"/>
          <w:color w:val="010000"/>
        </w:rPr>
      </w:pPr>
      <w:r>
        <w:rPr>
          <w:rFonts w:ascii="Arial" w:cs="Arial" w:eastAsia="Arial" w:hAnsi="Arial"/>
          <w:sz w:val="20"/>
          <w:szCs w:val="20"/>
          <w:color w:val="auto"/>
        </w:rPr>
        <w:t>denominated.</w:t>
      </w:r>
    </w:p>
    <w:p>
      <w:pPr>
        <w:spacing w:after="0" w:line="226" w:lineRule="exact"/>
        <w:rPr>
          <w:sz w:val="20"/>
          <w:szCs w:val="20"/>
          <w:color w:val="auto"/>
        </w:rPr>
      </w:pPr>
    </w:p>
    <w:p>
      <w:pPr>
        <w:jc w:val="both"/>
        <w:ind w:left="8" w:right="20"/>
        <w:spacing w:after="0" w:line="242" w:lineRule="auto"/>
        <w:rPr>
          <w:sz w:val="20"/>
          <w:szCs w:val="20"/>
          <w:color w:val="auto"/>
        </w:rPr>
      </w:pPr>
      <w:r>
        <w:rPr>
          <w:rFonts w:ascii="Arial" w:cs="Arial" w:eastAsia="Arial" w:hAnsi="Arial"/>
          <w:sz w:val="20"/>
          <w:szCs w:val="20"/>
          <w:color w:val="auto"/>
        </w:rPr>
        <w:t xml:space="preserve">If no election as to the Type of Borrowing is specified as to any requested Borrowing in Dollars or Canadian Dollars, then the requested Borrowing shall be an ABR Borrowing. If no Interest Period is specified with respect to any requested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Borrowing, then the Borrower shall be deemed to have selected an Interest Period of one month’s duration. If no currency is specified with respect to any requested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Borrowing, then the Borrower shall be deemed to have requested that the Borrowing be denominated in Dollars. Promptly following receipt of a Borrowing Request in accordance with this Section 2.03, the Administrative Agent shall advise each Lender of the applicable Class of the details thereof and of the amount of such Lender’s Loan to be made as part of the requested Borrowing.</w:t>
      </w:r>
    </w:p>
    <w:p>
      <w:pPr>
        <w:spacing w:after="0" w:line="186" w:lineRule="exact"/>
        <w:rPr>
          <w:sz w:val="20"/>
          <w:szCs w:val="20"/>
          <w:color w:val="auto"/>
        </w:rPr>
      </w:pPr>
    </w:p>
    <w:tbl>
      <w:tblPr>
        <w:tblLayout w:type="fixed"/>
        <w:tblInd w:w="4128"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Arial" w:cs="Arial" w:eastAsia="Arial" w:hAnsi="Arial"/>
                <w:sz w:val="20"/>
                <w:szCs w:val="20"/>
                <w:color w:val="010000"/>
              </w:rPr>
              <w:t>SECTION 2.04</w:t>
            </w:r>
          </w:p>
        </w:tc>
        <w:tc>
          <w:tcPr>
            <w:tcW w:w="136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8"/>
        </w:trPr>
        <w:tc>
          <w:tcPr>
            <w:tcW w:w="1580" w:type="dxa"/>
            <w:vAlign w:val="bottom"/>
          </w:tcPr>
          <w:p>
            <w:pPr>
              <w:spacing w:after="0"/>
              <w:rPr>
                <w:sz w:val="20"/>
                <w:szCs w:val="20"/>
                <w:color w:val="auto"/>
              </w:rPr>
            </w:pPr>
            <w:r>
              <w:rPr>
                <w:rFonts w:ascii="Arial" w:cs="Arial" w:eastAsia="Arial" w:hAnsi="Arial"/>
                <w:sz w:val="20"/>
                <w:szCs w:val="20"/>
                <w:color w:val="010000"/>
              </w:rPr>
              <w:t>SECTION 2.05</w:t>
            </w:r>
          </w:p>
        </w:tc>
        <w:tc>
          <w:tcPr>
            <w:tcW w:w="1360" w:type="dxa"/>
            <w:vAlign w:val="bottom"/>
            <w:gridSpan w:val="3"/>
          </w:tcPr>
          <w:p>
            <w:pPr>
              <w:spacing w:after="0"/>
              <w:rPr>
                <w:sz w:val="20"/>
                <w:szCs w:val="20"/>
                <w:color w:val="auto"/>
              </w:rPr>
            </w:pPr>
            <w:r>
              <w:rPr>
                <w:rFonts w:ascii="Arial" w:cs="Arial" w:eastAsia="Arial" w:hAnsi="Arial"/>
                <w:sz w:val="20"/>
                <w:szCs w:val="20"/>
                <w:color w:val="auto"/>
                <w:w w:val="90"/>
              </w:rPr>
              <w:t>Letters of Credit.</w:t>
            </w:r>
          </w:p>
        </w:tc>
      </w:tr>
      <w:tr>
        <w:trPr>
          <w:trHeight w:val="20"/>
        </w:trPr>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8" w:right="60" w:firstLine="1490"/>
        <w:spacing w:after="0" w:line="249" w:lineRule="auto"/>
        <w:tabs>
          <w:tab w:leader="none" w:pos="2294"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Subject to the terms and conditions set forth herein (including Section 2.22), each Issuing Bank agrees, in reliance upon the agreements of the Revolving Lenders and the Borrower set forth in this Section 2.05 and elsewhere in the Loan Documents, to issue Letters of</w:t>
      </w:r>
    </w:p>
    <w:p>
      <w:pPr>
        <w:spacing w:after="0" w:line="26" w:lineRule="exact"/>
        <w:rPr>
          <w:sz w:val="20"/>
          <w:szCs w:val="20"/>
          <w:color w:val="auto"/>
        </w:rPr>
      </w:pPr>
    </w:p>
    <w:p>
      <w:pPr>
        <w:jc w:val="both"/>
        <w:ind w:left="8" w:right="40"/>
        <w:spacing w:after="0" w:line="231" w:lineRule="auto"/>
        <w:rPr>
          <w:sz w:val="20"/>
          <w:szCs w:val="20"/>
          <w:color w:val="auto"/>
        </w:rPr>
      </w:pPr>
      <w:r>
        <w:rPr>
          <w:rFonts w:ascii="Arial" w:cs="Arial" w:eastAsia="Arial" w:hAnsi="Arial"/>
          <w:sz w:val="20"/>
          <w:szCs w:val="20"/>
          <w:color w:val="auto"/>
        </w:rPr>
        <w:t>Credit denominated in Dollars or an Alternative Currency for the Borrower’s own account (or for the account of any Subsidiary so long as the Borrower is an obligor in respect of all Loan Document Obligations arising under or in respect of such Letter of Credit), in a form reasonably acceptable to the Administrative Agent and the applicable Issuing Bank, which shall reflect the standard operating procedures of such Issuing Bank, at any time and from time to time during the period from the Effective Date until the date that is the third (3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Business Day prior to the Revolving Maturity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 w:lineRule="exact"/>
        <w:rPr>
          <w:sz w:val="20"/>
          <w:szCs w:val="20"/>
          <w:color w:val="auto"/>
        </w:rPr>
      </w:pPr>
    </w:p>
    <w:p>
      <w:pPr>
        <w:jc w:val="both"/>
        <w:ind w:left="8" w:right="60" w:hanging="8"/>
        <w:spacing w:after="0" w:line="259" w:lineRule="auto"/>
        <w:tabs>
          <w:tab w:leader="none" w:pos="34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none of Morgan Stanley Senior Funding, Inc., Credit Suisse AG or Deutsche Bank Securities, Inc. (or any of their respective Affiliates) shall be required to issue any Letter of Credit other than standby Letters of Credit denominated in Dollars without its consent and (y) no Issuing Bank shall be required to issue any Letter of Credit if after giving effect thereto the LC Exposure with respect to all Letters of Credit issued by such Issuing Bank would exceed the amount set forth across from its name on Schedule </w:t>
      </w:r>
      <w:r>
        <w:rPr>
          <w:rFonts w:ascii="Arial" w:cs="Arial" w:eastAsia="Arial" w:hAnsi="Arial"/>
          <w:sz w:val="16"/>
          <w:szCs w:val="16"/>
          <w:color w:val="auto"/>
        </w:rPr>
        <w:t>2.05 (or in the</w:t>
      </w:r>
      <w:r>
        <w:rPr>
          <w:rFonts w:ascii="Arial" w:cs="Arial" w:eastAsia="Arial" w:hAnsi="Arial"/>
          <w:sz w:val="19"/>
          <w:szCs w:val="19"/>
          <w:color w:val="auto"/>
        </w:rPr>
        <w:t xml:space="preserve"> </w:t>
      </w:r>
      <w:r>
        <w:rPr>
          <w:rFonts w:ascii="Arial" w:cs="Arial" w:eastAsia="Arial" w:hAnsi="Arial"/>
          <w:sz w:val="16"/>
          <w:szCs w:val="16"/>
          <w:color w:val="auto"/>
        </w:rPr>
        <w:t>documents pursuant to which such Issuing Bank became an Issuing Bank). In the event of any inconsistency between the terms and conditions of this Agreement and the terms and conditions of any form of letter of credit application or other agreement submitted by a Borrower to, or entered into by the Borrower with, the applicable Issuing Bank relating to any Letter of Credit, the terms and conditions of this Agreement shall control.</w:t>
      </w:r>
    </w:p>
    <w:p>
      <w:pPr>
        <w:spacing w:after="0" w:line="201" w:lineRule="exact"/>
        <w:rPr>
          <w:rFonts w:ascii="Arial" w:cs="Arial" w:eastAsia="Arial" w:hAnsi="Arial"/>
          <w:sz w:val="19"/>
          <w:szCs w:val="19"/>
          <w:color w:val="auto"/>
        </w:rPr>
      </w:pPr>
    </w:p>
    <w:p>
      <w:pPr>
        <w:jc w:val="both"/>
        <w:ind w:left="8" w:firstLine="1467"/>
        <w:spacing w:after="0" w:line="242" w:lineRule="auto"/>
        <w:tabs>
          <w:tab w:leader="none" w:pos="2274" w:val="left"/>
        </w:tabs>
        <w:numPr>
          <w:ilvl w:val="1"/>
          <w:numId w:val="154"/>
        </w:numPr>
        <w:rPr>
          <w:rFonts w:ascii="Arial" w:cs="Arial" w:eastAsia="Arial" w:hAnsi="Arial"/>
          <w:sz w:val="20"/>
          <w:szCs w:val="20"/>
          <w:color w:val="auto"/>
        </w:rPr>
      </w:pPr>
      <w:r>
        <w:rPr>
          <w:rFonts w:ascii="Arial" w:cs="Arial" w:eastAsia="Arial" w:hAnsi="Arial"/>
          <w:sz w:val="20"/>
          <w:szCs w:val="20"/>
          <w:u w:val="single" w:color="auto"/>
          <w:color w:val="auto"/>
        </w:rPr>
        <w:t>Issuance, Amendment, Renewal or Extension; Certain Conditions</w:t>
      </w:r>
      <w:r>
        <w:rPr>
          <w:rFonts w:ascii="Arial" w:cs="Arial" w:eastAsia="Arial" w:hAnsi="Arial"/>
          <w:sz w:val="20"/>
          <w:szCs w:val="20"/>
          <w:color w:val="auto"/>
        </w:rPr>
        <w:t>.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Administrative Agent (at least three (3) Business Days before the requested date of issuance, amendment, renewal or extension (or, in the case of any such request to be made on the Effective Date, one (1) Business Day) or such shorter period as the applicable Issuing Bank and the Administrative Agent may agree) a notice requesting the issuance of a Letter of Credit, or identifying the Letter of Credit to be amended</w:t>
      </w:r>
    </w:p>
    <w:p>
      <w:pPr>
        <w:spacing w:after="0" w:line="197"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118" w:right="499" w:bottom="1440" w:gutter="0" w:footer="0" w:header="0"/>
        </w:sectPr>
      </w:pPr>
    </w:p>
    <w:bookmarkStart w:id="237" w:name="page238"/>
    <w:bookmarkEnd w:id="237"/>
    <w:p>
      <w:pPr>
        <w:jc w:val="both"/>
        <w:spacing w:after="0" w:line="275" w:lineRule="auto"/>
        <w:rPr>
          <w:sz w:val="20"/>
          <w:szCs w:val="20"/>
          <w:color w:val="auto"/>
        </w:rPr>
      </w:pPr>
      <w:r>
        <w:rPr>
          <w:rFonts w:ascii="Arial" w:cs="Arial" w:eastAsia="Arial" w:hAnsi="Arial"/>
          <w:sz w:val="18"/>
          <w:szCs w:val="18"/>
          <w:color w:val="auto"/>
        </w:rPr>
        <w:t>or extended, and specifying the date of issuance, amendment, renewal or extension, as the case may be (which shall be a Business Day), the date on which such Letter of Credit is to expire (which shall comply with paragraph (d) of this Section 2.05), the amount and currency of such Letter of Credit, the name and address of the beneficiary thereof and such other information as shall be necessary to prepare, amend or extend, as the case may be, such Letter of Credit. Each such notice shall be in the form of Exhibit Q, appropriately completed (each, a “</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xml:space="preserve">”). If requested by the applicable Issuing Bank, the Borrower also shall submit a letter of credit application on such Issuing Bank’s standard form in connection with any request for a Letter of Credit. A Letter of Credit shall be issued, amended or extended only if (and upon issuance, amendment, renewal or extension of any Letter of Credit the Borrower shall be deemed to represent and warrant that), after giving effect to such issuance, amendment, renewal or extension, (i) subject to Section 9.04(b)(ii), the Applicable Fronting Exposure of each Issuing Bank shall not exceed its Fronting Exposure Cap, (ii) the aggregate Revolving Exposures shall not exceed the aggregate Revolving Commitments and (iii) the aggregate LC Exposure shall not exceed the Letter of Credit Sublimit. Letters of Credit will be available to be issued up to an aggregate face amount not to exceed the Letter of Credit Sublimit.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except as otherwise agreed in writing by the </w:t>
      </w:r>
      <w:r>
        <w:rPr>
          <w:rFonts w:ascii="Arial" w:cs="Arial" w:eastAsia="Arial" w:hAnsi="Arial"/>
          <w:sz w:val="15"/>
          <w:szCs w:val="15"/>
          <w:color w:val="auto"/>
        </w:rPr>
        <w:t>Administrative Agent and the applicable Issuing</w:t>
      </w:r>
      <w:r>
        <w:rPr>
          <w:rFonts w:ascii="Arial" w:cs="Arial" w:eastAsia="Arial" w:hAnsi="Arial"/>
          <w:sz w:val="18"/>
          <w:szCs w:val="18"/>
          <w:color w:val="auto"/>
        </w:rPr>
        <w:t xml:space="preserve"> </w:t>
      </w:r>
      <w:r>
        <w:rPr>
          <w:rFonts w:ascii="Arial" w:cs="Arial" w:eastAsia="Arial" w:hAnsi="Arial"/>
          <w:sz w:val="15"/>
          <w:szCs w:val="15"/>
          <w:color w:val="auto"/>
        </w:rPr>
        <w:t xml:space="preserve">Bank, such Letter of Credit is to be denominated in a currency other than Dollars or an Alternative Currency, (iv) except as otherwise agreed by the Administrative Agent and such Issuing Bank, the Letter of Credit is in an initial stated amount less than $100,000, or (v)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w:t>
      </w:r>
      <w:r>
        <w:rPr>
          <w:rFonts w:ascii="Arial" w:cs="Arial" w:eastAsia="Arial" w:hAnsi="Arial"/>
          <w:sz w:val="17"/>
          <w:szCs w:val="17"/>
          <w:color w:val="auto"/>
        </w:rPr>
        <w:t>such Issuing Bank would have no obligation at such time to issue such</w:t>
      </w:r>
      <w:r>
        <w:rPr>
          <w:rFonts w:ascii="Arial" w:cs="Arial" w:eastAsia="Arial" w:hAnsi="Arial"/>
          <w:sz w:val="15"/>
          <w:szCs w:val="15"/>
          <w:color w:val="auto"/>
        </w:rPr>
        <w:t xml:space="preserve"> </w:t>
      </w:r>
      <w:r>
        <w:rPr>
          <w:rFonts w:ascii="Arial" w:cs="Arial" w:eastAsia="Arial" w:hAnsi="Arial"/>
          <w:sz w:val="17"/>
          <w:szCs w:val="17"/>
          <w:color w:val="auto"/>
        </w:rPr>
        <w:t>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(provided that any Letter of Credit with a one-year tenor may provide for the renewal thereof for additional one-year periods as provided in Section 2.05(d)).</w:t>
      </w:r>
    </w:p>
    <w:p>
      <w:pPr>
        <w:spacing w:after="0" w:line="200" w:lineRule="exact"/>
        <w:rPr>
          <w:sz w:val="20"/>
          <w:szCs w:val="20"/>
          <w:color w:val="auto"/>
        </w:rPr>
      </w:pPr>
    </w:p>
    <w:p>
      <w:pPr>
        <w:spacing w:after="0" w:line="209" w:lineRule="exact"/>
        <w:rPr>
          <w:sz w:val="20"/>
          <w:szCs w:val="20"/>
          <w:color w:val="auto"/>
        </w:rPr>
      </w:pPr>
    </w:p>
    <w:p>
      <w:pPr>
        <w:ind w:right="60" w:firstLine="1490"/>
        <w:spacing w:after="0" w:line="315" w:lineRule="auto"/>
        <w:tabs>
          <w:tab w:leader="none" w:pos="2286"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Each Issuing Bank agrees that, upon any issuance, amendment, renewal or extension of a Letter of Credit, it shall have given to the Administrative Agent written notice thereof required under paragraph (m)(iii) of this Section 2.05.</w:t>
      </w:r>
    </w:p>
    <w:p>
      <w:pPr>
        <w:spacing w:after="0" w:line="157" w:lineRule="exact"/>
        <w:rPr>
          <w:rFonts w:ascii="Arial" w:cs="Arial" w:eastAsia="Arial" w:hAnsi="Arial"/>
          <w:sz w:val="18"/>
          <w:szCs w:val="18"/>
          <w:color w:val="auto"/>
        </w:rPr>
      </w:pPr>
    </w:p>
    <w:p>
      <w:pPr>
        <w:jc w:val="both"/>
        <w:ind w:firstLine="1490"/>
        <w:spacing w:after="0" w:line="278" w:lineRule="auto"/>
        <w:tabs>
          <w:tab w:leader="none" w:pos="229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or such later date as may be agreed by the applicable Issuing Bank and (ii) the date that is three (3) Business Days prior to the Revolving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expiry date is not a Business Day, such Letter of Credit shall expire at or prior to the close of business on the next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38" w:name="page239"/>
    <w:bookmarkEnd w:id="238"/>
    <w:p>
      <w:pPr>
        <w:jc w:val="both"/>
        <w:spacing w:after="0" w:line="270" w:lineRule="auto"/>
        <w:rPr>
          <w:sz w:val="20"/>
          <w:szCs w:val="20"/>
          <w:color w:val="auto"/>
        </w:rPr>
      </w:pPr>
      <w:r>
        <w:rPr>
          <w:rFonts w:ascii="Arial" w:cs="Arial" w:eastAsia="Arial" w:hAnsi="Arial"/>
          <w:sz w:val="18"/>
          <w:szCs w:val="18"/>
          <w:color w:val="auto"/>
        </w:rPr>
        <w:t xml:space="preserve">succeeding Business Day;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Letter of Credit may, upon the request of the Borrower, include a provision whereby such Letter of Credit shall be renewed or extended automatically for additional consecutive periods of up to one year or such longer period as may be agreed by the applicable Issuing Bank (but not beyond the date that is three (3) Business Days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Letter of Credit shall not be required to expire on such third (3</w:t>
      </w:r>
      <w:r>
        <w:rPr>
          <w:rFonts w:ascii="Arial" w:cs="Arial" w:eastAsia="Arial" w:hAnsi="Arial"/>
          <w:sz w:val="12"/>
          <w:szCs w:val="12"/>
          <w:color w:val="auto"/>
        </w:rPr>
        <w:t>rd</w:t>
      </w:r>
      <w:r>
        <w:rPr>
          <w:rFonts w:ascii="Arial" w:cs="Arial" w:eastAsia="Arial" w:hAnsi="Arial"/>
          <w:sz w:val="18"/>
          <w:szCs w:val="18"/>
          <w:color w:val="auto"/>
        </w:rPr>
        <w:t>)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spacing w:after="0" w:line="190" w:lineRule="exact"/>
        <w:rPr>
          <w:sz w:val="20"/>
          <w:szCs w:val="20"/>
          <w:color w:val="auto"/>
        </w:rPr>
      </w:pPr>
    </w:p>
    <w:p>
      <w:pPr>
        <w:jc w:val="both"/>
        <w:ind w:firstLine="1467"/>
        <w:spacing w:after="0" w:line="243" w:lineRule="auto"/>
        <w:tabs>
          <w:tab w:leader="none" w:pos="2266"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w:t>
      </w:r>
    </w:p>
    <w:p>
      <w:pPr>
        <w:spacing w:after="0" w:line="32"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for the account of such Issuing Bank, such Revolving Lender’s Applicable Percentage of each LC Disbursement made by such Issuing Bank and not reimbursed by the Borrower on the date due as provided in paragraph (f) of this Section 2.05, or of any reimbursement payment required to be refunded to the Borrower for any reason. All fundings of such participations shall be denominated in Dollars.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w:t>
      </w:r>
    </w:p>
    <w:p>
      <w:pPr>
        <w:spacing w:after="0" w:line="199" w:lineRule="exact"/>
        <w:rPr>
          <w:sz w:val="20"/>
          <w:szCs w:val="20"/>
          <w:color w:val="auto"/>
        </w:rPr>
      </w:pPr>
    </w:p>
    <w:p>
      <w:pPr>
        <w:jc w:val="both"/>
        <w:ind w:right="60" w:firstLine="1490"/>
        <w:spacing w:after="0" w:line="269" w:lineRule="auto"/>
        <w:tabs>
          <w:tab w:leader="none" w:pos="2286"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If an Issuing Bank shall make any LC Disbursement in respect of a Letter of Credit, the Borrower shall reimburse such LC Disbursement by paying to the Administrative Agent an amount (in same day funds) equal to such LC Disbursement not later than 4:00 p.m. New York City time one Business Day following the day that the Borrower receives written notice (including via e-mail) of such LC Disbursement (the “</w:t>
      </w:r>
      <w:r>
        <w:rPr>
          <w:rFonts w:ascii="Arial" w:cs="Arial" w:eastAsia="Arial" w:hAnsi="Arial"/>
          <w:sz w:val="18"/>
          <w:szCs w:val="18"/>
          <w:u w:val="single" w:color="auto"/>
          <w:color w:val="auto"/>
        </w:rPr>
        <w:t>Reimbursement Date</w:t>
      </w:r>
      <w:r>
        <w:rPr>
          <w:rFonts w:ascii="Arial" w:cs="Arial" w:eastAsia="Arial" w:hAnsi="Arial"/>
          <w:sz w:val="18"/>
          <w:szCs w:val="18"/>
          <w:color w:val="auto"/>
        </w:rPr>
        <w:t>”), together with accrued interest or fees thereon in accordance with clause (i) of this Section 2.05. Anything contained herein to the contrary notwithstanding, (i) unless the Borrower shall have notified the Administrative Agent and the applicable Issuing Bank prior to 4:00 p.m., New York City time, on the date such LC Disbursement is made that the Borrower intends to reimburse the applicable Issuing Bank for the amount of the LC Disbursement (including any accrued interest or fees thereon), whether with its own funds or with the proceeds of Revolving Loans, the Borrower shall be deemed to have given a timely Borrowing Request to the Administrative Agent requesting Revolving Lenders to make Revolving Loans that are ABR Revolving Loans on the Reimbursement Date in an amount equal to such LC Disbursement (together with any accrued interest or fees thereon), and (ii) subject to satisfaction or waiver of the conditions specified in Section 4.02, Revolving Lenders shall, on the Reimbursement Date, make Revolving Loans that are ABR Revolving Loans in an amount equal to their Applicable Percentage of such LC Disbursement (together with any accrued interest or fees thereon), the proceeds of which shall be applied directly by the Administrative Agent to reimburse the applicable Issuing Bank for the amount of such LC Disbursement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39" w:name="page240"/>
    <w:bookmarkEnd w:id="239"/>
    <w:p>
      <w:pPr>
        <w:jc w:val="both"/>
        <w:ind w:left="8"/>
        <w:spacing w:after="0" w:line="243" w:lineRule="auto"/>
        <w:rPr>
          <w:sz w:val="20"/>
          <w:szCs w:val="20"/>
          <w:color w:val="auto"/>
        </w:rPr>
      </w:pPr>
      <w:r>
        <w:rPr>
          <w:rFonts w:ascii="Arial" w:cs="Arial" w:eastAsia="Arial" w:hAnsi="Arial"/>
          <w:sz w:val="20"/>
          <w:szCs w:val="20"/>
          <w:color w:val="auto"/>
        </w:rPr>
        <w:t xml:space="preserve">(together with any accrued interest or fees thereon);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for any reason proceeds of Revolving Loans are not received by the applicable Issuing Bank on the Reimbursement Date in an amount equal to such LC Disbursement (together with any accrued interest or fees thereon), the Borrower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w:t>
      </w:r>
    </w:p>
    <w:p>
      <w:pPr>
        <w:spacing w:after="0" w:line="209" w:lineRule="exact"/>
        <w:rPr>
          <w:sz w:val="20"/>
          <w:szCs w:val="20"/>
          <w:color w:val="auto"/>
        </w:rPr>
      </w:pPr>
    </w:p>
    <w:p>
      <w:pPr>
        <w:ind w:left="2288" w:hanging="790"/>
        <w:spacing w:after="0"/>
        <w:tabs>
          <w:tab w:leader="none" w:pos="2288"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Borrower’s obligation to reimburse LC Disbursements as provided in paragraph</w:t>
      </w:r>
    </w:p>
    <w:p>
      <w:pPr>
        <w:spacing w:after="0" w:line="38" w:lineRule="exact"/>
        <w:rPr>
          <w:rFonts w:ascii="Arial" w:cs="Arial" w:eastAsia="Arial" w:hAnsi="Arial"/>
          <w:sz w:val="18"/>
          <w:szCs w:val="18"/>
          <w:color w:val="auto"/>
        </w:rPr>
      </w:pPr>
    </w:p>
    <w:p>
      <w:pPr>
        <w:jc w:val="both"/>
        <w:ind w:left="8" w:hanging="8"/>
        <w:spacing w:after="0" w:line="265" w:lineRule="auto"/>
        <w:tabs>
          <w:tab w:leader="none" w:pos="27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of this Section 2.05 is absolute, unconditional and irrevocable, and shall be performed strictly in accordance with the terms of this Agreement under any and all circumstances whatsoever and irrespective of (i) any lack of validity or enforceability of any Letter of Credit, this Agreement or any other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Borrower or any Lender may have at any time against a beneficiary or any transferee of any Letter of Credit (or any Persons for whom any such transferee may be acting), the applicable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with the terms of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Loan Document by any party hereto or thereto, (viii) the fact that an Event of Default or a Default shall have occurred and be continuing; (ix) any other event or circumstance whatsoever, whether or not similar to any of the foregoing, that might, but for the provisions of this Section 2.05, constitute a legal or equitable discharge of, or provide a right of setoff against, the Borrower’s obligations hereunder or (x) any adverse change in the relevant exchange rates or in the availability of any Alternative Currency to the Borrower or in the relevant currency markets generally. As between the Borrower and any Issuing Bank, the Borrower assumes all risks of the acts and omissions of, or misuse of such Letters of Credit and the proceeds thereof, by the respective beneficiaries of such Letters of Credit or any assignees or transferees thereof. In furtherance and not in limitation of the foregoing, none of the Administrative Agent, the Lenders, the Issuing Banks or any of their Related Parties shall have any liability or responsibility for:</w:t>
      </w:r>
    </w:p>
    <w:p>
      <w:pPr>
        <w:spacing w:after="0" w:line="15" w:lineRule="exact"/>
        <w:rPr>
          <w:rFonts w:ascii="Arial" w:cs="Arial" w:eastAsia="Arial" w:hAnsi="Arial"/>
          <w:sz w:val="18"/>
          <w:szCs w:val="18"/>
          <w:color w:val="auto"/>
        </w:rPr>
      </w:pPr>
    </w:p>
    <w:p>
      <w:pPr>
        <w:jc w:val="both"/>
        <w:ind w:left="8" w:hanging="8"/>
        <w:spacing w:after="0" w:line="268" w:lineRule="auto"/>
        <w:tabs>
          <w:tab w:leader="none" w:pos="25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a failure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w:t>
      </w:r>
    </w:p>
    <w:p>
      <w:pPr>
        <w:spacing w:after="0" w:line="179" w:lineRule="exact"/>
        <w:rPr>
          <w:sz w:val="20"/>
          <w:szCs w:val="20"/>
          <w:color w:val="auto"/>
        </w:rPr>
      </w:pPr>
    </w:p>
    <w:p>
      <w:pPr>
        <w:jc w:val="center"/>
        <w:ind w:right="-47"/>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492" w:top="122" w:right="559" w:bottom="1440" w:gutter="0" w:footer="0" w:header="0"/>
        </w:sectPr>
      </w:pPr>
    </w:p>
    <w:bookmarkStart w:id="240" w:name="page241"/>
    <w:bookmarkEnd w:id="240"/>
    <w:p>
      <w:pPr>
        <w:jc w:val="both"/>
        <w:spacing w:after="0" w:line="269" w:lineRule="auto"/>
        <w:rPr>
          <w:sz w:val="20"/>
          <w:szCs w:val="20"/>
          <w:color w:val="auto"/>
        </w:rPr>
      </w:pPr>
      <w:r>
        <w:rPr>
          <w:rFonts w:ascii="Arial" w:cs="Arial" w:eastAsia="Arial" w:hAnsi="Arial"/>
          <w:sz w:val="18"/>
          <w:szCs w:val="18"/>
          <w:color w:val="auto"/>
        </w:rPr>
        <w:t>such Letter of Credit of the proceeds of any drawing under such Letter of Credit; or (ix) any consequences arising from causes beyond the control of the applicable Issuing Bank, including any act by a Governmental Authority and fluctuation in currency exchange rates. None of the above shall affect or impair, or prevent the vesting of, any of the applicable Issuing Bank’s rights or powers hereunder or place any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 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spacing w:after="0" w:line="189" w:lineRule="exact"/>
        <w:rPr>
          <w:sz w:val="20"/>
          <w:szCs w:val="20"/>
          <w:color w:val="auto"/>
        </w:rPr>
      </w:pPr>
    </w:p>
    <w:p>
      <w:pPr>
        <w:jc w:val="both"/>
        <w:ind w:right="20" w:firstLine="1490"/>
        <w:spacing w:after="0" w:line="258" w:lineRule="auto"/>
        <w:tabs>
          <w:tab w:leader="none" w:pos="2286"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Each Issuing Bank shall, promptly following its receipt thereof, examine all documents purporting to represent a demand for payment under a Letter of Credit. Each Issuing Bank shall promptly notify the Administrative Agent and the Borrower by telephone (confirmed in writing by hand delivery or facsimile) of such demand for payment and whether such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 of its obligations to reimburse such Issuing Bank and the Revolving Lenders with respect to any such LC Disbursement in accordance with paragraph (f) of this Section 2.05.</w:t>
      </w:r>
    </w:p>
    <w:p>
      <w:pPr>
        <w:spacing w:after="0" w:line="195" w:lineRule="exact"/>
        <w:rPr>
          <w:rFonts w:ascii="Arial" w:cs="Arial" w:eastAsia="Arial" w:hAnsi="Arial"/>
          <w:sz w:val="19"/>
          <w:szCs w:val="19"/>
          <w:color w:val="auto"/>
        </w:rPr>
      </w:pPr>
    </w:p>
    <w:p>
      <w:pPr>
        <w:jc w:val="both"/>
        <w:ind w:firstLine="1490"/>
        <w:spacing w:after="0" w:line="272" w:lineRule="auto"/>
        <w:tabs>
          <w:tab w:leader="none" w:pos="2286"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fails to reimburse such LC Disbursement when due pursuant to paragraph (f) of this Section 2.05, then Section 2.13(c) shall apply. Interest accrued pursuant to this paragraph shall be paid to the Administrative Agent, for the account of the applicable Issuing Bank, except that interest accrued on and after the date of payment by any Revolving Lender pursuant to paragraph (f) of this Section 2.05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181" w:lineRule="exact"/>
        <w:rPr>
          <w:rFonts w:ascii="Arial" w:cs="Arial" w:eastAsia="Arial" w:hAnsi="Arial"/>
          <w:sz w:val="18"/>
          <w:szCs w:val="18"/>
          <w:color w:val="auto"/>
        </w:rPr>
      </w:pPr>
    </w:p>
    <w:p>
      <w:pPr>
        <w:jc w:val="both"/>
        <w:ind w:right="20" w:firstLine="1490"/>
        <w:spacing w:after="0" w:line="272" w:lineRule="auto"/>
        <w:tabs>
          <w:tab w:leader="none" w:pos="2286"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and during the continuance of any Event of Default under paragraph (h) or (i) of Section 7.01, or (iii) any Event of Default under paragraph (a) or (b) of Section 7.01 shall occur and be continuing, on the Business Day on which the Borrower receives notice from the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Borrower shall deposit in an account with the Administrative Agent, in the name of the Administrative Agent and for the benefit of the Secured Parties, an amount of cash in Dollars or an Alternative Currency, as the case may</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241" w:name="page242"/>
    <w:bookmarkEnd w:id="241"/>
    <w:p>
      <w:pPr>
        <w:jc w:val="both"/>
        <w:ind w:right="40"/>
        <w:spacing w:after="0" w:line="268" w:lineRule="auto"/>
        <w:rPr>
          <w:sz w:val="20"/>
          <w:szCs w:val="20"/>
          <w:color w:val="auto"/>
        </w:rPr>
      </w:pPr>
      <w:r>
        <w:rPr>
          <w:rFonts w:ascii="Arial" w:cs="Arial" w:eastAsia="Arial" w:hAnsi="Arial"/>
          <w:sz w:val="18"/>
          <w:szCs w:val="18"/>
          <w:color w:val="auto"/>
        </w:rPr>
        <w:t>be, equal to the portions of the LC Exposure attributable to Letters of Credit, as of such date plus any accrued and unpaid interest thereon. The Borrower also shall deposit cash collateral pursuant to this paragraph as and to the extent required by Section 2.11(b). Each such deposit shall be held by the Administrative Agent as collateral for the payment and performance of the obligations of the Borrower under this Agreement and the other Loan Documents. At any time that there shall exist a Defaulting Lender, if any Defaulting Lender Fronting Exposure remains outstanding (after giving effect to Section 2.22(a)(iv)), then promptly upon the request of the Administrative Agent or any Issuing Bank, the Borrower shall deliver to the Administrative Agent cash collateral in an amount sufficient to cover such Defaulting Lender Fronting Exposure (after giving effect to any cash collateral provided by the Defaulting Lender). The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Administrative Agent to reimburse the 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Borrower under this Agreement. If the Borrower is required to provide an amount of cash collateral hereunder as a result of the occurrence of an Event of Default or the existence of a Defaulting Lender, such amount (to the extent not applied as aforesaid) shall be returned to the Borrower within three Business Days after all Events of Default have been cured or waived or after the termination of Defaulting Lender status, as applicable. If the Borrower is required to provide an amount of cash collateral hereunder pursuant to Section 2.11(b), such amount (to the extent not applied as aforesaid) shall be returned to the Borrower as and to the extent that, after giving effect to such return, the Borrower would remain in compliance with Section 2.11(b) and no Event of Default shall have occurred and be continuing.</w:t>
      </w:r>
    </w:p>
    <w:p>
      <w:pPr>
        <w:spacing w:after="0" w:line="189" w:lineRule="exact"/>
        <w:rPr>
          <w:sz w:val="20"/>
          <w:szCs w:val="20"/>
          <w:color w:val="auto"/>
        </w:rPr>
      </w:pPr>
    </w:p>
    <w:p>
      <w:pPr>
        <w:jc w:val="both"/>
        <w:ind w:firstLine="1490"/>
        <w:spacing w:after="0" w:line="274" w:lineRule="auto"/>
        <w:tabs>
          <w:tab w:leader="none" w:pos="2288"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Designation of Additional Issuing Banks</w:t>
      </w:r>
      <w:r>
        <w:rPr>
          <w:rFonts w:ascii="Arial" w:cs="Arial" w:eastAsia="Arial" w:hAnsi="Arial"/>
          <w:sz w:val="18"/>
          <w:szCs w:val="18"/>
          <w:color w:val="auto"/>
        </w:rPr>
        <w:t>. The Borrower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193" w:lineRule="exact"/>
        <w:rPr>
          <w:rFonts w:ascii="Arial" w:cs="Arial" w:eastAsia="Arial" w:hAnsi="Arial"/>
          <w:sz w:val="18"/>
          <w:szCs w:val="18"/>
          <w:color w:val="auto"/>
        </w:rPr>
      </w:pPr>
    </w:p>
    <w:p>
      <w:pPr>
        <w:jc w:val="both"/>
        <w:ind w:right="20" w:firstLine="1490"/>
        <w:spacing w:after="0" w:line="256" w:lineRule="auto"/>
        <w:tabs>
          <w:tab w:leader="none" w:pos="2287"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Resignation or Termination of an Issuing Bank</w:t>
      </w:r>
      <w:r>
        <w:rPr>
          <w:rFonts w:ascii="Arial" w:cs="Arial" w:eastAsia="Arial" w:hAnsi="Arial"/>
          <w:sz w:val="19"/>
          <w:szCs w:val="19"/>
          <w:color w:val="auto"/>
        </w:rPr>
        <w:t xml:space="preserve">. Subject to the appointment and acceptance of a successor Issuing Bank reasonably acceptable to the Borrower, any Issuing Bank may resign at any time by giving thirty (30) days’ written notice to the Administrative Agent, the Lenders and the Borrower. The Borrower may terminate the appointment of any Issuing Bank as an “Issuing Bank” hereunder by providing a written notice thereof to such Issuing Bank, with a copy to the Administrative Agent. Any such termination shall become effective upon the earlier of (i) such Issuing Bank’s acknowledging receipt of such notice and (ii) the fifth Business Day following the date of the delivery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termination shall become effective until and unless the LC Exposure attributable to all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Section 2.12(b).</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242" w:name="page243"/>
    <w:bookmarkEnd w:id="242"/>
    <w:p>
      <w:pPr>
        <w:jc w:val="both"/>
        <w:ind w:right="60"/>
        <w:spacing w:after="0" w:line="243" w:lineRule="auto"/>
        <w:rPr>
          <w:sz w:val="20"/>
          <w:szCs w:val="20"/>
          <w:color w:val="auto"/>
        </w:rPr>
      </w:pPr>
      <w:r>
        <w:rPr>
          <w:rFonts w:ascii="Arial" w:cs="Arial" w:eastAsia="Arial" w:hAnsi="Arial"/>
          <w:sz w:val="20"/>
          <w:szCs w:val="20"/>
          <w:color w:val="auto"/>
        </w:rPr>
        <w:t>Notwithstanding the effectiveness of any such resignation or termination, the resigning or terminated Issuing Bank shall remain a party hereto and shall continue to have all the rights of an Issuing Bank under this Agreement and the other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w:t>
      </w:r>
    </w:p>
    <w:p>
      <w:pPr>
        <w:spacing w:after="0" w:line="209" w:lineRule="exact"/>
        <w:rPr>
          <w:sz w:val="20"/>
          <w:szCs w:val="20"/>
          <w:color w:val="auto"/>
        </w:rPr>
      </w:pPr>
    </w:p>
    <w:p>
      <w:pPr>
        <w:jc w:val="both"/>
        <w:ind w:firstLine="1490"/>
        <w:spacing w:after="0" w:line="269" w:lineRule="auto"/>
        <w:tabs>
          <w:tab w:leader="none" w:pos="229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Issuing Bank Reports to the Administrative Agent</w:t>
      </w:r>
      <w:r>
        <w:rPr>
          <w:rFonts w:ascii="Arial" w:cs="Arial" w:eastAsia="Arial" w:hAnsi="Arial"/>
          <w:sz w:val="18"/>
          <w:szCs w:val="18"/>
          <w:color w:val="auto"/>
        </w:rPr>
        <w:t xml:space="preserve">. Unless otherwise agreed by the Administrative Agent, each Issuing Bank shall, in addition to its notification obligations set forth elsewhere in this Section 2.05,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Bank shall have any liability hereunder to any Person for any failure to deliver the reports contemplated by this paragraph (m) of Section 2.05.</w:t>
      </w:r>
    </w:p>
    <w:p>
      <w:pPr>
        <w:spacing w:after="0" w:line="193" w:lineRule="exact"/>
        <w:rPr>
          <w:rFonts w:ascii="Arial" w:cs="Arial" w:eastAsia="Arial" w:hAnsi="Arial"/>
          <w:sz w:val="18"/>
          <w:szCs w:val="18"/>
          <w:color w:val="auto"/>
        </w:rPr>
      </w:pPr>
    </w:p>
    <w:p>
      <w:pPr>
        <w:jc w:val="both"/>
        <w:ind w:right="60" w:firstLine="1490"/>
        <w:spacing w:after="0" w:line="255" w:lineRule="auto"/>
        <w:tabs>
          <w:tab w:leader="none" w:pos="2287"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Unless otherwise expressly agreed by the applicable Issuing Bank and the Borrower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spacing w:after="0" w:line="200"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2.06</w:t>
      </w:r>
      <w:r>
        <w:rPr>
          <w:sz w:val="20"/>
          <w:szCs w:val="20"/>
          <w:color w:val="auto"/>
        </w:rPr>
        <w:tab/>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28" w:lineRule="exact"/>
        <w:rPr>
          <w:sz w:val="20"/>
          <w:szCs w:val="20"/>
          <w:color w:val="auto"/>
        </w:rPr>
      </w:pPr>
    </w:p>
    <w:p>
      <w:pPr>
        <w:jc w:val="both"/>
        <w:ind w:right="80" w:firstLine="1490"/>
        <w:spacing w:after="0" w:line="258" w:lineRule="auto"/>
        <w:tabs>
          <w:tab w:leader="none" w:pos="228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of immediately available funds by 12:00 (noon), New York City time, to the Applicable Account of the Administrative Agent most recently designated by it for such purpose by notice to the Lenders. The Administrative Agent will make such Loans available to the Borrower by promptly crediting the amounts so received, in like funds, to an account of the Borrower designated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Revolving Loans made to finance the reimbursement of an LC Disbursement as provided in Section 2.05(f) shall be remitted by the Administrative Agent to the applicable Issuing Bank.</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00" w:top="122" w:right="479" w:bottom="1440" w:gutter="0" w:footer="0" w:header="0"/>
        </w:sectPr>
      </w:pPr>
    </w:p>
    <w:bookmarkStart w:id="243" w:name="page244"/>
    <w:bookmarkEnd w:id="243"/>
    <w:p>
      <w:pPr>
        <w:jc w:val="both"/>
        <w:ind w:firstLine="1490"/>
        <w:spacing w:after="0" w:line="256" w:lineRule="auto"/>
        <w:tabs>
          <w:tab w:leader="none" w:pos="229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2.06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 to but excluding the date of payment to the Administrative Agent, at (i) in the case of such Lender, the greater </w:t>
      </w:r>
      <w:r>
        <w:rPr>
          <w:rFonts w:ascii="Arial" w:cs="Arial" w:eastAsia="Arial" w:hAnsi="Arial"/>
          <w:sz w:val="16"/>
          <w:szCs w:val="16"/>
          <w:color w:val="auto"/>
        </w:rPr>
        <w:t>of the Federal Funds Effective Rate and a rate determined</w:t>
      </w:r>
      <w:r>
        <w:rPr>
          <w:rFonts w:ascii="Arial" w:cs="Arial" w:eastAsia="Arial" w:hAnsi="Arial"/>
          <w:sz w:val="19"/>
          <w:szCs w:val="19"/>
          <w:color w:val="auto"/>
        </w:rPr>
        <w:t xml:space="preserve"> </w:t>
      </w:r>
      <w:r>
        <w:rPr>
          <w:rFonts w:ascii="Arial" w:cs="Arial" w:eastAsia="Arial" w:hAnsi="Arial"/>
          <w:sz w:val="16"/>
          <w:szCs w:val="16"/>
          <w:color w:val="auto"/>
        </w:rPr>
        <w:t>by the Administrative Agent in accordance with banking industry rules on interbank compensation, or (ii) in the case of the Borrower, the interest rate applicable to such Borrowing in accordance with Section 2.13. If such Lender pays such amount to the Administrative Agent, then such amount shall constitute such Lender’s Loan included in such Borrowing.</w:t>
      </w:r>
    </w:p>
    <w:p>
      <w:pPr>
        <w:spacing w:after="0" w:line="210" w:lineRule="exact"/>
        <w:rPr>
          <w:rFonts w:ascii="Arial" w:cs="Arial" w:eastAsia="Arial" w:hAnsi="Arial"/>
          <w:sz w:val="19"/>
          <w:szCs w:val="19"/>
          <w:color w:val="auto"/>
        </w:rPr>
      </w:pPr>
    </w:p>
    <w:p>
      <w:pPr>
        <w:jc w:val="both"/>
        <w:ind w:right="60" w:firstLine="1490"/>
        <w:spacing w:after="0" w:line="278" w:lineRule="auto"/>
        <w:tabs>
          <w:tab w:leader="none" w:pos="228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obligations of the Lenders hereunder to make Term Loans and Revolving Loans, to fund participations in Letters of Credit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77" w:lineRule="exact"/>
        <w:rPr>
          <w:sz w:val="20"/>
          <w:szCs w:val="20"/>
          <w:color w:val="auto"/>
        </w:rPr>
      </w:pPr>
    </w:p>
    <w:p>
      <w:pPr>
        <w:jc w:val="center"/>
        <w:ind w:right="-339"/>
        <w:spacing w:after="0"/>
        <w:tabs>
          <w:tab w:leader="none" w:pos="340" w:val="left"/>
        </w:tabs>
        <w:rPr>
          <w:sz w:val="20"/>
          <w:szCs w:val="20"/>
          <w:color w:val="auto"/>
        </w:rPr>
      </w:pPr>
      <w:r>
        <w:rPr>
          <w:rFonts w:ascii="Arial" w:cs="Arial" w:eastAsia="Arial" w:hAnsi="Arial"/>
          <w:sz w:val="20"/>
          <w:szCs w:val="20"/>
          <w:color w:val="010000"/>
        </w:rPr>
        <w:t>SECTION 2.07</w:t>
      </w:r>
      <w:r>
        <w:rPr>
          <w:sz w:val="20"/>
          <w:szCs w:val="20"/>
          <w:color w:val="auto"/>
        </w:rPr>
        <w:tab/>
      </w:r>
      <w:r>
        <w:rPr>
          <w:rFonts w:ascii="Arial" w:cs="Arial" w:eastAsia="Arial" w:hAnsi="Arial"/>
          <w:sz w:val="16"/>
          <w:szCs w:val="16"/>
          <w:u w:val="single" w:color="auto"/>
          <w:color w:val="auto"/>
        </w:rPr>
        <w:t>Interest Elections</w:t>
      </w:r>
      <w:r>
        <w:rPr>
          <w:rFonts w:ascii="Arial" w:cs="Arial" w:eastAsia="Arial" w:hAnsi="Arial"/>
          <w:sz w:val="16"/>
          <w:szCs w:val="16"/>
          <w:color w:val="auto"/>
        </w:rPr>
        <w:t>.</w:t>
      </w:r>
    </w:p>
    <w:p>
      <w:pPr>
        <w:spacing w:after="0" w:line="228" w:lineRule="exact"/>
        <w:rPr>
          <w:sz w:val="20"/>
          <w:szCs w:val="20"/>
          <w:color w:val="auto"/>
        </w:rPr>
      </w:pPr>
    </w:p>
    <w:p>
      <w:pPr>
        <w:jc w:val="both"/>
        <w:ind w:right="20" w:firstLine="1490"/>
        <w:spacing w:after="0" w:line="272" w:lineRule="auto"/>
        <w:tabs>
          <w:tab w:leader="none" w:pos="223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Each Revolving Borrowing of the applicable Class and each Term Borrowing initially shall be of the Type specified in the applicable Borrowing Request or designated by Section 2.03 and, in the case of a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Borrowing, shall have an initial Interest Period as specified in such Borrowing Request or designated by Section 2.03. Thereafter, the Borrower may elect to convert such Borrowing to a different Type or to continue such Borrowing and, in the case of a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Borrowing, may elect Interest Periods therefor, all as provided in this Section 2.07;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herein, no Loan may be converted into or continued as a Loan denominated in a different currency but instead must be prepaid in the original currency of such Loan and reborrowed in the other currency.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1" w:lineRule="exact"/>
        <w:rPr>
          <w:rFonts w:ascii="Arial" w:cs="Arial" w:eastAsia="Arial" w:hAnsi="Arial"/>
          <w:sz w:val="18"/>
          <w:szCs w:val="18"/>
          <w:color w:val="auto"/>
        </w:rPr>
      </w:pPr>
    </w:p>
    <w:p>
      <w:pPr>
        <w:jc w:val="both"/>
        <w:ind w:right="20" w:firstLine="1467"/>
        <w:spacing w:after="0" w:line="260" w:lineRule="auto"/>
        <w:tabs>
          <w:tab w:leader="none" w:pos="2213"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To make an election pursuant to this Section, the Borrower shall notify the Administrative Agent of such election by telephone by the time that a Revolving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Administrative Agent of a written Interest Election Request signed by the Borrower.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44" w:name="page245"/>
    <w:bookmarkEnd w:id="244"/>
    <w:p>
      <w:pPr>
        <w:ind w:left="2220" w:hanging="730"/>
        <w:spacing w:after="0"/>
        <w:tabs>
          <w:tab w:leader="none" w:pos="2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Each telephonic and written Interest Election Request shall specify the following information in compliance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with Section 2.03:</w:t>
      </w:r>
    </w:p>
    <w:p>
      <w:pPr>
        <w:spacing w:after="0" w:line="212" w:lineRule="exact"/>
        <w:rPr>
          <w:sz w:val="20"/>
          <w:szCs w:val="20"/>
          <w:color w:val="auto"/>
        </w:rPr>
      </w:pPr>
    </w:p>
    <w:p>
      <w:pPr>
        <w:jc w:val="both"/>
        <w:ind w:left="1480" w:right="60" w:firstLine="1507"/>
        <w:spacing w:after="0" w:line="246" w:lineRule="auto"/>
        <w:tabs>
          <w:tab w:leader="none" w:pos="3996" w:val="left"/>
        </w:tabs>
        <w:numPr>
          <w:ilvl w:val="0"/>
          <w:numId w:val="169"/>
        </w:numPr>
        <w:rPr>
          <w:rFonts w:ascii="Arial" w:cs="Arial" w:eastAsia="Arial" w:hAnsi="Arial"/>
          <w:sz w:val="20"/>
          <w:szCs w:val="20"/>
          <w:color w:val="010000"/>
        </w:rPr>
      </w:pPr>
      <w:r>
        <w:rPr>
          <w:rFonts w:ascii="Arial" w:cs="Arial" w:eastAsia="Arial" w:hAnsi="Arial"/>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203" w:lineRule="exact"/>
        <w:rPr>
          <w:rFonts w:ascii="Arial" w:cs="Arial" w:eastAsia="Arial" w:hAnsi="Arial"/>
          <w:sz w:val="20"/>
          <w:szCs w:val="20"/>
          <w:color w:val="010000"/>
        </w:rPr>
      </w:pPr>
    </w:p>
    <w:p>
      <w:pPr>
        <w:ind w:left="4000" w:hanging="1013"/>
        <w:spacing w:after="0"/>
        <w:tabs>
          <w:tab w:leader="none" w:pos="4000" w:val="left"/>
        </w:tabs>
        <w:numPr>
          <w:ilvl w:val="0"/>
          <w:numId w:val="169"/>
        </w:numPr>
        <w:rPr>
          <w:rFonts w:ascii="Arial" w:cs="Arial" w:eastAsia="Arial" w:hAnsi="Arial"/>
          <w:sz w:val="19"/>
          <w:szCs w:val="19"/>
          <w:color w:val="010000"/>
        </w:rPr>
      </w:pPr>
      <w:r>
        <w:rPr>
          <w:rFonts w:ascii="Arial" w:cs="Arial" w:eastAsia="Arial" w:hAnsi="Arial"/>
          <w:sz w:val="19"/>
          <w:szCs w:val="19"/>
          <w:color w:val="auto"/>
        </w:rPr>
        <w:t>the effective date of the election made pursuant to such Interest Election Request,</w:t>
      </w:r>
    </w:p>
    <w:p>
      <w:pPr>
        <w:spacing w:after="0" w:line="26" w:lineRule="exact"/>
        <w:rPr>
          <w:rFonts w:ascii="Arial" w:cs="Arial" w:eastAsia="Arial" w:hAnsi="Arial"/>
          <w:sz w:val="19"/>
          <w:szCs w:val="19"/>
          <w:color w:val="010000"/>
        </w:rPr>
      </w:pPr>
    </w:p>
    <w:p>
      <w:pPr>
        <w:ind w:left="1480"/>
        <w:spacing w:after="0"/>
        <w:rPr>
          <w:rFonts w:ascii="Arial" w:cs="Arial" w:eastAsia="Arial" w:hAnsi="Arial"/>
          <w:sz w:val="19"/>
          <w:szCs w:val="19"/>
          <w:color w:val="010000"/>
        </w:rPr>
      </w:pPr>
      <w:r>
        <w:rPr>
          <w:rFonts w:ascii="Arial" w:cs="Arial" w:eastAsia="Arial" w:hAnsi="Arial"/>
          <w:sz w:val="20"/>
          <w:szCs w:val="20"/>
          <w:color w:val="auto"/>
        </w:rPr>
        <w:t>which shall be a Business Day;</w:t>
      </w:r>
    </w:p>
    <w:p>
      <w:pPr>
        <w:spacing w:after="0" w:line="185" w:lineRule="exact"/>
        <w:rPr>
          <w:rFonts w:ascii="Arial" w:cs="Arial" w:eastAsia="Arial" w:hAnsi="Arial"/>
          <w:sz w:val="19"/>
          <w:szCs w:val="19"/>
          <w:color w:val="010000"/>
        </w:rPr>
      </w:pPr>
    </w:p>
    <w:p>
      <w:pPr>
        <w:ind w:left="3740" w:hanging="753"/>
        <w:spacing w:after="0"/>
        <w:tabs>
          <w:tab w:leader="none" w:pos="3740" w:val="left"/>
        </w:tabs>
        <w:numPr>
          <w:ilvl w:val="0"/>
          <w:numId w:val="169"/>
        </w:numPr>
        <w:rPr>
          <w:rFonts w:ascii="Arial" w:cs="Arial" w:eastAsia="Arial" w:hAnsi="Arial"/>
          <w:sz w:val="20"/>
          <w:szCs w:val="20"/>
          <w:color w:val="010000"/>
        </w:rPr>
      </w:pPr>
      <w:r>
        <w:rPr>
          <w:rFonts w:ascii="Arial" w:cs="Arial" w:eastAsia="Arial" w:hAnsi="Arial"/>
          <w:sz w:val="20"/>
          <w:szCs w:val="20"/>
          <w:color w:val="auto"/>
        </w:rPr>
        <w:t>whether the resulting Borrowing is to be an ABR Borrowing or a</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b w:val="1"/>
          <w:bCs w:val="1"/>
          <w:color w:val="FF0000"/>
        </w:rPr>
        <w:t xml:space="preserve"> </w:t>
      </w:r>
      <w:r>
        <w:rPr>
          <w:rFonts w:ascii="Arial" w:cs="Arial" w:eastAsia="Arial" w:hAnsi="Arial"/>
          <w:sz w:val="20"/>
          <w:szCs w:val="20"/>
          <w:color w:val="000000"/>
        </w:rPr>
        <w:t>Borrowing; and</w:t>
      </w:r>
    </w:p>
    <w:p>
      <w:pPr>
        <w:spacing w:after="0" w:line="206" w:lineRule="exact"/>
        <w:rPr>
          <w:sz w:val="20"/>
          <w:szCs w:val="20"/>
          <w:color w:val="auto"/>
        </w:rPr>
      </w:pPr>
    </w:p>
    <w:p>
      <w:pPr>
        <w:jc w:val="both"/>
        <w:ind w:left="1480" w:right="60" w:firstLine="1507"/>
        <w:spacing w:after="0" w:line="252" w:lineRule="auto"/>
        <w:tabs>
          <w:tab w:leader="none" w:pos="3996" w:val="left"/>
        </w:tabs>
        <w:numPr>
          <w:ilvl w:val="0"/>
          <w:numId w:val="170"/>
        </w:numPr>
        <w:rPr>
          <w:rFonts w:ascii="Arial" w:cs="Arial" w:eastAsia="Arial" w:hAnsi="Arial"/>
          <w:sz w:val="20"/>
          <w:szCs w:val="20"/>
          <w:color w:val="010000"/>
        </w:rPr>
      </w:pPr>
      <w:r>
        <w:rPr>
          <w:rFonts w:ascii="Arial" w:cs="Arial" w:eastAsia="Arial" w:hAnsi="Arial"/>
          <w:sz w:val="20"/>
          <w:szCs w:val="20"/>
          <w:color w:val="auto"/>
        </w:rPr>
        <w:t xml:space="preserve">if the resulting Borrowing is to be a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Borrowing, the Interest Period to be applicable thereto after giving effect to such election, which shall be a period contemplated by the definition of the term “Interest Period.”</w:t>
      </w:r>
    </w:p>
    <w:p>
      <w:pPr>
        <w:spacing w:after="0" w:line="192" w:lineRule="exact"/>
        <w:rPr>
          <w:sz w:val="20"/>
          <w:szCs w:val="20"/>
          <w:color w:val="auto"/>
        </w:rPr>
      </w:pPr>
    </w:p>
    <w:p>
      <w:pPr>
        <w:ind w:right="60"/>
        <w:spacing w:after="0" w:line="266" w:lineRule="auto"/>
        <w:rPr>
          <w:sz w:val="20"/>
          <w:szCs w:val="20"/>
          <w:color w:val="auto"/>
        </w:rPr>
      </w:pPr>
      <w:r>
        <w:rPr>
          <w:rFonts w:ascii="Arial" w:cs="Arial" w:eastAsia="Arial" w:hAnsi="Arial"/>
          <w:sz w:val="20"/>
          <w:szCs w:val="20"/>
          <w:color w:val="auto"/>
        </w:rPr>
        <w:t xml:space="preserve">If any such Interest Election Request requests a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Borrowing but does not specify an Interest Period, then the Borrower shall be deemed to have selected an Interest Period of one month’s duration.</w:t>
      </w:r>
    </w:p>
    <w:p>
      <w:pPr>
        <w:spacing w:after="0" w:line="184" w:lineRule="exact"/>
        <w:rPr>
          <w:sz w:val="20"/>
          <w:szCs w:val="20"/>
          <w:color w:val="auto"/>
        </w:rPr>
      </w:pPr>
    </w:p>
    <w:p>
      <w:pPr>
        <w:jc w:val="both"/>
        <w:ind w:firstLine="1467"/>
        <w:spacing w:after="0" w:line="249" w:lineRule="auto"/>
        <w:tabs>
          <w:tab w:leader="none" w:pos="221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in accordance with this Section 2.07, the Administrative Agent shall advise each Lender of the applicable Class of the details thereof and of such Lender’s portion of each resulting Borrowing.</w:t>
      </w:r>
    </w:p>
    <w:p>
      <w:pPr>
        <w:spacing w:after="0" w:line="208" w:lineRule="exact"/>
        <w:rPr>
          <w:rFonts w:ascii="Arial" w:cs="Arial" w:eastAsia="Arial" w:hAnsi="Arial"/>
          <w:sz w:val="20"/>
          <w:szCs w:val="20"/>
          <w:color w:val="auto"/>
        </w:rPr>
      </w:pPr>
    </w:p>
    <w:p>
      <w:pPr>
        <w:jc w:val="both"/>
        <w:ind w:right="40" w:firstLine="1490"/>
        <w:spacing w:after="0" w:line="260" w:lineRule="auto"/>
        <w:tabs>
          <w:tab w:leader="none" w:pos="2232" w:val="left"/>
        </w:tabs>
        <w:numPr>
          <w:ilvl w:val="1"/>
          <w:numId w:val="171"/>
        </w:numPr>
        <w:rPr>
          <w:rFonts w:ascii="Arial" w:cs="Arial" w:eastAsia="Arial" w:hAnsi="Arial"/>
          <w:sz w:val="19"/>
          <w:szCs w:val="19"/>
          <w:color w:val="auto"/>
        </w:rPr>
      </w:pPr>
      <w:r>
        <w:rPr>
          <w:rFonts w:ascii="Arial" w:cs="Arial" w:eastAsia="Arial" w:hAnsi="Arial"/>
          <w:sz w:val="19"/>
          <w:szCs w:val="19"/>
          <w:color w:val="auto"/>
        </w:rPr>
        <w:t xml:space="preserve">If the Borrower fails to deliver a timely Interest Election Request with respect to a </w:t>
      </w:r>
      <w:r>
        <w:rPr>
          <w:rFonts w:ascii="Arial" w:cs="Arial" w:eastAsia="Arial" w:hAnsi="Arial"/>
          <w:sz w:val="19"/>
          <w:szCs w:val="19"/>
          <w:b w:val="1"/>
          <w:bCs w:val="1"/>
          <w:color w:val="FF0000"/>
          <w:strike w:val="1"/>
        </w:rPr>
        <w:t>Eurodollar</w:t>
      </w:r>
      <w:r>
        <w:rPr>
          <w:rFonts w:ascii="Arial" w:cs="Arial" w:eastAsia="Arial" w:hAnsi="Arial"/>
          <w:sz w:val="19"/>
          <w:szCs w:val="19"/>
          <w:b w:val="1"/>
          <w:bCs w:val="1"/>
          <w:u w:val="single" w:color="auto"/>
          <w:color w:val="0000FF"/>
        </w:rPr>
        <w:t>SOFR</w:t>
      </w:r>
      <w:r>
        <w:rPr>
          <w:rFonts w:ascii="Arial" w:cs="Arial" w:eastAsia="Arial" w:hAnsi="Arial"/>
          <w:sz w:val="19"/>
          <w:szCs w:val="19"/>
          <w:color w:val="auto"/>
        </w:rPr>
        <w:t xml:space="preserve"> Borrowing prior to the end of the Interest Period applicable thereto, then, unless such Borrowing is repaid, at the end of such Interest Period such Borrowing, shall be continued as a </w:t>
      </w:r>
      <w:r>
        <w:rPr>
          <w:rFonts w:ascii="Arial" w:cs="Arial" w:eastAsia="Arial" w:hAnsi="Arial"/>
          <w:sz w:val="19"/>
          <w:szCs w:val="19"/>
          <w:b w:val="1"/>
          <w:bCs w:val="1"/>
          <w:color w:val="FF0000"/>
          <w:strike w:val="1"/>
        </w:rPr>
        <w:t>Eurodollar</w:t>
      </w:r>
      <w:r>
        <w:rPr>
          <w:rFonts w:ascii="Arial" w:cs="Arial" w:eastAsia="Arial" w:hAnsi="Arial"/>
          <w:sz w:val="19"/>
          <w:szCs w:val="19"/>
          <w:b w:val="1"/>
          <w:bCs w:val="1"/>
          <w:u w:val="single" w:color="auto"/>
          <w:color w:val="0000FF"/>
        </w:rPr>
        <w:t>SOFR</w:t>
      </w:r>
      <w:r>
        <w:rPr>
          <w:rFonts w:ascii="Arial" w:cs="Arial" w:eastAsia="Arial" w:hAnsi="Arial"/>
          <w:sz w:val="19"/>
          <w:szCs w:val="19"/>
          <w:color w:val="auto"/>
        </w:rPr>
        <w:t xml:space="preserve"> Borrowing of one month. Notwithstanding any contrary provision hereof, if an Event of Default has occurred and is continuing and the Administrative Agent, at the request of the Required Lenders, so notifies the Borrower, then, so long as an Event of Default is continuing no outstanding Borrowing may be converted to or continued as a </w:t>
      </w:r>
      <w:r>
        <w:rPr>
          <w:rFonts w:ascii="Arial" w:cs="Arial" w:eastAsia="Arial" w:hAnsi="Arial"/>
          <w:sz w:val="19"/>
          <w:szCs w:val="19"/>
          <w:b w:val="1"/>
          <w:bCs w:val="1"/>
          <w:color w:val="FF0000"/>
          <w:strike w:val="1"/>
        </w:rPr>
        <w:t>Eurodollar</w:t>
      </w:r>
      <w:r>
        <w:rPr>
          <w:rFonts w:ascii="Arial" w:cs="Arial" w:eastAsia="Arial" w:hAnsi="Arial"/>
          <w:sz w:val="19"/>
          <w:szCs w:val="19"/>
          <w:b w:val="1"/>
          <w:bCs w:val="1"/>
          <w:u w:val="single" w:color="auto"/>
          <w:color w:val="0000FF"/>
        </w:rPr>
        <w:t>SOFR</w:t>
      </w:r>
      <w:r>
        <w:rPr>
          <w:rFonts w:ascii="Arial" w:cs="Arial" w:eastAsia="Arial" w:hAnsi="Arial"/>
          <w:sz w:val="19"/>
          <w:szCs w:val="19"/>
          <w:color w:val="auto"/>
        </w:rPr>
        <w:t xml:space="preserve"> Borrowing in excess of one month.</w:t>
      </w:r>
    </w:p>
    <w:p>
      <w:pPr>
        <w:spacing w:after="0" w:line="190" w:lineRule="exact"/>
        <w:rPr>
          <w:sz w:val="20"/>
          <w:szCs w:val="20"/>
          <w:color w:val="auto"/>
        </w:rPr>
      </w:pPr>
    </w:p>
    <w:p>
      <w:pPr>
        <w:ind w:left="4120"/>
        <w:spacing w:after="0"/>
        <w:tabs>
          <w:tab w:leader="none" w:pos="5680" w:val="left"/>
          <w:tab w:leader="none" w:pos="6860" w:val="left"/>
          <w:tab w:leader="none" w:pos="8440" w:val="left"/>
        </w:tabs>
        <w:rPr>
          <w:sz w:val="20"/>
          <w:szCs w:val="20"/>
          <w:color w:val="auto"/>
        </w:rPr>
      </w:pPr>
      <w:r>
        <w:rPr>
          <w:rFonts w:ascii="Arial" w:cs="Arial" w:eastAsia="Arial" w:hAnsi="Arial"/>
          <w:sz w:val="20"/>
          <w:szCs w:val="20"/>
          <w:color w:val="010000"/>
        </w:rPr>
        <w:t>SECTION 2.08</w:t>
      </w:r>
      <w:r>
        <w:rPr>
          <w:sz w:val="20"/>
          <w:szCs w:val="20"/>
          <w:color w:val="auto"/>
        </w:rPr>
        <w:tab/>
      </w:r>
      <w:r>
        <w:rPr>
          <w:rFonts w:ascii="Arial" w:cs="Arial" w:eastAsia="Arial" w:hAnsi="Arial"/>
          <w:sz w:val="20"/>
          <w:szCs w:val="20"/>
          <w:color w:val="auto"/>
        </w:rPr>
        <w:t>Termination</w:t>
        <w:tab/>
        <w:t>and Reduction</w:t>
      </w:r>
      <w:r>
        <w:rPr>
          <w:sz w:val="20"/>
          <w:szCs w:val="20"/>
          <w:color w:val="auto"/>
        </w:rPr>
        <w:tab/>
      </w:r>
      <w:r>
        <w:rPr>
          <w:rFonts w:ascii="Arial" w:cs="Arial" w:eastAsia="Arial" w:hAnsi="Arial"/>
          <w:sz w:val="20"/>
          <w:szCs w:val="20"/>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-14605</wp:posOffset>
            </wp:positionV>
            <wp:extent cx="186118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86">
                      <a:extLst>
                        <a:ext uri="{28A0092B-C50C-407E-A947-70E740481C1C}"/>
                      </a:extLst>
                    </a:blip>
                    <a:srcRect/>
                    <a:stretch>
                      <a:fillRect/>
                    </a:stretch>
                  </pic:blipFill>
                  <pic:spPr bwMode="auto">
                    <a:xfrm>
                      <a:off x="0" y="0"/>
                      <a:ext cx="1861185" cy="8255"/>
                    </a:xfrm>
                    <a:prstGeom prst="rect">
                      <a:avLst/>
                    </a:prstGeom>
                    <a:noFill/>
                  </pic:spPr>
                </pic:pic>
              </a:graphicData>
            </a:graphic>
          </wp:anchor>
        </w:drawing>
      </w:r>
    </w:p>
    <w:p>
      <w:pPr>
        <w:ind w:left="2620"/>
        <w:spacing w:after="0"/>
        <w:rPr>
          <w:sz w:val="20"/>
          <w:szCs w:val="20"/>
          <w:color w:val="auto"/>
        </w:rPr>
      </w:pPr>
      <w:r>
        <w:rPr>
          <w:rFonts w:ascii="Arial" w:cs="Arial" w:eastAsia="Arial" w:hAnsi="Arial"/>
          <w:sz w:val="20"/>
          <w:szCs w:val="20"/>
          <w:u w:val="single" w:color="auto"/>
          <w:color w:val="auto"/>
        </w:rPr>
        <w:t>Commitments</w:t>
      </w:r>
      <w:r>
        <w:rPr>
          <w:rFonts w:ascii="Arial" w:cs="Arial" w:eastAsia="Arial" w:hAnsi="Arial"/>
          <w:sz w:val="20"/>
          <w:szCs w:val="20"/>
          <w:color w:val="auto"/>
        </w:rPr>
        <w:t>.</w:t>
      </w:r>
    </w:p>
    <w:p>
      <w:pPr>
        <w:spacing w:after="0" w:line="212" w:lineRule="exact"/>
        <w:rPr>
          <w:sz w:val="20"/>
          <w:szCs w:val="20"/>
          <w:color w:val="auto"/>
        </w:rPr>
      </w:pPr>
    </w:p>
    <w:p>
      <w:pPr>
        <w:ind w:right="60" w:firstLine="1490"/>
        <w:spacing w:after="0" w:line="260" w:lineRule="auto"/>
        <w:tabs>
          <w:tab w:leader="none" w:pos="2286" w:val="left"/>
        </w:tabs>
        <w:numPr>
          <w:ilvl w:val="0"/>
          <w:numId w:val="172"/>
        </w:numPr>
        <w:rPr>
          <w:rFonts w:ascii="Arial" w:cs="Arial" w:eastAsia="Arial" w:hAnsi="Arial"/>
          <w:sz w:val="20"/>
          <w:szCs w:val="20"/>
          <w:color w:val="auto"/>
        </w:rPr>
      </w:pPr>
      <w:r>
        <w:rPr>
          <w:rFonts w:ascii="Arial" w:cs="Arial" w:eastAsia="Arial" w:hAnsi="Arial"/>
          <w:sz w:val="20"/>
          <w:szCs w:val="20"/>
          <w:color w:val="auto"/>
        </w:rPr>
        <w:t>Unless previously terminated, (i) the Term Commitments shall terminate at 5:00 p.m., New York City time, on the Effective Date and (ii) the Revolving Commitments shall terminate on the Revolving Maturity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45" w:name="page246"/>
    <w:bookmarkEnd w:id="245"/>
    <w:p>
      <w:pPr>
        <w:jc w:val="both"/>
        <w:ind w:left="-20" w:right="20" w:firstLine="1490"/>
        <w:spacing w:after="0" w:line="273" w:lineRule="auto"/>
        <w:tabs>
          <w:tab w:leader="none" w:pos="226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Commitments of any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of any Class shall be in an amount that is an integral multiple of $500,000 and not less than $500,000 unless such amount represents all of the remaining Commitments of such Class, (ii) the Borrower shall not terminate or reduce the Revolving Commitments if, after giving effect to any concurrent prepayment of the Revolving Loans in accordance with Section 2.11, the aggregate Revolving Exposures would exceed the aggregate Revolving Commitments and (iii) if, after giving effect to any reduction of the Revolving Commitments, the Letter of Credit Sublimit exceeds the amount of the Revolving Commitments, such sublimit shall be automatically reduced by the amount of such excess. Except as provided above, the amount of any such Commitment reduction shall not be applied to the Letter of Credit Sublimit unless otherwise specified by the Borrower.</w:t>
      </w:r>
    </w:p>
    <w:p>
      <w:pPr>
        <w:spacing w:after="0" w:line="180" w:lineRule="exact"/>
        <w:rPr>
          <w:rFonts w:ascii="Arial" w:cs="Arial" w:eastAsia="Arial" w:hAnsi="Arial"/>
          <w:sz w:val="18"/>
          <w:szCs w:val="18"/>
          <w:color w:val="auto"/>
        </w:rPr>
      </w:pPr>
    </w:p>
    <w:p>
      <w:pPr>
        <w:jc w:val="both"/>
        <w:ind w:left="-20" w:firstLine="1490"/>
        <w:spacing w:after="0" w:line="269" w:lineRule="auto"/>
        <w:tabs>
          <w:tab w:leader="none" w:pos="226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Commitments under paragraph (b) of this Section 2.08 at least one (1)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2.08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Revolving Commitments delivered by the Borrower may state that such notice is conditioned upon the effectiveness of any credit facilities or the receipt of the proceeds from the issuance of other Indebtedness or the occurrence of some other identifiable and specified event or condition, in which case such notice may be revoked or extended by the Borrower (by notice to the Administrative Agent on or prior to the specified effective date of termination) if such condition is not satisfied. The Administrative Agent will promptly notify the Appropriate Lenders of any termination or reduction of unused portions of the Letter of Credit Sublimit or the unused Commitments of any Class under this Section 2.08. Any termination or reduction of the Commitments of any Class shall be permanent. Each reduction of (x) the Commitments of any Class shall be made ratably among the Lenders in accordance with their respective Commitments of such Class and (y) the Revolving Commitments shall be made to any Class of Revolving Commitment as directed by the Borrower (including to any Class of existing or extended Revolving Commitments).</w:t>
      </w:r>
    </w:p>
    <w:p>
      <w:pPr>
        <w:spacing w:after="0" w:line="193" w:lineRule="exact"/>
        <w:rPr>
          <w:sz w:val="20"/>
          <w:szCs w:val="20"/>
          <w:color w:val="auto"/>
        </w:rPr>
      </w:pPr>
    </w:p>
    <w:p>
      <w:pPr>
        <w:ind w:left="4100"/>
        <w:spacing w:after="0"/>
        <w:tabs>
          <w:tab w:leader="none" w:pos="5660" w:val="left"/>
        </w:tabs>
        <w:rPr>
          <w:sz w:val="20"/>
          <w:szCs w:val="20"/>
          <w:color w:val="auto"/>
        </w:rPr>
      </w:pPr>
      <w:r>
        <w:rPr>
          <w:rFonts w:ascii="Arial" w:cs="Arial" w:eastAsia="Arial" w:hAnsi="Arial"/>
          <w:sz w:val="20"/>
          <w:szCs w:val="20"/>
          <w:color w:val="010000"/>
        </w:rPr>
        <w:t>SECTION 2.09</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8" w:lineRule="exact"/>
        <w:rPr>
          <w:sz w:val="20"/>
          <w:szCs w:val="20"/>
          <w:color w:val="auto"/>
        </w:rPr>
      </w:pPr>
    </w:p>
    <w:p>
      <w:pPr>
        <w:jc w:val="both"/>
        <w:ind w:left="-20" w:right="20" w:firstLine="1490"/>
        <w:spacing w:after="0" w:line="246" w:lineRule="auto"/>
        <w:tabs>
          <w:tab w:leader="none" w:pos="226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Borrower hereby unconditionally promises to pay (i) to the Administrative Agent for the account of each Lender the then unpaid principal amount of each Revolving Loan of such Lender on the Revolving Maturity Date and (ii) to the Administrative Agent for the account of each Lender the then unpaid principal amount of each Term Loan of such Lender as provided in Section 2.10.</w:t>
      </w:r>
    </w:p>
    <w:p>
      <w:pPr>
        <w:spacing w:after="0" w:line="176" w:lineRule="exact"/>
        <w:rPr>
          <w:rFonts w:ascii="Arial" w:cs="Arial" w:eastAsia="Arial" w:hAnsi="Arial"/>
          <w:sz w:val="20"/>
          <w:szCs w:val="20"/>
          <w:color w:val="auto"/>
        </w:rPr>
      </w:pPr>
    </w:p>
    <w:p>
      <w:pPr>
        <w:ind w:left="2260" w:hanging="790"/>
        <w:spacing w:after="0"/>
        <w:tabs>
          <w:tab w:leader="none" w:pos="226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[Reserved].</w:t>
      </w:r>
    </w:p>
    <w:p>
      <w:pPr>
        <w:spacing w:after="0" w:line="228" w:lineRule="exact"/>
        <w:rPr>
          <w:rFonts w:ascii="Arial" w:cs="Arial" w:eastAsia="Arial" w:hAnsi="Arial"/>
          <w:sz w:val="20"/>
          <w:szCs w:val="20"/>
          <w:color w:val="auto"/>
        </w:rPr>
      </w:pPr>
    </w:p>
    <w:p>
      <w:pPr>
        <w:jc w:val="both"/>
        <w:ind w:left="-20" w:right="20" w:firstLine="1490"/>
        <w:spacing w:after="0" w:line="246" w:lineRule="auto"/>
        <w:tabs>
          <w:tab w:leader="none" w:pos="226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and the amount of any purchases and sales by such Lender of participations in Letters of Credit.</w:t>
      </w:r>
    </w:p>
    <w:p>
      <w:pPr>
        <w:spacing w:after="0" w:line="203" w:lineRule="exact"/>
        <w:rPr>
          <w:rFonts w:ascii="Arial" w:cs="Arial" w:eastAsia="Arial" w:hAnsi="Arial"/>
          <w:sz w:val="20"/>
          <w:szCs w:val="20"/>
          <w:color w:val="auto"/>
        </w:rPr>
      </w:pPr>
    </w:p>
    <w:p>
      <w:pPr>
        <w:jc w:val="both"/>
        <w:ind w:left="-20" w:firstLine="1490"/>
        <w:spacing w:after="0" w:line="260" w:lineRule="auto"/>
        <w:tabs>
          <w:tab w:leader="none" w:pos="2267"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Administrative Agent shall, in connection with the maintenance of the Register in accordance with Section 9.04(b)(iv),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20" w:top="122" w:right="539" w:bottom="1440" w:gutter="0" w:footer="0" w:header="0"/>
        </w:sectPr>
      </w:pPr>
    </w:p>
    <w:bookmarkStart w:id="246" w:name="page247"/>
    <w:bookmarkEnd w:id="246"/>
    <w:p>
      <w:pPr>
        <w:jc w:val="both"/>
        <w:ind w:firstLine="1467"/>
        <w:spacing w:after="0" w:line="259" w:lineRule="auto"/>
        <w:tabs>
          <w:tab w:leader="none" w:pos="226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The entries made in the accounts maintained pursuant to paragraph (d) of this Section 2.09 shall be </w:t>
      </w:r>
      <w:r>
        <w:rPr>
          <w:rFonts w:ascii="Arial" w:cs="Arial" w:eastAsia="Arial" w:hAnsi="Arial"/>
          <w:sz w:val="19"/>
          <w:szCs w:val="19"/>
          <w:u w:val="single" w:color="auto"/>
          <w:color w:val="auto"/>
        </w:rPr>
        <w:t>prima</w:t>
      </w:r>
      <w:r>
        <w:rPr>
          <w:rFonts w:ascii="Arial" w:cs="Arial" w:eastAsia="Arial" w:hAnsi="Arial"/>
          <w:sz w:val="19"/>
          <w:szCs w:val="19"/>
          <w:color w:val="auto"/>
        </w:rPr>
        <w:t xml:space="preserve"> </w:t>
      </w:r>
      <w:r>
        <w:rPr>
          <w:rFonts w:ascii="Arial" w:cs="Arial" w:eastAsia="Arial" w:hAnsi="Arial"/>
          <w:sz w:val="19"/>
          <w:szCs w:val="19"/>
          <w:u w:val="single" w:color="auto"/>
          <w:color w:val="auto"/>
        </w:rPr>
        <w:t>facie</w:t>
      </w:r>
      <w:r>
        <w:rPr>
          <w:rFonts w:ascii="Arial" w:cs="Arial" w:eastAsia="Arial" w:hAnsi="Arial"/>
          <w:sz w:val="19"/>
          <w:szCs w:val="19"/>
          <w:color w:val="auto"/>
        </w:rPr>
        <w:t xml:space="preserve"> evidence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the Administrative Agent to maintain such accounts or any error therein shall not in any manner affect the obligation of the Borrower to pay any amounts due hereunder in accordance with the terms of this Agreement. In the event of any inconsistency between the accounts maintained by the Administrative Agent pursuant to Section 2.09(d) and any Lender’s records pursuant to Section 2.09(c), the accounts maintained by the Administrative Agent pursuant to Section 2.09(d) shall govern and control.</w:t>
      </w:r>
    </w:p>
    <w:p>
      <w:pPr>
        <w:spacing w:after="0" w:line="191" w:lineRule="exact"/>
        <w:rPr>
          <w:rFonts w:ascii="Arial" w:cs="Arial" w:eastAsia="Arial" w:hAnsi="Arial"/>
          <w:sz w:val="19"/>
          <w:szCs w:val="19"/>
          <w:color w:val="auto"/>
        </w:rPr>
      </w:pPr>
    </w:p>
    <w:p>
      <w:pPr>
        <w:jc w:val="both"/>
        <w:ind w:right="60" w:firstLine="1490"/>
        <w:spacing w:after="0" w:line="249" w:lineRule="auto"/>
        <w:tabs>
          <w:tab w:leader="none" w:pos="2286"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Any Lender may request through the Administrative Agent that Loans of any Class made by it be evidenced by a Note. In such event, the Borrower shall execute and deliver to such Lender a Note payable to such Lender (or, if requested by such Lender, to such Lender and its registered assigns).</w:t>
      </w:r>
    </w:p>
    <w:p>
      <w:pPr>
        <w:spacing w:after="0" w:line="215"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2.10</w:t>
      </w:r>
      <w:r>
        <w:rPr>
          <w:sz w:val="20"/>
          <w:szCs w:val="20"/>
          <w:color w:val="auto"/>
        </w:rPr>
        <w:tab/>
      </w:r>
      <w:r>
        <w:rPr>
          <w:rFonts w:ascii="Arial" w:cs="Arial" w:eastAsia="Arial" w:hAnsi="Arial"/>
          <w:sz w:val="18"/>
          <w:szCs w:val="18"/>
          <w:u w:val="single" w:color="auto"/>
          <w:color w:val="auto"/>
        </w:rPr>
        <w:t>Amortization of Term Loans</w:t>
      </w:r>
      <w:r>
        <w:rPr>
          <w:rFonts w:ascii="Arial" w:cs="Arial" w:eastAsia="Arial" w:hAnsi="Arial"/>
          <w:sz w:val="18"/>
          <w:szCs w:val="18"/>
          <w:color w:val="auto"/>
        </w:rPr>
        <w:t>.</w:t>
      </w:r>
    </w:p>
    <w:p>
      <w:pPr>
        <w:spacing w:after="0" w:line="242" w:lineRule="exact"/>
        <w:rPr>
          <w:sz w:val="20"/>
          <w:szCs w:val="20"/>
          <w:color w:val="auto"/>
        </w:rPr>
      </w:pPr>
    </w:p>
    <w:p>
      <w:pPr>
        <w:jc w:val="both"/>
        <w:ind w:firstLine="1467"/>
        <w:spacing w:after="0" w:line="278" w:lineRule="auto"/>
        <w:tabs>
          <w:tab w:leader="none" w:pos="226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Subject to adjustment pursuant to paragraph (c) of this Section 2.10, the Borrower shall repay Initial Term Loans on the last day of each March, June, September and December (commencing on September 30, 2021), an aggregate amount equal to 0.25% of the aggregate principal amount of all Initial Term Loans outstanding on the Effective Date (as such repayment amount shall be reduced as a result of the application of prepayments in accordance with the order of priority determined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date is not a Business Day, such payment shall be due on the next preceding Business Day.</w:t>
      </w:r>
    </w:p>
    <w:p>
      <w:pPr>
        <w:spacing w:after="0" w:line="176" w:lineRule="exact"/>
        <w:rPr>
          <w:rFonts w:ascii="Arial" w:cs="Arial" w:eastAsia="Arial" w:hAnsi="Arial"/>
          <w:sz w:val="18"/>
          <w:szCs w:val="18"/>
          <w:color w:val="auto"/>
        </w:rPr>
      </w:pPr>
    </w:p>
    <w:p>
      <w:pPr>
        <w:ind w:left="2260" w:hanging="793"/>
        <w:spacing w:after="0"/>
        <w:tabs>
          <w:tab w:leader="none" w:pos="226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To the extent not previously paid, all Term Loans shall be due and payable on the Term Maturity Date.</w:t>
      </w:r>
    </w:p>
    <w:p>
      <w:pPr>
        <w:spacing w:after="0" w:line="253" w:lineRule="exact"/>
        <w:rPr>
          <w:sz w:val="20"/>
          <w:szCs w:val="20"/>
          <w:color w:val="auto"/>
        </w:rPr>
      </w:pPr>
    </w:p>
    <w:p>
      <w:pPr>
        <w:jc w:val="both"/>
        <w:ind w:firstLine="1475"/>
        <w:spacing w:after="0" w:line="256" w:lineRule="auto"/>
        <w:rPr>
          <w:sz w:val="20"/>
          <w:szCs w:val="20"/>
          <w:color w:val="auto"/>
        </w:rPr>
      </w:pPr>
      <w:r>
        <w:rPr>
          <w:rFonts w:ascii="Arial" w:cs="Arial" w:eastAsia="Arial" w:hAnsi="Arial"/>
          <w:sz w:val="19"/>
          <w:szCs w:val="19"/>
          <w:color w:val="auto"/>
        </w:rPr>
        <w:t>(c) Any prepayment of a Term Borrowing of any Class (i) pursuant to Section 2.11(a) shall be applied to reduce the subsequent scheduled and outstanding repayments of the Term Borrowings of such Class to be made pursuant to this Section 2.10 as directed by the Borrower (and absent such direction in direct order of maturity) and (ii) pursuant to Section 2.11(c) or 2.11(d) shall be applied to reduce the subsequent scheduled and outstanding repayments of the Term Borrowings of such Class to be made pursuant to this Section 2.10, or, in each case except as otherwise provided in any Incremental Facility Amendment, Refinancing Amendment or Loan Modification Agreement, pursuant to the corresponding section of such Incremental Facility Amendment, Refinancing Amendment or Loan Modification Agreement, as applicable, as directed by the Borrower and, in the absence of such direction, in direct order of maturity (including any Incremental Facility).</w:t>
      </w:r>
    </w:p>
    <w:p>
      <w:pPr>
        <w:spacing w:after="0" w:line="199" w:lineRule="exact"/>
        <w:rPr>
          <w:sz w:val="20"/>
          <w:szCs w:val="20"/>
          <w:color w:val="auto"/>
        </w:rPr>
      </w:pPr>
    </w:p>
    <w:p>
      <w:pPr>
        <w:jc w:val="both"/>
        <w:ind w:firstLine="1467"/>
        <w:spacing w:after="0" w:line="274" w:lineRule="auto"/>
        <w:tabs>
          <w:tab w:leader="none" w:pos="226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Prior to any repayment of any Term Borrowings of any Class hereunder, the Borrower shall select the Borrowing or Borrowings of the applicable Class to be repaid and shall notify the Administrative Agent by telephone (confirmed by hand delivery or facsimile) of such election not later than 2:00 p.m., New York City time, one (1) Business Day before the scheduled date of such repayment. In the absence of a designation by the Borrower as described in the preceding sentence, the Administrative Agent shall make such designation in its reasonable discretion with a view, but no obligation, to minimize breakage costs owing under Section 2.16 and shall be applied in direct order of maturity. Each repayment of a Borrowing shall be applied ratably to the Loans included in the repaid Borrowing. Repayments of Term Borrowings shall be accompanied by accrued interest on the amount repaid.</w:t>
      </w:r>
    </w:p>
    <w:p>
      <w:pPr>
        <w:spacing w:after="0" w:line="180"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28" w:lineRule="exact"/>
        <w:rPr>
          <w:sz w:val="20"/>
          <w:szCs w:val="20"/>
          <w:color w:val="auto"/>
        </w:rPr>
      </w:pPr>
    </w:p>
    <w:p>
      <w:pPr>
        <w:jc w:val="both"/>
        <w:ind w:right="40" w:firstLine="1490"/>
        <w:spacing w:after="0" w:line="249" w:lineRule="auto"/>
        <w:tabs>
          <w:tab w:leader="none" w:pos="2287"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(i) The Borrower shall have the right at any time and from time to time to prepay any Borrowing in whole or in part, without premium or penalty;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event that, on or prior to the date that is six (6) months after the Effective Date, the Borrower (x) makes any prepayment of Initial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47" w:name="page248"/>
    <w:bookmarkEnd w:id="247"/>
    <w:p>
      <w:pPr>
        <w:jc w:val="both"/>
        <w:ind w:right="40"/>
        <w:spacing w:after="0" w:line="274" w:lineRule="auto"/>
        <w:rPr>
          <w:sz w:val="20"/>
          <w:szCs w:val="20"/>
          <w:color w:val="auto"/>
        </w:rPr>
      </w:pPr>
      <w:r>
        <w:rPr>
          <w:rFonts w:ascii="Arial" w:cs="Arial" w:eastAsia="Arial" w:hAnsi="Arial"/>
          <w:sz w:val="18"/>
          <w:szCs w:val="18"/>
          <w:color w:val="auto"/>
        </w:rPr>
        <w:t>Term Loans in connection with any Repricing Transaction, (y) effects any amendment of this Agreement resulting in a Repricing Transaction or (z) makes a mandatory prepayment of Initial Term Loans pursuant to Section 2.11(c) in connection with a Prepayment Event described in clause (b) of the definition of “</w:t>
      </w:r>
      <w:r>
        <w:rPr>
          <w:rFonts w:ascii="Arial" w:cs="Arial" w:eastAsia="Arial" w:hAnsi="Arial"/>
          <w:sz w:val="18"/>
          <w:szCs w:val="18"/>
          <w:u w:val="single" w:color="auto"/>
          <w:color w:val="auto"/>
        </w:rPr>
        <w:t>Prepayment Event</w:t>
      </w:r>
      <w:r>
        <w:rPr>
          <w:rFonts w:ascii="Arial" w:cs="Arial" w:eastAsia="Arial" w:hAnsi="Arial"/>
          <w:sz w:val="18"/>
          <w:szCs w:val="18"/>
          <w:color w:val="auto"/>
        </w:rPr>
        <w:t>”, in any such case, the Borrower shall pay to the Administrative Agent, for the ratable account of each of the applicable Term Lenders holding Initial Term Loans, (I) a prepayment premium of 1.00% of the principal amount of the Initial Term Loans being prepaid in connection with such Repricing Transaction and (II) in the case of clause (y), an amount equal to 1.00% of the aggregate amount of the applicable Initial Term Loans of non-consenting Lenders outstanding immediately prior to such amendment that are subject to an effective pricing reduction pursuant to such amendment.</w:t>
      </w:r>
    </w:p>
    <w:p>
      <w:pPr>
        <w:spacing w:after="0" w:line="181" w:lineRule="exact"/>
        <w:rPr>
          <w:sz w:val="20"/>
          <w:szCs w:val="20"/>
          <w:color w:val="auto"/>
        </w:rPr>
      </w:pPr>
    </w:p>
    <w:p>
      <w:pPr>
        <w:jc w:val="both"/>
        <w:ind w:left="740" w:right="60" w:firstLine="1499"/>
        <w:spacing w:after="0" w:line="249" w:lineRule="auto"/>
        <w:tabs>
          <w:tab w:leader="none" w:pos="2971" w:val="left"/>
        </w:tabs>
        <w:numPr>
          <w:ilvl w:val="1"/>
          <w:numId w:val="179"/>
        </w:numPr>
        <w:rPr>
          <w:rFonts w:ascii="Arial" w:cs="Arial" w:eastAsia="Arial" w:hAnsi="Arial"/>
          <w:sz w:val="20"/>
          <w:szCs w:val="20"/>
          <w:color w:val="010000"/>
        </w:rPr>
      </w:pPr>
      <w:r>
        <w:rPr>
          <w:rFonts w:ascii="Arial" w:cs="Arial" w:eastAsia="Arial" w:hAnsi="Arial"/>
          <w:sz w:val="20"/>
          <w:szCs w:val="20"/>
          <w:color w:val="auto"/>
        </w:rPr>
        <w:t>Notwithstanding anything in any Loan Document to the contrary, Holdings, the Borrower or any of their respective Subsidiaries may offer to prepay all or a portion of the outstanding Class of any Term Loans on the following basis:</w:t>
      </w:r>
    </w:p>
    <w:p>
      <w:pPr>
        <w:spacing w:after="0" w:line="174" w:lineRule="exact"/>
        <w:rPr>
          <w:rFonts w:ascii="Arial" w:cs="Arial" w:eastAsia="Arial" w:hAnsi="Arial"/>
          <w:sz w:val="20"/>
          <w:szCs w:val="20"/>
          <w:color w:val="010000"/>
        </w:rPr>
      </w:pPr>
    </w:p>
    <w:p>
      <w:pPr>
        <w:jc w:val="both"/>
        <w:ind w:left="1480" w:firstLine="1507"/>
        <w:spacing w:after="0" w:line="268" w:lineRule="auto"/>
        <w:tabs>
          <w:tab w:leader="none" w:pos="3714" w:val="left"/>
        </w:tabs>
        <w:numPr>
          <w:ilvl w:val="2"/>
          <w:numId w:val="179"/>
        </w:numPr>
        <w:rPr>
          <w:rFonts w:ascii="Arial" w:cs="Arial" w:eastAsia="Arial" w:hAnsi="Arial"/>
          <w:sz w:val="18"/>
          <w:szCs w:val="18"/>
          <w:color w:val="010000"/>
        </w:rPr>
      </w:pPr>
      <w:r>
        <w:rPr>
          <w:rFonts w:ascii="Arial" w:cs="Arial" w:eastAsia="Arial" w:hAnsi="Arial"/>
          <w:sz w:val="18"/>
          <w:szCs w:val="18"/>
          <w:color w:val="auto"/>
        </w:rPr>
        <w:t>Holdings, the Borrower or any of their respective Subsidiaries shall have the right to make a voluntary prepayment of Term Loans at a discount to par (such prepayment, the “</w:t>
      </w:r>
      <w:r>
        <w:rPr>
          <w:rFonts w:ascii="Arial" w:cs="Arial" w:eastAsia="Arial" w:hAnsi="Arial"/>
          <w:sz w:val="18"/>
          <w:szCs w:val="18"/>
          <w:u w:val="single" w:color="auto"/>
          <w:color w:val="auto"/>
        </w:rPr>
        <w:t>Discounted Term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Prepayment</w:t>
      </w:r>
      <w:r>
        <w:rPr>
          <w:rFonts w:ascii="Arial" w:cs="Arial" w:eastAsia="Arial" w:hAnsi="Arial"/>
          <w:sz w:val="18"/>
          <w:szCs w:val="18"/>
          <w:color w:val="auto"/>
        </w:rPr>
        <w:t xml:space="preserve">”) pursuant to a Borrower Offer of Specified Discount Prepayment, Borrower Solicitation of Discount Range Prepayment Offers or Borrower Solicitation of Discounted Prepayment Offers, in each case made in accordance with this Section 2.11(a)(ii);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Holdings, the Borrower or any of their respective Subsidiaries shall not make any Borrowing of Revolving Loans to fund any Discounted Term Loan Prepayment and</w:t>
      </w:r>
    </w:p>
    <w:p>
      <w:pPr>
        <w:spacing w:after="0" w:line="4" w:lineRule="exact"/>
        <w:rPr>
          <w:rFonts w:ascii="Arial" w:cs="Arial" w:eastAsia="Arial" w:hAnsi="Arial"/>
          <w:sz w:val="18"/>
          <w:szCs w:val="18"/>
          <w:color w:val="010000"/>
        </w:rPr>
      </w:pPr>
    </w:p>
    <w:p>
      <w:pPr>
        <w:jc w:val="both"/>
        <w:ind w:left="1480" w:firstLine="10"/>
        <w:spacing w:after="0" w:line="267" w:lineRule="auto"/>
        <w:tabs>
          <w:tab w:leader="none" w:pos="179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Holdings, the Borrower or any of their respective Subsidiaries shall not initiate any action under this Section 2.11(a)(ii) in order to make a Discounted Term Loan Prepayment unless (I) at least ten (10) Business Days shall have passed since the consummation of the most recent Discounted Term Loan Prepayment as a result of a prepayment made by Holdings, the Borrower or any of their respective Subsidiaries on the applicable Discounted Prepayment Effective Date; or (II) at least three (3) Business Days shall have passed since the date Holdings, the Borrower or any of their respective Subsidiaries were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Holdings’, the Borrower’s or any of their respective Subsidiaries’ election not to accept any Solicited Discounted Prepayment Offers and (z) each Lender participating in any Discounted Term Loan Prepayment acknowledges and agrees that in connection with such Discounted Term Loan Prepayment, (1) the Borrower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xml:space="preserve">”), (2) such Lender has independently and, without reliance on Holdings, any of its Subsidiaries, the Administrative Agent or any of their respective Affiliates, made its own analysis and determination to participate in such Discounted Term Loan Prepayment notwithstanding such Lender’s lack of knowledge of the Excluded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Excluded Information;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Term Loan that is prepaid will be automatically and irrevocably cancelled.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48" w:name="page249"/>
    <w:bookmarkEnd w:id="248"/>
    <w:p>
      <w:pPr>
        <w:jc w:val="both"/>
        <w:ind w:left="540" w:firstLine="1507"/>
        <w:spacing w:after="0" w:line="269" w:lineRule="auto"/>
        <w:tabs>
          <w:tab w:leader="none" w:pos="2771" w:val="left"/>
        </w:tabs>
        <w:numPr>
          <w:ilvl w:val="0"/>
          <w:numId w:val="181"/>
        </w:numPr>
        <w:rPr>
          <w:rFonts w:ascii="Arial" w:cs="Arial" w:eastAsia="Arial" w:hAnsi="Arial"/>
          <w:sz w:val="18"/>
          <w:szCs w:val="18"/>
          <w:color w:val="010000"/>
        </w:rPr>
      </w:pPr>
      <w:r>
        <w:rPr>
          <w:rFonts w:ascii="Arial" w:cs="Arial" w:eastAsia="Arial" w:hAnsi="Arial"/>
          <w:sz w:val="18"/>
          <w:szCs w:val="18"/>
          <w:color w:val="auto"/>
        </w:rPr>
        <w:t xml:space="preserve">(1) Subject to the proviso to subsection (A) above, Holdings, the Borrower or any of their respective Subsidiaries may from time to time offer to make a Discounted Term Loan Prepayment by providing the Auction Agent with three (3) Business Days’ notice in the form of a Specified Discount Prepayment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offer shall be made available, at the sole discretion of Holdings, the Borrower or any of their respective Subsidiaries, to each Term Lender and/or each Lender with respect to any Class of Term Loans on an individual tranche basis, (II) any such offer shall specify the aggregate principal amount offered to be prepaid (the “</w:t>
      </w:r>
      <w:r>
        <w:rPr>
          <w:rFonts w:ascii="Arial" w:cs="Arial" w:eastAsia="Arial" w:hAnsi="Arial"/>
          <w:sz w:val="18"/>
          <w:szCs w:val="18"/>
          <w:u w:val="single" w:color="auto"/>
          <w:color w:val="auto"/>
        </w:rPr>
        <w:t>Specified Discount Prepayment Amount</w:t>
      </w:r>
      <w:r>
        <w:rPr>
          <w:rFonts w:ascii="Arial" w:cs="Arial" w:eastAsia="Arial" w:hAnsi="Arial"/>
          <w:sz w:val="18"/>
          <w:szCs w:val="18"/>
          <w:color w:val="auto"/>
        </w:rPr>
        <w:t>”) with respect to each applicable tranche, the tranche or tranches of Term Loans subject to such offer and the specific percentage discount to par (the “</w:t>
      </w:r>
      <w:r>
        <w:rPr>
          <w:rFonts w:ascii="Arial" w:cs="Arial" w:eastAsia="Arial" w:hAnsi="Arial"/>
          <w:sz w:val="18"/>
          <w:szCs w:val="18"/>
          <w:u w:val="single" w:color="auto"/>
          <w:color w:val="auto"/>
        </w:rPr>
        <w:t>Specified Discount</w:t>
      </w:r>
      <w:r>
        <w:rPr>
          <w:rFonts w:ascii="Arial" w:cs="Arial" w:eastAsia="Arial" w:hAnsi="Arial"/>
          <w:sz w:val="18"/>
          <w:szCs w:val="18"/>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Arial" w:cs="Arial" w:eastAsia="Arial" w:hAnsi="Arial"/>
          <w:sz w:val="18"/>
          <w:szCs w:val="18"/>
          <w:u w:val="single" w:color="auto"/>
          <w:color w:val="auto"/>
        </w:rPr>
        <w:t>Specified Discount Prepayment Response Date</w:t>
      </w:r>
      <w:r>
        <w:rPr>
          <w:rFonts w:ascii="Arial" w:cs="Arial" w:eastAsia="Arial" w:hAnsi="Arial"/>
          <w:sz w:val="18"/>
          <w:szCs w:val="18"/>
          <w:color w:val="auto"/>
        </w:rPr>
        <w:t>”).</w:t>
      </w:r>
    </w:p>
    <w:p>
      <w:pPr>
        <w:spacing w:after="0" w:line="183" w:lineRule="exact"/>
        <w:rPr>
          <w:rFonts w:ascii="Arial" w:cs="Arial" w:eastAsia="Arial" w:hAnsi="Arial"/>
          <w:sz w:val="18"/>
          <w:szCs w:val="18"/>
          <w:color w:val="010000"/>
        </w:rPr>
      </w:pPr>
    </w:p>
    <w:p>
      <w:pPr>
        <w:jc w:val="both"/>
        <w:ind w:left="1300" w:firstLine="1496"/>
        <w:spacing w:after="0" w:line="256" w:lineRule="auto"/>
        <w:tabs>
          <w:tab w:leader="none" w:pos="3528" w:val="left"/>
        </w:tabs>
        <w:numPr>
          <w:ilvl w:val="1"/>
          <w:numId w:val="181"/>
        </w:numPr>
        <w:rPr>
          <w:rFonts w:ascii="Arial" w:cs="Arial" w:eastAsia="Arial" w:hAnsi="Arial"/>
          <w:sz w:val="19"/>
          <w:szCs w:val="19"/>
          <w:color w:val="010000"/>
        </w:rPr>
      </w:pPr>
      <w:r>
        <w:rPr>
          <w:rFonts w:ascii="Arial" w:cs="Arial" w:eastAsia="Arial" w:hAnsi="Arial"/>
          <w:sz w:val="19"/>
          <w:szCs w:val="19"/>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19"/>
          <w:szCs w:val="19"/>
          <w:u w:val="single" w:color="auto"/>
          <w:color w:val="auto"/>
        </w:rPr>
        <w:t>Discount Prepayment Accepting Lender</w:t>
      </w:r>
      <w:r>
        <w:rPr>
          <w:rFonts w:ascii="Arial" w:cs="Arial" w:eastAsia="Arial" w:hAnsi="Arial"/>
          <w:sz w:val="19"/>
          <w:szCs w:val="19"/>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275" w:lineRule="exact"/>
        <w:rPr>
          <w:rFonts w:ascii="Arial" w:cs="Arial" w:eastAsia="Arial" w:hAnsi="Arial"/>
          <w:sz w:val="19"/>
          <w:szCs w:val="19"/>
          <w:color w:val="010000"/>
        </w:rPr>
      </w:pPr>
    </w:p>
    <w:p>
      <w:pPr>
        <w:jc w:val="both"/>
        <w:ind w:left="1300" w:firstLine="1496"/>
        <w:spacing w:after="0" w:line="255" w:lineRule="auto"/>
        <w:tabs>
          <w:tab w:leader="none" w:pos="3530" w:val="left"/>
        </w:tabs>
        <w:numPr>
          <w:ilvl w:val="1"/>
          <w:numId w:val="181"/>
        </w:numPr>
        <w:rPr>
          <w:rFonts w:ascii="Arial" w:cs="Arial" w:eastAsia="Arial" w:hAnsi="Arial"/>
          <w:sz w:val="19"/>
          <w:szCs w:val="19"/>
          <w:color w:val="010000"/>
        </w:rPr>
      </w:pPr>
      <w:r>
        <w:rPr>
          <w:rFonts w:ascii="Arial" w:cs="Arial" w:eastAsia="Arial" w:hAnsi="Arial"/>
          <w:sz w:val="19"/>
          <w:szCs w:val="19"/>
          <w:color w:val="auto"/>
        </w:rPr>
        <w:t xml:space="preserve">If there is at least one Discount Prepayment Accepting Lender, Holdings, the Borrower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the Borrower or any of their respective Subsidiaries and subject to rounding requirements of the Auction Agent made in its reasonable discretion) will calculate</w:t>
      </w:r>
    </w:p>
    <w:p>
      <w:pPr>
        <w:spacing w:after="0" w:line="184"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122" w:right="539" w:bottom="1440" w:gutter="0" w:footer="0" w:header="0"/>
        </w:sectPr>
      </w:pPr>
    </w:p>
    <w:bookmarkStart w:id="249" w:name="page250"/>
    <w:bookmarkEnd w:id="249"/>
    <w:p>
      <w:pPr>
        <w:jc w:val="both"/>
        <w:ind w:left="1300"/>
        <w:spacing w:after="0" w:line="306" w:lineRule="auto"/>
        <w:rPr>
          <w:sz w:val="20"/>
          <w:szCs w:val="20"/>
          <w:color w:val="auto"/>
        </w:rPr>
      </w:pPr>
      <w:r>
        <w:rPr>
          <w:rFonts w:ascii="Arial" w:cs="Arial" w:eastAsia="Arial" w:hAnsi="Arial"/>
          <w:sz w:val="16"/>
          <w:szCs w:val="16"/>
          <w:color w:val="auto"/>
        </w:rPr>
        <w:t>such proration (the “</w:t>
      </w:r>
      <w:r>
        <w:rPr>
          <w:rFonts w:ascii="Arial" w:cs="Arial" w:eastAsia="Arial" w:hAnsi="Arial"/>
          <w:sz w:val="16"/>
          <w:szCs w:val="16"/>
          <w:u w:val="single" w:color="auto"/>
          <w:color w:val="auto"/>
        </w:rPr>
        <w:t>Specified Discount Proration</w:t>
      </w:r>
      <w:r>
        <w:rPr>
          <w:rFonts w:ascii="Arial" w:cs="Arial" w:eastAsia="Arial" w:hAnsi="Arial"/>
          <w:sz w:val="16"/>
          <w:szCs w:val="16"/>
          <w:color w:val="auto"/>
        </w:rPr>
        <w:t>”). The Auction Agent shall promptly, and in any case within three (3) Business Days following the Specified Discount Prepayment Response Date, notify (I) Holdings, the Borrower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the Borrower or any of their respective Subsidiaries and Lenders shall be conclusive and binding for all purposes absent manifest error. The payment amount specified in such notice to Holdings, the Borrower or any of their respective Subsidiaries shall be due and payable by Holdings, the Borrower or any of their respective Subsidiaries on the Discounted Prepayment Effective Date in accordance with subsection (F) below (subject to subsection (J) below).</w:t>
      </w:r>
    </w:p>
    <w:p>
      <w:pPr>
        <w:spacing w:after="0" w:line="200" w:lineRule="exact"/>
        <w:rPr>
          <w:sz w:val="20"/>
          <w:szCs w:val="20"/>
          <w:color w:val="auto"/>
        </w:rPr>
      </w:pPr>
    </w:p>
    <w:p>
      <w:pPr>
        <w:spacing w:after="0" w:line="391"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204" w:right="539" w:bottom="1440" w:gutter="0" w:footer="0" w:header="0"/>
        </w:sectPr>
      </w:pPr>
    </w:p>
    <w:bookmarkStart w:id="250" w:name="page251"/>
    <w:bookmarkEnd w:id="250"/>
    <w:p>
      <w:pPr>
        <w:ind w:left="540" w:firstLine="1507"/>
        <w:spacing w:after="0" w:line="266" w:lineRule="auto"/>
        <w:tabs>
          <w:tab w:leader="none" w:pos="2772"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 xml:space="preserve">(1) Subject to the proviso to subsection (A) above, Holdings, the Borrower or any of their respective Subsidiaries may from time to time solicit Discount Range Prepayment Offers by providing the Auction Agent with three (3) Business Days’ notice in the form of a Discount Range Prepayment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solicitation shall be extended, at the sole discretion of Holdings, the Borrower or any of their respective Subsidiaries, to each Term Lender and/or each Lender with respect to any Class of Loans on an individual tranche basis, (II) any such notice shall specify the maximum aggregate principal amount of the relevant Term Loans (the “</w:t>
      </w:r>
      <w:r>
        <w:rPr>
          <w:rFonts w:ascii="Arial" w:cs="Arial" w:eastAsia="Arial" w:hAnsi="Arial"/>
          <w:sz w:val="18"/>
          <w:szCs w:val="18"/>
          <w:u w:val="single" w:color="auto"/>
          <w:color w:val="auto"/>
        </w:rPr>
        <w:t>Discount Range Prepayment Amount</w:t>
      </w:r>
      <w:r>
        <w:rPr>
          <w:rFonts w:ascii="Arial" w:cs="Arial" w:eastAsia="Arial" w:hAnsi="Arial"/>
          <w:sz w:val="18"/>
          <w:szCs w:val="18"/>
          <w:color w:val="auto"/>
        </w:rPr>
        <w:t>”), the tranche or tranches of Term Loans subject to such offer and the maximum and minimum percentage discounts to par (the “</w:t>
      </w:r>
      <w:r>
        <w:rPr>
          <w:rFonts w:ascii="Arial" w:cs="Arial" w:eastAsia="Arial" w:hAnsi="Arial"/>
          <w:sz w:val="18"/>
          <w:szCs w:val="18"/>
          <w:u w:val="single" w:color="auto"/>
          <w:color w:val="auto"/>
        </w:rPr>
        <w:t>Discount Range</w:t>
      </w:r>
      <w:r>
        <w:rPr>
          <w:rFonts w:ascii="Arial" w:cs="Arial" w:eastAsia="Arial" w:hAnsi="Arial"/>
          <w:sz w:val="18"/>
          <w:szCs w:val="18"/>
          <w:color w:val="auto"/>
        </w:rPr>
        <w:t>”) of the principal amount of such Term Loans with respect to each relevant tranche of Term Loans willing to be prepaid by Holdings, the Borrower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Holdings, the Borrower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w:t>
      </w:r>
    </w:p>
    <w:p>
      <w:pPr>
        <w:spacing w:after="0" w:line="12" w:lineRule="exact"/>
        <w:rPr>
          <w:rFonts w:ascii="Arial" w:cs="Arial" w:eastAsia="Arial" w:hAnsi="Arial"/>
          <w:sz w:val="18"/>
          <w:szCs w:val="18"/>
          <w:color w:val="010000"/>
        </w:rPr>
      </w:pPr>
    </w:p>
    <w:p>
      <w:pPr>
        <w:jc w:val="both"/>
        <w:ind w:left="540" w:right="140"/>
        <w:spacing w:after="0" w:line="270" w:lineRule="auto"/>
        <w:rPr>
          <w:rFonts w:ascii="Arial" w:cs="Arial" w:eastAsia="Arial" w:hAnsi="Arial"/>
          <w:sz w:val="18"/>
          <w:szCs w:val="18"/>
          <w:color w:val="010000"/>
        </w:rPr>
      </w:pPr>
      <w:r>
        <w:rPr>
          <w:rFonts w:ascii="Arial" w:cs="Arial" w:eastAsia="Arial" w:hAnsi="Arial"/>
          <w:sz w:val="18"/>
          <w:szCs w:val="18"/>
          <w:color w:val="auto"/>
        </w:rPr>
        <w:t>Lenders (the “</w:t>
      </w:r>
      <w:r>
        <w:rPr>
          <w:rFonts w:ascii="Arial" w:cs="Arial" w:eastAsia="Arial" w:hAnsi="Arial"/>
          <w:sz w:val="18"/>
          <w:szCs w:val="18"/>
          <w:u w:val="single" w:color="auto"/>
          <w:color w:val="auto"/>
        </w:rPr>
        <w:t>Discount Range Prepayment Response Date</w:t>
      </w:r>
      <w:r>
        <w:rPr>
          <w:rFonts w:ascii="Arial" w:cs="Arial" w:eastAsia="Arial" w:hAnsi="Arial"/>
          <w:sz w:val="18"/>
          <w:szCs w:val="18"/>
          <w:color w:val="auto"/>
        </w:rPr>
        <w:t>”). Each relevant Term Lender’s Discount Range Prepayment Offer shall be irrevocable and shall specify a discount to par within the Discount Range (the “</w:t>
      </w:r>
      <w:r>
        <w:rPr>
          <w:rFonts w:ascii="Arial" w:cs="Arial" w:eastAsia="Arial" w:hAnsi="Arial"/>
          <w:sz w:val="18"/>
          <w:szCs w:val="18"/>
          <w:u w:val="single" w:color="auto"/>
          <w:color w:val="auto"/>
        </w:rPr>
        <w:t>Submitted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Discount</w:t>
      </w:r>
      <w:r>
        <w:rPr>
          <w:rFonts w:ascii="Arial" w:cs="Arial" w:eastAsia="Arial" w:hAnsi="Arial"/>
          <w:sz w:val="18"/>
          <w:szCs w:val="18"/>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Arial" w:cs="Arial" w:eastAsia="Arial" w:hAnsi="Arial"/>
          <w:sz w:val="18"/>
          <w:szCs w:val="18"/>
          <w:u w:val="single" w:color="auto"/>
          <w:color w:val="auto"/>
        </w:rPr>
        <w:t>Submitted Amount</w:t>
      </w:r>
      <w:r>
        <w:rPr>
          <w:rFonts w:ascii="Arial" w:cs="Arial" w:eastAsia="Arial" w:hAnsi="Arial"/>
          <w:sz w:val="18"/>
          <w:szCs w:val="18"/>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184" w:lineRule="exact"/>
        <w:rPr>
          <w:rFonts w:ascii="Arial" w:cs="Arial" w:eastAsia="Arial" w:hAnsi="Arial"/>
          <w:sz w:val="18"/>
          <w:szCs w:val="18"/>
          <w:color w:val="010000"/>
        </w:rPr>
      </w:pPr>
    </w:p>
    <w:p>
      <w:pPr>
        <w:jc w:val="both"/>
        <w:ind w:left="1300" w:right="200" w:firstLine="1496"/>
        <w:spacing w:after="0" w:line="307" w:lineRule="auto"/>
        <w:tabs>
          <w:tab w:leader="none" w:pos="3528" w:val="left"/>
        </w:tabs>
        <w:numPr>
          <w:ilvl w:val="1"/>
          <w:numId w:val="182"/>
        </w:numPr>
        <w:rPr>
          <w:rFonts w:ascii="Arial" w:cs="Arial" w:eastAsia="Arial" w:hAnsi="Arial"/>
          <w:sz w:val="16"/>
          <w:szCs w:val="16"/>
          <w:color w:val="010000"/>
        </w:rPr>
      </w:pPr>
      <w:r>
        <w:rPr>
          <w:rFonts w:ascii="Arial" w:cs="Arial" w:eastAsia="Arial" w:hAnsi="Arial"/>
          <w:sz w:val="16"/>
          <w:szCs w:val="16"/>
          <w:color w:val="auto"/>
        </w:rPr>
        <w:t>The Auction Agent shall review all Discount Range Prepayment Offers received on or before the applicable Discount Range Prepayment Response Date and shall determine (in consultation with Holdings, the Borrower or any of their respective Subsidiaries and subject to rounding requirements of the Auction Agent made in its sole reasonable discretion) the Applicable Discount and Term Loans to be prepaid at such Applicable Discount in accordance with this subsection (C). Holdings, the Borrower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6"/>
          <w:szCs w:val="16"/>
          <w:u w:val="single" w:color="auto"/>
          <w:color w:val="auto"/>
        </w:rPr>
        <w:t>Applicable Discount</w:t>
      </w:r>
      <w:r>
        <w:rPr>
          <w:rFonts w:ascii="Arial" w:cs="Arial" w:eastAsia="Arial" w:hAnsi="Arial"/>
          <w:sz w:val="16"/>
          <w:szCs w:val="16"/>
          <w:color w:val="auto"/>
        </w:rPr>
        <w:t>”) which yields a Discounted Term Loan Prepayment in an aggregate principal amount equal to the lower of (I) the Discount</w:t>
      </w:r>
    </w:p>
    <w:p>
      <w:pPr>
        <w:spacing w:after="0" w:line="378"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204" w:right="359" w:bottom="1440" w:gutter="0" w:footer="0" w:header="0"/>
        </w:sectPr>
      </w:pPr>
    </w:p>
    <w:bookmarkStart w:id="251" w:name="page252"/>
    <w:bookmarkEnd w:id="251"/>
    <w:p>
      <w:pPr>
        <w:jc w:val="both"/>
        <w:ind w:left="1300" w:right="20"/>
        <w:spacing w:after="0" w:line="278" w:lineRule="auto"/>
        <w:rPr>
          <w:sz w:val="20"/>
          <w:szCs w:val="20"/>
          <w:color w:val="auto"/>
        </w:rPr>
      </w:pPr>
      <w:r>
        <w:rPr>
          <w:rFonts w:ascii="Arial" w:cs="Arial" w:eastAsia="Arial" w:hAnsi="Arial"/>
          <w:sz w:val="18"/>
          <w:szCs w:val="18"/>
          <w:color w:val="auto"/>
        </w:rPr>
        <w:t>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Arial" w:cs="Arial" w:eastAsia="Arial" w:hAnsi="Arial"/>
          <w:sz w:val="18"/>
          <w:szCs w:val="18"/>
          <w:u w:val="single" w:color="auto"/>
          <w:color w:val="auto"/>
        </w:rPr>
        <w:t>Participating Lender</w:t>
      </w:r>
      <w:r>
        <w:rPr>
          <w:rFonts w:ascii="Arial" w:cs="Arial" w:eastAsia="Arial" w:hAnsi="Arial"/>
          <w:sz w:val="18"/>
          <w:szCs w:val="18"/>
          <w:color w:val="auto"/>
        </w:rPr>
        <w:t>”).</w:t>
      </w:r>
    </w:p>
    <w:p>
      <w:pPr>
        <w:spacing w:after="0" w:line="191" w:lineRule="exact"/>
        <w:rPr>
          <w:sz w:val="20"/>
          <w:szCs w:val="20"/>
          <w:color w:val="auto"/>
        </w:rPr>
      </w:pPr>
    </w:p>
    <w:p>
      <w:pPr>
        <w:jc w:val="both"/>
        <w:ind w:left="1300" w:firstLine="1496"/>
        <w:spacing w:after="0" w:line="267" w:lineRule="auto"/>
        <w:tabs>
          <w:tab w:leader="none" w:pos="3531" w:val="left"/>
        </w:tabs>
        <w:numPr>
          <w:ilvl w:val="1"/>
          <w:numId w:val="183"/>
        </w:numPr>
        <w:rPr>
          <w:rFonts w:ascii="Arial" w:cs="Arial" w:eastAsia="Arial" w:hAnsi="Arial"/>
          <w:sz w:val="18"/>
          <w:szCs w:val="18"/>
          <w:color w:val="010000"/>
        </w:rPr>
      </w:pPr>
      <w:r>
        <w:rPr>
          <w:rFonts w:ascii="Arial" w:cs="Arial" w:eastAsia="Arial" w:hAnsi="Arial"/>
          <w:sz w:val="18"/>
          <w:szCs w:val="18"/>
          <w:color w:val="auto"/>
        </w:rPr>
        <w:t xml:space="preserve">If there is at least one Participating Lender, Holdings, the Borrower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8"/>
          <w:szCs w:val="18"/>
          <w:u w:val="single" w:color="auto"/>
          <w:color w:val="auto"/>
        </w:rPr>
        <w:t>Identified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Participating Lenders</w:t>
      </w:r>
      <w:r>
        <w:rPr>
          <w:rFonts w:ascii="Arial" w:cs="Arial" w:eastAsia="Arial" w:hAnsi="Arial"/>
          <w:sz w:val="18"/>
          <w:szCs w:val="18"/>
          <w:color w:val="auto"/>
        </w:rPr>
        <w:t>”) shall be made pro-rata among the Identified Participating Lenders in accordance with the Submitted Amount of each such Identified Participating Lender and the Auction Agent (in consultation with Holdings, the Borrower or any of their respective Subsidiaries and subject to rounding requirements of the Auction Agent made in its sole reasonable discretion) will calculate such proration (the “</w:t>
      </w:r>
      <w:r>
        <w:rPr>
          <w:rFonts w:ascii="Arial" w:cs="Arial" w:eastAsia="Arial" w:hAnsi="Arial"/>
          <w:sz w:val="18"/>
          <w:szCs w:val="18"/>
          <w:u w:val="single" w:color="auto"/>
          <w:color w:val="auto"/>
        </w:rPr>
        <w:t>Discount Range Proration</w:t>
      </w:r>
      <w:r>
        <w:rPr>
          <w:rFonts w:ascii="Arial" w:cs="Arial" w:eastAsia="Arial" w:hAnsi="Arial"/>
          <w:sz w:val="18"/>
          <w:szCs w:val="18"/>
          <w:color w:val="auto"/>
        </w:rPr>
        <w:t>”). The Auction Agent shall promptly, and in any case within five (5) Business Days following the Discount Range Prepayment Response Date, notify (I) Holdings, the Borrower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(IV) if applicable, each Identified Participating Lender of the Discount Range Proration. Each determination by the Auction Agent of the amounts stated in the foregoing notices to Holdings, the Borrower or any of their respective Subsidiaries and Lenders shall be conclusive and binding for all purposes absent manifest error. The payment amount specified in such notice to Holdings, the Borrower or any of their respective Subsidiaries shall be due and payable by the Borrower on the Discounted Prepayment Effective Date in accordance with subsection (F) below (subject to subsection (J) below).</w:t>
      </w:r>
    </w:p>
    <w:p>
      <w:pPr>
        <w:spacing w:after="0" w:line="203" w:lineRule="exact"/>
        <w:rPr>
          <w:rFonts w:ascii="Arial" w:cs="Arial" w:eastAsia="Arial" w:hAnsi="Arial"/>
          <w:sz w:val="18"/>
          <w:szCs w:val="18"/>
          <w:color w:val="010000"/>
        </w:rPr>
      </w:pPr>
    </w:p>
    <w:p>
      <w:pPr>
        <w:ind w:left="540" w:right="60" w:firstLine="1507"/>
        <w:spacing w:after="0" w:line="274" w:lineRule="auto"/>
        <w:tabs>
          <w:tab w:leader="none" w:pos="2775"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(1) Subject to the proviso to subsection (A) above, Holdings, the Borrower or any of their respective Subsidiaries may from time to time solicit Solicited Discounted Prepayment Offers by providing the Auction Agent with three (3) Business Days’ notice in the form of a Solicited Discounted Prepayment Notice; provided that (I) any such solicitation shall be extended, at the sole discretion of Holdings, the Borrower or any of their respective Subsidiaries, to each Term Lender and/or each Lender with respect to any Class of Term Loans on an individual tranche basis, (II) any such notice shall specify the maximum aggregate Dollar Amount of the Term Loans (the “</w:t>
      </w:r>
      <w:r>
        <w:rPr>
          <w:rFonts w:ascii="Arial" w:cs="Arial" w:eastAsia="Arial" w:hAnsi="Arial"/>
          <w:sz w:val="18"/>
          <w:szCs w:val="18"/>
          <w:u w:val="single" w:color="auto"/>
          <w:color w:val="auto"/>
        </w:rPr>
        <w:t>Solicited Discounted Prepayment Amount</w:t>
      </w:r>
      <w:r>
        <w:rPr>
          <w:rFonts w:ascii="Arial" w:cs="Arial" w:eastAsia="Arial" w:hAnsi="Arial"/>
          <w:sz w:val="18"/>
          <w:szCs w:val="18"/>
          <w:color w:val="auto"/>
        </w:rPr>
        <w:t>”) and the tranche or tranches of Term Loans Holdings,</w:t>
      </w:r>
    </w:p>
    <w:p>
      <w:pPr>
        <w:spacing w:after="0" w:line="166"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22" w:right="519" w:bottom="1440" w:gutter="0" w:footer="0" w:header="0"/>
        </w:sectPr>
      </w:pPr>
    </w:p>
    <w:bookmarkStart w:id="252" w:name="page253"/>
    <w:bookmarkEnd w:id="252"/>
    <w:p>
      <w:pPr>
        <w:ind w:left="540"/>
        <w:spacing w:after="0" w:line="269" w:lineRule="auto"/>
        <w:rPr>
          <w:sz w:val="20"/>
          <w:szCs w:val="20"/>
          <w:color w:val="auto"/>
        </w:rPr>
      </w:pPr>
      <w:r>
        <w:rPr>
          <w:rFonts w:ascii="Arial" w:cs="Arial" w:eastAsia="Arial" w:hAnsi="Arial"/>
          <w:sz w:val="18"/>
          <w:szCs w:val="18"/>
          <w:color w:val="auto"/>
        </w:rPr>
        <w:t>the Borrower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Holdings, the Borrower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Arial" w:cs="Arial" w:eastAsia="Arial" w:hAnsi="Arial"/>
          <w:sz w:val="18"/>
          <w:szCs w:val="18"/>
          <w:u w:val="single" w:color="auto"/>
          <w:color w:val="auto"/>
        </w:rPr>
        <w:t>Solicited Discounted Prepayment Response Date</w:t>
      </w:r>
      <w:r>
        <w:rPr>
          <w:rFonts w:ascii="Arial" w:cs="Arial" w:eastAsia="Arial" w:hAnsi="Arial"/>
          <w:sz w:val="18"/>
          <w:szCs w:val="18"/>
          <w:color w:val="auto"/>
        </w:rPr>
        <w:t>”). Each Term Lender’s Solicited Discounted Prepayment Offer shall (x) be irrevocable, (y) remain outstanding until the Acceptance Date, and (z) specify both a discount to par (the “</w:t>
      </w:r>
      <w:r>
        <w:rPr>
          <w:rFonts w:ascii="Arial" w:cs="Arial" w:eastAsia="Arial" w:hAnsi="Arial"/>
          <w:sz w:val="18"/>
          <w:szCs w:val="18"/>
          <w:u w:val="single" w:color="auto"/>
          <w:color w:val="auto"/>
        </w:rPr>
        <w:t>Offered Discount</w:t>
      </w:r>
      <w:r>
        <w:rPr>
          <w:rFonts w:ascii="Arial" w:cs="Arial" w:eastAsia="Arial" w:hAnsi="Arial"/>
          <w:sz w:val="18"/>
          <w:szCs w:val="18"/>
          <w:color w:val="auto"/>
        </w:rPr>
        <w:t>”) such Term Lender is willing to allow to be applied to the prepayment of its then outstanding Term Loan and the maximum aggregate principal amount and tranches of such Term Loans (the “</w:t>
      </w:r>
      <w:r>
        <w:rPr>
          <w:rFonts w:ascii="Arial" w:cs="Arial" w:eastAsia="Arial" w:hAnsi="Arial"/>
          <w:sz w:val="18"/>
          <w:szCs w:val="18"/>
          <w:u w:val="single" w:color="auto"/>
          <w:color w:val="auto"/>
        </w:rPr>
        <w:t>Offered Amount</w:t>
      </w:r>
      <w:r>
        <w:rPr>
          <w:rFonts w:ascii="Arial" w:cs="Arial" w:eastAsia="Arial" w:hAnsi="Arial"/>
          <w:sz w:val="18"/>
          <w:szCs w:val="18"/>
          <w:color w:val="auto"/>
        </w:rPr>
        <w:t>”)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56" w:lineRule="exact"/>
        <w:rPr>
          <w:sz w:val="20"/>
          <w:szCs w:val="20"/>
          <w:color w:val="auto"/>
        </w:rPr>
      </w:pPr>
    </w:p>
    <w:p>
      <w:pPr>
        <w:jc w:val="both"/>
        <w:ind w:left="1300" w:right="20" w:firstLine="1496"/>
        <w:spacing w:after="0" w:line="254" w:lineRule="auto"/>
        <w:tabs>
          <w:tab w:leader="none" w:pos="3531" w:val="left"/>
        </w:tabs>
        <w:numPr>
          <w:ilvl w:val="0"/>
          <w:numId w:val="185"/>
        </w:numPr>
        <w:rPr>
          <w:rFonts w:ascii="Arial" w:cs="Arial" w:eastAsia="Arial" w:hAnsi="Arial"/>
          <w:sz w:val="19"/>
          <w:szCs w:val="19"/>
          <w:color w:val="010000"/>
        </w:rPr>
      </w:pPr>
      <w:r>
        <w:rPr>
          <w:rFonts w:ascii="Arial" w:cs="Arial" w:eastAsia="Arial" w:hAnsi="Arial"/>
          <w:sz w:val="19"/>
          <w:szCs w:val="19"/>
          <w:color w:val="auto"/>
        </w:rPr>
        <w:t>The Auction Agent shall promptly provide Holdings, the Borrower or any of their respective Subsidiaries with a copy of all Solicited Discounted Prepayment Offers received on or before the Solicited Discounted Prepayment Response Date. Holdings, the Borrower or any of their respective Subsidiaries shall review all such Solicited Discounted Prepayment Offers and select the largest of the Offered Discounts specified by the relevant responding Term Lenders in the Solicited Discounted Prepayment Offers that is acceptable to Holdings, the Borrower or any of their respective Subsidiaries (the “</w:t>
      </w:r>
      <w:r>
        <w:rPr>
          <w:rFonts w:ascii="Arial" w:cs="Arial" w:eastAsia="Arial" w:hAnsi="Arial"/>
          <w:sz w:val="19"/>
          <w:szCs w:val="19"/>
          <w:u w:val="single" w:color="auto"/>
          <w:color w:val="auto"/>
        </w:rPr>
        <w:t>Acceptable Discount</w:t>
      </w:r>
      <w:r>
        <w:rPr>
          <w:rFonts w:ascii="Arial" w:cs="Arial" w:eastAsia="Arial" w:hAnsi="Arial"/>
          <w:sz w:val="19"/>
          <w:szCs w:val="19"/>
          <w:color w:val="auto"/>
        </w:rPr>
        <w:t>”), if any. If Holdings, the Borrower or any of their respective Subsidiaries elects to accept any Offered Discount as the Acceptable Discount, then as soon as practicable after the determination of the Acceptable Discount, but in no event later than by the third Business Day after the date of receipt by Holdings, the Borrower or any of their respective Subsidiaries from the Auction Agent of a copy of all Solicited Discounted Prepayment Offers pursuant to the first sentence of this subsection (2) (the “</w:t>
      </w:r>
      <w:r>
        <w:rPr>
          <w:rFonts w:ascii="Arial" w:cs="Arial" w:eastAsia="Arial" w:hAnsi="Arial"/>
          <w:sz w:val="19"/>
          <w:szCs w:val="19"/>
          <w:u w:val="single" w:color="auto"/>
          <w:color w:val="auto"/>
        </w:rPr>
        <w:t>Acceptance Date</w:t>
      </w:r>
      <w:r>
        <w:rPr>
          <w:rFonts w:ascii="Arial" w:cs="Arial" w:eastAsia="Arial" w:hAnsi="Arial"/>
          <w:sz w:val="19"/>
          <w:szCs w:val="19"/>
          <w:color w:val="auto"/>
        </w:rPr>
        <w:t>”),</w:t>
      </w:r>
    </w:p>
    <w:p>
      <w:pPr>
        <w:spacing w:after="0" w:line="30" w:lineRule="exact"/>
        <w:rPr>
          <w:sz w:val="20"/>
          <w:szCs w:val="20"/>
          <w:color w:val="auto"/>
        </w:rPr>
      </w:pPr>
    </w:p>
    <w:p>
      <w:pPr>
        <w:jc w:val="both"/>
        <w:ind w:left="1300" w:right="40"/>
        <w:spacing w:after="0" w:line="260" w:lineRule="auto"/>
        <w:rPr>
          <w:sz w:val="20"/>
          <w:szCs w:val="20"/>
          <w:color w:val="auto"/>
        </w:rPr>
      </w:pPr>
      <w:r>
        <w:rPr>
          <w:rFonts w:ascii="Arial" w:cs="Arial" w:eastAsia="Arial" w:hAnsi="Arial"/>
          <w:sz w:val="19"/>
          <w:szCs w:val="19"/>
          <w:color w:val="auto"/>
        </w:rPr>
        <w:t>Holdings, the Borrower or any of their respective Subsidiaries shall submit an Acceptance and Prepayment Notice to the Auction Agent setting forth the Acceptable Discount. If the Auction Agent shall fail to receive an Acceptance and Prepayment Notice from Holdings, the Borrower or any of their respective Subsidiaries by the Acceptance Date, Holdings, the Borrower or any of their respective Subsidiaries shall be deemed to have rejected all Solicited Discounted Prepayment Offers.</w:t>
      </w:r>
    </w:p>
    <w:p>
      <w:pPr>
        <w:spacing w:after="0" w:line="205" w:lineRule="exact"/>
        <w:rPr>
          <w:sz w:val="20"/>
          <w:szCs w:val="20"/>
          <w:color w:val="auto"/>
        </w:rPr>
      </w:pPr>
    </w:p>
    <w:p>
      <w:pPr>
        <w:jc w:val="both"/>
        <w:ind w:left="1300" w:right="20" w:firstLine="1496"/>
        <w:spacing w:after="0" w:line="263" w:lineRule="auto"/>
        <w:tabs>
          <w:tab w:leader="none" w:pos="3531" w:val="left"/>
        </w:tabs>
        <w:numPr>
          <w:ilvl w:val="0"/>
          <w:numId w:val="186"/>
        </w:numPr>
        <w:rPr>
          <w:rFonts w:ascii="Arial" w:cs="Arial" w:eastAsia="Arial" w:hAnsi="Arial"/>
          <w:sz w:val="19"/>
          <w:szCs w:val="19"/>
          <w:color w:val="010000"/>
        </w:rPr>
      </w:pPr>
      <w:r>
        <w:rPr>
          <w:rFonts w:ascii="Arial" w:cs="Arial" w:eastAsia="Arial" w:hAnsi="Arial"/>
          <w:sz w:val="19"/>
          <w:szCs w:val="19"/>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cs="Arial" w:eastAsia="Arial" w:hAnsi="Arial"/>
          <w:sz w:val="19"/>
          <w:szCs w:val="19"/>
          <w:u w:val="single" w:color="auto"/>
          <w:color w:val="auto"/>
        </w:rPr>
        <w:t>Discounted Prepayment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Determination Date</w:t>
      </w:r>
      <w:r>
        <w:rPr>
          <w:rFonts w:ascii="Arial" w:cs="Arial" w:eastAsia="Arial" w:hAnsi="Arial"/>
          <w:sz w:val="19"/>
          <w:szCs w:val="19"/>
          <w:color w:val="auto"/>
        </w:rPr>
        <w:t>”), the Auction Agent will determine (in consultation with</w:t>
      </w:r>
    </w:p>
    <w:p>
      <w:pPr>
        <w:spacing w:after="0" w:line="175"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22" w:right="499" w:bottom="1440" w:gutter="0" w:footer="0" w:header="0"/>
        </w:sectPr>
      </w:pPr>
    </w:p>
    <w:bookmarkStart w:id="253" w:name="page254"/>
    <w:bookmarkEnd w:id="253"/>
    <w:p>
      <w:pPr>
        <w:ind w:left="1300"/>
        <w:spacing w:after="0" w:line="267" w:lineRule="auto"/>
        <w:rPr>
          <w:sz w:val="20"/>
          <w:szCs w:val="20"/>
          <w:color w:val="auto"/>
        </w:rPr>
      </w:pPr>
      <w:r>
        <w:rPr>
          <w:rFonts w:ascii="Arial" w:cs="Arial" w:eastAsia="Arial" w:hAnsi="Arial"/>
          <w:sz w:val="18"/>
          <w:szCs w:val="18"/>
          <w:color w:val="auto"/>
        </w:rPr>
        <w:t>Holdings, the Borrower or any of their respective Subsidiaries and subject to rounding requirements of the Auction Agent made in its sole reasonable discretion) the aggregate principal amount and the tranches of Term Loans (the “</w:t>
      </w:r>
      <w:r>
        <w:rPr>
          <w:rFonts w:ascii="Arial" w:cs="Arial" w:eastAsia="Arial" w:hAnsi="Arial"/>
          <w:sz w:val="18"/>
          <w:szCs w:val="18"/>
          <w:u w:val="single" w:color="auto"/>
          <w:color w:val="auto"/>
        </w:rPr>
        <w:t>Acceptable Prepayment Amount</w:t>
      </w:r>
      <w:r>
        <w:rPr>
          <w:rFonts w:ascii="Arial" w:cs="Arial" w:eastAsia="Arial" w:hAnsi="Arial"/>
          <w:sz w:val="18"/>
          <w:szCs w:val="18"/>
          <w:color w:val="auto"/>
        </w:rPr>
        <w:t>”) to be prepaid by Holdings, the Borrower or any of their respective Subsidiaries at the Acceptable Discount in accordance with this Section 2.11(a)(ii)(D). If Holdings, the Borrower or any of their respective Subsidiaries elects to accept any Acceptable Discount, then Holdings, the Borrower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8"/>
          <w:szCs w:val="18"/>
          <w:u w:val="single" w:color="auto"/>
          <w:color w:val="auto"/>
        </w:rPr>
        <w:t>Qualifying</w:t>
      </w:r>
    </w:p>
    <w:p>
      <w:pPr>
        <w:spacing w:after="0" w:line="5" w:lineRule="exact"/>
        <w:rPr>
          <w:sz w:val="20"/>
          <w:szCs w:val="20"/>
          <w:color w:val="auto"/>
        </w:rPr>
      </w:pPr>
    </w:p>
    <w:p>
      <w:pPr>
        <w:jc w:val="both"/>
        <w:ind w:left="1300"/>
        <w:spacing w:after="0" w:line="303" w:lineRule="auto"/>
        <w:rPr>
          <w:sz w:val="20"/>
          <w:szCs w:val="20"/>
          <w:color w:val="auto"/>
        </w:rPr>
      </w:pPr>
      <w:r>
        <w:rPr>
          <w:rFonts w:ascii="Arial" w:cs="Arial" w:eastAsia="Arial" w:hAnsi="Arial"/>
          <w:sz w:val="16"/>
          <w:szCs w:val="16"/>
          <w:u w:val="single" w:color="auto"/>
          <w:color w:val="auto"/>
        </w:rPr>
        <w:t>Lender</w:t>
      </w:r>
      <w:r>
        <w:rPr>
          <w:rFonts w:ascii="Arial" w:cs="Arial" w:eastAsia="Arial" w:hAnsi="Arial"/>
          <w:sz w:val="16"/>
          <w:szCs w:val="16"/>
          <w:color w:val="auto"/>
        </w:rPr>
        <w:t xml:space="preserve">”). Holdings, the Borrower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6"/>
          <w:szCs w:val="16"/>
          <w:u w:val="single" w:color="auto"/>
          <w:color w:val="auto"/>
        </w:rPr>
        <w:t>Identified Qualifying Lenders</w:t>
      </w:r>
      <w:r>
        <w:rPr>
          <w:rFonts w:ascii="Arial" w:cs="Arial" w:eastAsia="Arial" w:hAnsi="Arial"/>
          <w:sz w:val="16"/>
          <w:szCs w:val="16"/>
          <w:color w:val="auto"/>
        </w:rPr>
        <w:t>”) shall be made pro-rata among the Identified Qualifying Lenders in accordance with the Offered Amount of each such Identified Qualifying Lender and the Auction Agent (in consultation with Holdings, the Borrower or any of their respective Subsidiaries and subject to rounding requirements of the Auction Agent made in its sole reasonable discretion) will calculate such proration (the “</w:t>
      </w:r>
      <w:r>
        <w:rPr>
          <w:rFonts w:ascii="Arial" w:cs="Arial" w:eastAsia="Arial" w:hAnsi="Arial"/>
          <w:sz w:val="16"/>
          <w:szCs w:val="16"/>
          <w:u w:val="single" w:color="auto"/>
          <w:color w:val="auto"/>
        </w:rPr>
        <w:t>Solicited Discount Proration</w:t>
      </w:r>
      <w:r>
        <w:rPr>
          <w:rFonts w:ascii="Arial" w:cs="Arial" w:eastAsia="Arial" w:hAnsi="Arial"/>
          <w:sz w:val="16"/>
          <w:szCs w:val="16"/>
          <w:color w:val="auto"/>
        </w:rPr>
        <w:t>”). On or prior to the Discounted Prepayment Determination Date, the Auction Agent shall promptly notify (I) Holdings, the Borrower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tranches to be prepaid to be prepaid at the Applicable Discount on such date,</w:t>
      </w:r>
    </w:p>
    <w:p>
      <w:pPr>
        <w:spacing w:after="0" w:line="15" w:lineRule="exact"/>
        <w:rPr>
          <w:sz w:val="20"/>
          <w:szCs w:val="20"/>
          <w:color w:val="auto"/>
        </w:rPr>
      </w:pPr>
    </w:p>
    <w:p>
      <w:pPr>
        <w:jc w:val="both"/>
        <w:ind w:left="1300" w:firstLine="3"/>
        <w:spacing w:after="0" w:line="239" w:lineRule="auto"/>
        <w:tabs>
          <w:tab w:leader="none" w:pos="1679" w:val="left"/>
        </w:tabs>
        <w:numPr>
          <w:ilvl w:val="0"/>
          <w:numId w:val="187"/>
        </w:numPr>
        <w:rPr>
          <w:rFonts w:ascii="Arial" w:cs="Arial" w:eastAsia="Arial" w:hAnsi="Arial"/>
          <w:sz w:val="20"/>
          <w:szCs w:val="20"/>
          <w:color w:val="auto"/>
        </w:rPr>
      </w:pPr>
      <w:r>
        <w:rPr>
          <w:rFonts w:ascii="Arial" w:cs="Arial" w:eastAsia="Arial" w:hAnsi="Arial"/>
          <w:sz w:val="20"/>
          <w:szCs w:val="20"/>
          <w:color w:val="auto"/>
        </w:rPr>
        <w:t>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200" w:lineRule="exact"/>
        <w:rPr>
          <w:sz w:val="20"/>
          <w:szCs w:val="20"/>
          <w:color w:val="auto"/>
        </w:rPr>
      </w:pPr>
    </w:p>
    <w:p>
      <w:pPr>
        <w:spacing w:after="0" w:line="217"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22" w:right="519" w:bottom="1440" w:gutter="0" w:footer="0" w:header="0"/>
        </w:sectPr>
      </w:pPr>
    </w:p>
    <w:bookmarkStart w:id="254" w:name="page255"/>
    <w:bookmarkEnd w:id="254"/>
    <w:p>
      <w:pPr>
        <w:jc w:val="both"/>
        <w:ind w:left="540" w:right="60" w:firstLine="1507"/>
        <w:spacing w:after="0" w:line="263" w:lineRule="auto"/>
        <w:tabs>
          <w:tab w:leader="none" w:pos="2770" w:val="left"/>
        </w:tabs>
        <w:numPr>
          <w:ilvl w:val="0"/>
          <w:numId w:val="188"/>
        </w:numPr>
        <w:rPr>
          <w:rFonts w:ascii="Arial" w:cs="Arial" w:eastAsia="Arial" w:hAnsi="Arial"/>
          <w:sz w:val="19"/>
          <w:szCs w:val="19"/>
          <w:color w:val="010000"/>
        </w:rPr>
      </w:pPr>
      <w:r>
        <w:rPr>
          <w:rFonts w:ascii="Arial" w:cs="Arial" w:eastAsia="Arial" w:hAnsi="Arial"/>
          <w:sz w:val="19"/>
          <w:szCs w:val="19"/>
          <w:color w:val="auto"/>
        </w:rPr>
        <w:t>In connection with any Discounted Term Loan Prepayment, Holdings, the Borrower or any of their respective Subsidiaries and the Lenders acknowledge and agree that the Auction Agent may require as a condition to any Discounted Term Loan Prepayment, the payment of reasonable and customary fees and expenses from Holdings, the Borrower or any of their respective Subsidiaries in connection therewith.</w:t>
      </w:r>
    </w:p>
    <w:p>
      <w:pPr>
        <w:spacing w:after="0" w:line="189" w:lineRule="exact"/>
        <w:rPr>
          <w:rFonts w:ascii="Arial" w:cs="Arial" w:eastAsia="Arial" w:hAnsi="Arial"/>
          <w:sz w:val="19"/>
          <w:szCs w:val="19"/>
          <w:color w:val="010000"/>
        </w:rPr>
      </w:pPr>
    </w:p>
    <w:p>
      <w:pPr>
        <w:jc w:val="both"/>
        <w:ind w:left="540" w:right="60" w:firstLine="1507"/>
        <w:spacing w:after="0" w:line="254" w:lineRule="auto"/>
        <w:tabs>
          <w:tab w:leader="none" w:pos="2770" w:val="left"/>
        </w:tabs>
        <w:numPr>
          <w:ilvl w:val="0"/>
          <w:numId w:val="188"/>
        </w:numPr>
        <w:rPr>
          <w:rFonts w:ascii="Arial" w:cs="Arial" w:eastAsia="Arial" w:hAnsi="Arial"/>
          <w:sz w:val="19"/>
          <w:szCs w:val="19"/>
          <w:color w:val="010000"/>
        </w:rPr>
      </w:pPr>
      <w:r>
        <w:rPr>
          <w:rFonts w:ascii="Arial" w:cs="Arial" w:eastAsia="Arial" w:hAnsi="Arial"/>
          <w:sz w:val="19"/>
          <w:szCs w:val="19"/>
          <w:color w:val="auto"/>
        </w:rPr>
        <w:t>If any Term Loan is prepaid in accordance with paragraphs (B) through (D) above, Holdings, the Borrower or any of their respective Subsidiaries shall prepay such Term Loans on the Discounted Prepayment Effective Date. Holdings, the Borrower or any of their respective Subsidiaries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Term Loans as directed by the Borrower. The Term Loans so prepaid shall be accompanied by all accrued and unpaid interest on the par principal amount so prepaid up to, but not including, the Discounted Prepayment Effective Date. Each prepayment of the outstanding Term Loans pursuant to this Section 2.11(a)(ii)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187" w:lineRule="exact"/>
        <w:rPr>
          <w:rFonts w:ascii="Arial" w:cs="Arial" w:eastAsia="Arial" w:hAnsi="Arial"/>
          <w:sz w:val="19"/>
          <w:szCs w:val="19"/>
          <w:color w:val="010000"/>
        </w:rPr>
      </w:pPr>
    </w:p>
    <w:p>
      <w:pPr>
        <w:jc w:val="both"/>
        <w:ind w:left="540" w:firstLine="1507"/>
        <w:spacing w:after="0" w:line="246" w:lineRule="auto"/>
        <w:tabs>
          <w:tab w:leader="none" w:pos="2774" w:val="left"/>
        </w:tabs>
        <w:numPr>
          <w:ilvl w:val="0"/>
          <w:numId w:val="188"/>
        </w:numPr>
        <w:rPr>
          <w:rFonts w:ascii="Arial" w:cs="Arial" w:eastAsia="Arial" w:hAnsi="Arial"/>
          <w:sz w:val="20"/>
          <w:szCs w:val="20"/>
          <w:color w:val="010000"/>
        </w:rPr>
      </w:pPr>
      <w:r>
        <w:rPr>
          <w:rFonts w:ascii="Arial" w:cs="Arial" w:eastAsia="Arial" w:hAnsi="Arial"/>
          <w:sz w:val="20"/>
          <w:szCs w:val="20"/>
          <w:color w:val="auto"/>
        </w:rPr>
        <w:t>To the extent not expressly provided for herein, each Discounted Term Loan Prepayment shall be consummated pursuant to procedures consistent with the provisions in this Section 2.11(a)(ii), established by the Auction Agent acting in its reasonable discretion and as reasonably agreed by Holdings, the Borrower or any of their respective Subsidiaries.</w:t>
      </w:r>
    </w:p>
    <w:p>
      <w:pPr>
        <w:spacing w:after="0" w:line="203" w:lineRule="exact"/>
        <w:rPr>
          <w:rFonts w:ascii="Arial" w:cs="Arial" w:eastAsia="Arial" w:hAnsi="Arial"/>
          <w:sz w:val="20"/>
          <w:szCs w:val="20"/>
          <w:color w:val="010000"/>
        </w:rPr>
      </w:pPr>
    </w:p>
    <w:p>
      <w:pPr>
        <w:jc w:val="both"/>
        <w:ind w:left="540" w:right="20" w:firstLine="1507"/>
        <w:spacing w:after="0" w:line="243" w:lineRule="auto"/>
        <w:tabs>
          <w:tab w:leader="none" w:pos="2772" w:val="left"/>
        </w:tabs>
        <w:numPr>
          <w:ilvl w:val="0"/>
          <w:numId w:val="188"/>
        </w:numPr>
        <w:rPr>
          <w:rFonts w:ascii="Arial" w:cs="Arial" w:eastAsia="Arial" w:hAnsi="Arial"/>
          <w:sz w:val="20"/>
          <w:szCs w:val="20"/>
          <w:color w:val="010000"/>
        </w:rPr>
      </w:pPr>
      <w:r>
        <w:rPr>
          <w:rFonts w:ascii="Arial" w:cs="Arial" w:eastAsia="Arial" w:hAnsi="Arial"/>
          <w:sz w:val="20"/>
          <w:szCs w:val="20"/>
          <w:color w:val="auto"/>
        </w:rPr>
        <w:t xml:space="preserve">Notwithstanding anything in any Loan Document to the contrary, for purposes of this Section 2.11(a)(ii),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notice or communication actually received outside of normal business hours shall be deemed to have been given as of the opening of business on the next Business Day.</w:t>
      </w:r>
    </w:p>
    <w:p>
      <w:pPr>
        <w:spacing w:after="0" w:line="32" w:lineRule="exact"/>
        <w:rPr>
          <w:rFonts w:ascii="Arial" w:cs="Arial" w:eastAsia="Arial" w:hAnsi="Arial"/>
          <w:sz w:val="20"/>
          <w:szCs w:val="20"/>
          <w:color w:val="010000"/>
        </w:rPr>
      </w:pPr>
    </w:p>
    <w:p>
      <w:pPr>
        <w:jc w:val="both"/>
        <w:ind w:left="540" w:firstLine="1507"/>
        <w:spacing w:after="0" w:line="242" w:lineRule="auto"/>
        <w:tabs>
          <w:tab w:leader="none" w:pos="2774" w:val="left"/>
        </w:tabs>
        <w:numPr>
          <w:ilvl w:val="0"/>
          <w:numId w:val="188"/>
        </w:numPr>
        <w:rPr>
          <w:rFonts w:ascii="Arial" w:cs="Arial" w:eastAsia="Arial" w:hAnsi="Arial"/>
          <w:sz w:val="20"/>
          <w:szCs w:val="20"/>
          <w:color w:val="010000"/>
        </w:rPr>
      </w:pPr>
      <w:r>
        <w:rPr>
          <w:rFonts w:ascii="Arial" w:cs="Arial" w:eastAsia="Arial" w:hAnsi="Arial"/>
          <w:sz w:val="20"/>
          <w:szCs w:val="20"/>
          <w:color w:val="auto"/>
        </w:rPr>
        <w:t>Each of Holdings, the Borrower or any of their respective Subsidiaries and the Lenders acknowledges and agrees that the Auction Agent may perform any and all of its duties under this Section 2.11(a)(ii)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their respective activities in connection with any Discounted Term Loan Prepayment provided for in this Section 2.11(a)(ii) as well as activities of the Auction Agent.</w:t>
      </w:r>
    </w:p>
    <w:p>
      <w:pPr>
        <w:spacing w:after="0" w:line="224" w:lineRule="exact"/>
        <w:rPr>
          <w:rFonts w:ascii="Arial" w:cs="Arial" w:eastAsia="Arial" w:hAnsi="Arial"/>
          <w:sz w:val="20"/>
          <w:szCs w:val="20"/>
          <w:color w:val="010000"/>
        </w:rPr>
      </w:pPr>
    </w:p>
    <w:p>
      <w:pPr>
        <w:ind w:left="540" w:right="60" w:firstLine="1507"/>
        <w:spacing w:after="0" w:line="260" w:lineRule="auto"/>
        <w:tabs>
          <w:tab w:leader="none" w:pos="2770" w:val="left"/>
        </w:tabs>
        <w:numPr>
          <w:ilvl w:val="0"/>
          <w:numId w:val="188"/>
        </w:numPr>
        <w:rPr>
          <w:rFonts w:ascii="Arial" w:cs="Arial" w:eastAsia="Arial" w:hAnsi="Arial"/>
          <w:sz w:val="20"/>
          <w:szCs w:val="20"/>
          <w:color w:val="010000"/>
        </w:rPr>
      </w:pPr>
      <w:r>
        <w:rPr>
          <w:rFonts w:ascii="Arial" w:cs="Arial" w:eastAsia="Arial" w:hAnsi="Arial"/>
          <w:sz w:val="20"/>
          <w:szCs w:val="20"/>
          <w:color w:val="auto"/>
        </w:rPr>
        <w:t>Holdings, the Borrower or any of their respective Subsidiaries shall have the right, by written notice to the Auction Agent, to revoke in full (but not in part) its</w:t>
      </w:r>
    </w:p>
    <w:p>
      <w:pPr>
        <w:spacing w:after="0" w:line="176"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22" w:right="499" w:bottom="1440" w:gutter="0" w:footer="0" w:header="0"/>
        </w:sectPr>
      </w:pPr>
    </w:p>
    <w:bookmarkStart w:id="255" w:name="page256"/>
    <w:bookmarkEnd w:id="255"/>
    <w:p>
      <w:pPr>
        <w:jc w:val="both"/>
        <w:ind w:left="1488" w:right="40"/>
        <w:spacing w:after="0" w:line="316" w:lineRule="auto"/>
        <w:rPr>
          <w:sz w:val="20"/>
          <w:szCs w:val="20"/>
          <w:color w:val="auto"/>
        </w:rPr>
      </w:pPr>
      <w:r>
        <w:rPr>
          <w:rFonts w:ascii="Arial" w:cs="Arial" w:eastAsia="Arial" w:hAnsi="Arial"/>
          <w:sz w:val="16"/>
          <w:szCs w:val="16"/>
          <w:color w:val="auto"/>
        </w:rPr>
        <w:t>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 to make any prepayment to a Term Lender, as applicable, pursuant to this Section 2.11(a)(ii) shall not constitute a Default or Event of Default under Section 7.01 or otherwise).</w:t>
      </w:r>
    </w:p>
    <w:p>
      <w:pPr>
        <w:spacing w:after="0" w:line="152" w:lineRule="exact"/>
        <w:rPr>
          <w:sz w:val="20"/>
          <w:szCs w:val="20"/>
          <w:color w:val="auto"/>
        </w:rPr>
      </w:pPr>
    </w:p>
    <w:p>
      <w:pPr>
        <w:jc w:val="both"/>
        <w:ind w:left="8" w:firstLine="1490"/>
        <w:spacing w:after="0" w:line="244" w:lineRule="auto"/>
        <w:tabs>
          <w:tab w:leader="none" w:pos="2296"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 the event and on each occasion that the aggregate Revolving Exposures exceed the aggregate Revolving Commitments (other than as a result of currency fluctuations on any date that is not a Revaluation Date), the Borrower shall prepay Revolving Borrowings (or, if no such Borrowings are outstanding, deposit cash collateral in an account with the Administrative Agent pursuant to Section 2.05(j)) in an aggregate amount necessary to eliminate such excess within one (1) Business Day following Borrower’s receipt of written notice from the Administrative Agent.</w:t>
      </w:r>
    </w:p>
    <w:p>
      <w:pPr>
        <w:spacing w:after="0" w:line="219" w:lineRule="exact"/>
        <w:rPr>
          <w:rFonts w:ascii="Arial" w:cs="Arial" w:eastAsia="Arial" w:hAnsi="Arial"/>
          <w:sz w:val="20"/>
          <w:szCs w:val="20"/>
          <w:color w:val="auto"/>
        </w:rPr>
      </w:pPr>
    </w:p>
    <w:p>
      <w:pPr>
        <w:jc w:val="both"/>
        <w:ind w:left="8" w:firstLine="1490"/>
        <w:spacing w:after="0" w:line="303" w:lineRule="auto"/>
        <w:tabs>
          <w:tab w:leader="none" w:pos="2296"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If any Net Proceeds are received by or on behalf of Holdings or its Restricted Subsidiaries in respect of any Prepayment Event, the Borrower shall, within five (5) Business Days after such Net Proceeds are received (or, in the case of a Prepayment Event described in clause (b) of the definition of the term “Prepayment Event,” on the date of such Prepayment Event), prepay Initial Term Loans in an aggregate amount equal to (x) in the case of any Asset Disposition Prepayment Event, the Applicable Asset Disposition Percentage of such Net Proceeds (any such amounts not required to be prepaid as a result of the application of clauses</w:t>
      </w:r>
    </w:p>
    <w:p>
      <w:pPr>
        <w:jc w:val="both"/>
        <w:ind w:left="8" w:hanging="8"/>
        <w:spacing w:after="0" w:line="268" w:lineRule="auto"/>
        <w:tabs>
          <w:tab w:leader="none" w:pos="30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or (c) of the definition of “Applicable Asset Disposition Percentage”, the “</w:t>
      </w:r>
      <w:r>
        <w:rPr>
          <w:rFonts w:ascii="Arial" w:cs="Arial" w:eastAsia="Arial" w:hAnsi="Arial"/>
          <w:sz w:val="18"/>
          <w:szCs w:val="18"/>
          <w:u w:val="single" w:color="auto"/>
          <w:color w:val="auto"/>
        </w:rPr>
        <w:t>Retained Asset Sale Proceeds</w:t>
      </w:r>
      <w:r>
        <w:rPr>
          <w:rFonts w:ascii="Arial" w:cs="Arial" w:eastAsia="Arial" w:hAnsi="Arial"/>
          <w:sz w:val="18"/>
          <w:szCs w:val="18"/>
          <w:color w:val="auto"/>
        </w:rPr>
        <w:t xml:space="preserve">”) and (y) in the case of a Prepayment Event described in clause (b) of the definition of the term “Prepayment Event,” 100% of such Net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Asset Disposition Prepayment Event, if Holdings, the Borrower or any of the Restricted Subsidiaries invest (or commit to invest) the Net Proceeds from such event (or a portion thereof) within 18 months after receipt of such Net Proceeds in the business of the Borrower and the other Subsidiaries,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18-month period (or if committed to be so invested within such 18-month period, have not been so invested within 24 months after receipt thereof), at which time a prepayment shall be required in an amount equal to such Net Proceeds that have not been so invested (or committed to be invested);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Borrower may use a portion of such Net Proceeds to prepay or repurchase any Incremental Term Loans, Other Term Loans or other Indebtedness, in each case that is secured by the Collateral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basis with the Loans to the extent such other Indebtedness and the Liens securing the same are permitted hereunder and the documentation governing such other </w:t>
      </w:r>
      <w:r>
        <w:rPr>
          <w:rFonts w:ascii="Arial" w:cs="Arial" w:eastAsia="Arial" w:hAnsi="Arial"/>
          <w:sz w:val="15"/>
          <w:szCs w:val="15"/>
          <w:color w:val="auto"/>
        </w:rPr>
        <w:t>Indebtedness requires</w:t>
      </w:r>
      <w:r>
        <w:rPr>
          <w:rFonts w:ascii="Arial" w:cs="Arial" w:eastAsia="Arial" w:hAnsi="Arial"/>
          <w:sz w:val="18"/>
          <w:szCs w:val="18"/>
          <w:color w:val="auto"/>
        </w:rPr>
        <w:t xml:space="preserve"> </w:t>
      </w:r>
      <w:r>
        <w:rPr>
          <w:rFonts w:ascii="Arial" w:cs="Arial" w:eastAsia="Arial" w:hAnsi="Arial"/>
          <w:sz w:val="15"/>
          <w:szCs w:val="15"/>
          <w:color w:val="auto"/>
        </w:rPr>
        <w:t xml:space="preserve">such a prepayment or repurchase thereof with the proceeds of such Prepayment Event, in each case in an amount not to exceed the product of (x) the amount of such Net Proceeds and (y) </w:t>
      </w:r>
      <w:r>
        <w:rPr>
          <w:rFonts w:ascii="Arial" w:cs="Arial" w:eastAsia="Arial" w:hAnsi="Arial"/>
          <w:sz w:val="17"/>
          <w:szCs w:val="17"/>
          <w:color w:val="auto"/>
        </w:rPr>
        <w:t>a fraction, the numerator of which is the outstanding principal amount of such other Indebtedness and</w:t>
      </w:r>
      <w:r>
        <w:rPr>
          <w:rFonts w:ascii="Arial" w:cs="Arial" w:eastAsia="Arial" w:hAnsi="Arial"/>
          <w:sz w:val="15"/>
          <w:szCs w:val="15"/>
          <w:color w:val="auto"/>
        </w:rPr>
        <w:t xml:space="preserve"> </w:t>
      </w:r>
      <w:r>
        <w:rPr>
          <w:rFonts w:ascii="Arial" w:cs="Arial" w:eastAsia="Arial" w:hAnsi="Arial"/>
          <w:sz w:val="17"/>
          <w:szCs w:val="17"/>
          <w:color w:val="auto"/>
        </w:rPr>
        <w:t>the denominator of which is the aggregate outstanding principal amount of Initial Term Loans and such other Indebtedness.</w:t>
      </w:r>
    </w:p>
    <w:p>
      <w:pPr>
        <w:spacing w:after="0" w:line="196" w:lineRule="exact"/>
        <w:rPr>
          <w:rFonts w:ascii="Arial" w:cs="Arial" w:eastAsia="Arial" w:hAnsi="Arial"/>
          <w:sz w:val="18"/>
          <w:szCs w:val="18"/>
          <w:color w:val="auto"/>
        </w:rPr>
      </w:pPr>
    </w:p>
    <w:p>
      <w:pPr>
        <w:jc w:val="both"/>
        <w:ind w:left="8" w:right="40" w:firstLine="1490"/>
        <w:spacing w:after="0" w:line="257" w:lineRule="auto"/>
        <w:tabs>
          <w:tab w:leader="none" w:pos="2294"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Following the end of each fiscal year of Holdings, commencing with the fiscal year ending December 31, 2022, the Borrower shall prepay Initial Term Loans in an aggregate amount equal to the ECF Percentage of Excess Cash Flow for such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 shall be reduced by the aggregate amount of (A) at the option of the Borrower, and without duplication of amounts deducted from Excess Cash Flow in prior periods, the aggregate amount of applicable Cash Expenditures made (or committed or planned to be made) during such year or after such fiscal year and prior to the time such prepayment is due and (B) prepayments and repurchases of (i) Term Loans (and,(x)amounts used to repay borrowings of Revolving Loans incurred on the Effective Date to fund original issue discount or upfront</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492" w:top="122" w:right="519" w:bottom="1440" w:gutter="0" w:footer="0" w:header="0"/>
        </w:sectPr>
      </w:pPr>
    </w:p>
    <w:bookmarkStart w:id="256" w:name="page257"/>
    <w:bookmarkEnd w:id="256"/>
    <w:p>
      <w:pPr>
        <w:jc w:val="both"/>
        <w:spacing w:after="0" w:line="269" w:lineRule="auto"/>
        <w:rPr>
          <w:sz w:val="20"/>
          <w:szCs w:val="20"/>
          <w:color w:val="auto"/>
        </w:rPr>
      </w:pPr>
      <w:r>
        <w:rPr>
          <w:rFonts w:ascii="Arial" w:cs="Arial" w:eastAsia="Arial" w:hAnsi="Arial"/>
          <w:sz w:val="18"/>
          <w:szCs w:val="18"/>
          <w:color w:val="auto"/>
        </w:rPr>
        <w:t>fees resulting from the Joint Lead Arrangers’ exercise of the “pricing flex” provisions of the Fee Letter and (y) to the extent the Revolving Commitments are reduced in a corresponding amount pursuant to Section 2.08, Revolving Loans) made pursuant to Section 2.11(a) or otherwise in a manner not prohibited by Section 9.04(g) during such fiscal year or after such fiscal year and prior to the time such prepayment is due (without duplication to subsequent years) as provided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reduction as a result of prepayments pursuant to Section 2.11(a)(ii) or repurchases pursuant to Section 9.04(g) shall not be limited to the actual amount of such cash prepayment and instead shall be given credit for the face amount of such prepayment) and (ii) other Senior Secured First Lien Indebtedness (provided that in the case of the prepayment of any revolving commitments, there is a corresponding reduction in commitments) made during such fiscal year or after such fiscal year and prior to the time such prepayment is due (without duplication to subsequent years) (excluding all such prepayments funded with the proceeds of other long term Indebtedness (other than revolving loans));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at the option of the Borrower, all such payments shall be applied to the immediately subsequent fiscal year to the extent the amount of such prepayment exceeds the amount of the prepayment required to be made from Excess Cash Flow for such fiscal year;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prepayment shall be required with respect to any applicable fiscal year to the extent Excess Cash Flow for such period is equal to or less than $10,000,000 (and for such period such prepayment shall be determined based solely on the amount in excess of $10,000,000). Each prepayment pursuant to this paragraph shall be made on or before the date that is ten (10) days after the date on which financial statements are required to be delivered pursuant to Section 5.01 with respect to the fiscal year for which Excess Cash Flow is being calculated.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00" w:top="122" w:right="559" w:bottom="1440" w:gutter="0" w:footer="0" w:header="0"/>
        </w:sectPr>
      </w:pPr>
    </w:p>
    <w:bookmarkStart w:id="257" w:name="page258"/>
    <w:bookmarkEnd w:id="257"/>
    <w:p>
      <w:pPr>
        <w:jc w:val="both"/>
        <w:ind w:left="8" w:right="40" w:firstLine="1490"/>
        <w:spacing w:after="0" w:line="267" w:lineRule="auto"/>
        <w:tabs>
          <w:tab w:leader="none" w:pos="2294" w:val="left"/>
        </w:tabs>
        <w:numPr>
          <w:ilvl w:val="2"/>
          <w:numId w:val="191"/>
        </w:numPr>
        <w:rPr>
          <w:rFonts w:ascii="Arial" w:cs="Arial" w:eastAsia="Arial" w:hAnsi="Arial"/>
          <w:sz w:val="18"/>
          <w:szCs w:val="18"/>
          <w:color w:val="auto"/>
        </w:rPr>
      </w:pPr>
      <w:r>
        <w:rPr>
          <w:rFonts w:ascii="Arial" w:cs="Arial" w:eastAsia="Arial" w:hAnsi="Arial"/>
          <w:sz w:val="18"/>
          <w:szCs w:val="18"/>
          <w:color w:val="auto"/>
        </w:rPr>
        <w:t xml:space="preserve">Prior to any optional prepayment of Borrowings pursuant to Section 2.11(a)(i), the Borrower shall select the Borrowing or Borrowings to be prepaid and shall specify such selection in the notice of such prepayment pursuant to paragraph (f) of this Section 2.11. In the event of any optional prepayment of Revolving Borrowings, the Borrower shall select the Class or Classes of Revolving Borrowings to be prepaid.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Term Lender (and, to the extent provided in the Refinancing Amendment or Loan Modification Agreement for any Class of Other Term Loans, any Lender that holds Other Term Loans of such Class) may elect, by notice to the Administrative Agent by telephone (confirmed by facsimile) at least two (2) Business Days prior to the prepayment date, to decline all or any portion of any prepayment of its Term Loans or Other Term Loans of any such Class pursuant to this Section 2.11 (other than an optional prepayment pursuant to 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Class but was so declined (and not used pursuant to the immediately following sentence) shall be retained by Holdings or its Restricted Subsidiaries (such amounts, “</w:t>
      </w:r>
      <w:r>
        <w:rPr>
          <w:rFonts w:ascii="Arial" w:cs="Arial" w:eastAsia="Arial" w:hAnsi="Arial"/>
          <w:sz w:val="18"/>
          <w:szCs w:val="18"/>
          <w:u w:val="single" w:color="auto"/>
          <w:color w:val="auto"/>
        </w:rPr>
        <w:t>Retained Declined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Proceeds</w:t>
      </w:r>
      <w:r>
        <w:rPr>
          <w:rFonts w:ascii="Arial" w:cs="Arial" w:eastAsia="Arial" w:hAnsi="Arial"/>
          <w:sz w:val="18"/>
          <w:szCs w:val="18"/>
          <w:color w:val="auto"/>
        </w:rPr>
        <w:t xml:space="preserve">”). An amount equal to any portion of a mandatory prepayment of Term Borrowings that is declined by the Lenders under this Section 2.11(e) may, to the extent not prohibited hereunder or under the documentation governing the Permitted First Priority Refinancing Debt or the Pari Passu Intercreditor Agreement, be applied by the Borrower to prepay (at the Borrower’s election), pari passu Indebtedness or Permitted Junior Priority Refinancing Debt or may be retained to be used for any other purposes not prohibited hereunder. Optional prepayments of Term Borrowings shall be allocated among the Classes of Term Borrowings as directed by the Borrower. In the absence of a designation by the Borrower as described in the preceding provisions of this paragraph of the Type of Borrowing of any Class, the Administrative Agent shall make such designation in its reasonable discretion with a view, but no obligation, to minimize breakage costs owing under Section 2.16,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mandatory prepayments by the Borrower of the Term Loans pursuant to Section 2.11(c) or (d), such prepayments shall be applied on a pro rata basis to the then outstanding Term Loans being prepaid irrespective of whether such outstanding Term Loans are ABR Loans or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2268" w:hanging="793"/>
        <w:spacing w:after="0"/>
        <w:tabs>
          <w:tab w:leader="none" w:pos="226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Borrower shall notify the Administrative Agent of any optional prepayment pursuant to Section 2.11(a)</w:t>
      </w:r>
    </w:p>
    <w:p>
      <w:pPr>
        <w:spacing w:after="0" w:line="38" w:lineRule="exact"/>
        <w:rPr>
          <w:rFonts w:ascii="Arial" w:cs="Arial" w:eastAsia="Arial" w:hAnsi="Arial"/>
          <w:sz w:val="18"/>
          <w:szCs w:val="18"/>
          <w:color w:val="auto"/>
        </w:rPr>
      </w:pPr>
    </w:p>
    <w:p>
      <w:pPr>
        <w:ind w:left="8" w:hanging="8"/>
        <w:spacing w:after="0" w:line="253" w:lineRule="auto"/>
        <w:tabs>
          <w:tab w:leader="none" w:pos="251"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by telephone (confirmed by facsimile) of any prepayment hereunder (i) in the case of prepayment of a </w:t>
      </w:r>
      <w:r>
        <w:rPr>
          <w:rFonts w:ascii="Arial" w:cs="Arial" w:eastAsia="Arial" w:hAnsi="Arial"/>
          <w:sz w:val="19"/>
          <w:szCs w:val="19"/>
          <w:b w:val="1"/>
          <w:bCs w:val="1"/>
          <w:color w:val="FF0000"/>
          <w:strike w:val="1"/>
        </w:rPr>
        <w:t>Eurodollar</w:t>
      </w:r>
      <w:r>
        <w:rPr>
          <w:rFonts w:ascii="Arial" w:cs="Arial" w:eastAsia="Arial" w:hAnsi="Arial"/>
          <w:sz w:val="19"/>
          <w:szCs w:val="19"/>
          <w:b w:val="1"/>
          <w:bCs w:val="1"/>
          <w:u w:val="single" w:color="auto"/>
          <w:color w:val="0000FF"/>
        </w:rPr>
        <w:t>SOFR</w:t>
      </w:r>
      <w:r>
        <w:rPr>
          <w:rFonts w:ascii="Arial" w:cs="Arial" w:eastAsia="Arial" w:hAnsi="Arial"/>
          <w:sz w:val="19"/>
          <w:szCs w:val="19"/>
          <w:color w:val="auto"/>
        </w:rPr>
        <w:t xml:space="preserve"> Borrowing, not later than 11:00 a.m., New York City time, three (3) Business Days before the date of prepayment or (ii) in the case of prepayment of an ABR Borrowing, not later than 11:00 a.m., New York City time, one (1) Business Day before the date of prepayment. Each such notice shall be irrevocable and shall specify the prepayment date and the principal amount of each Borrowing or portion thereof to be prepaid and, in the case of a mandatory prepayment as a result of a Prepayment Event set forth in clause (a) of the definition thereof, a reasonably detailed calculation of the amount of such prepayment. Notwithstanding anything to the contrary contained in this Agreement, any notice of optional prepayment under </w:t>
      </w:r>
      <w:r>
        <w:rPr>
          <w:rFonts w:ascii="Arial" w:cs="Arial" w:eastAsia="Arial" w:hAnsi="Arial"/>
          <w:sz w:val="19"/>
          <w:szCs w:val="19"/>
          <w:u w:val="single" w:color="auto"/>
          <w:color w:val="auto"/>
        </w:rPr>
        <w:t>Section 2.11(f)</w:t>
      </w:r>
      <w:r>
        <w:rPr>
          <w:rFonts w:ascii="Arial" w:cs="Arial" w:eastAsia="Arial" w:hAnsi="Arial"/>
          <w:sz w:val="19"/>
          <w:szCs w:val="19"/>
          <w:color w:val="auto"/>
        </w:rPr>
        <w:t xml:space="preserve"> may state that it is conditional upon the occurrence or non-occurrence of any event specified therein (including the effectiveness of other credit facilities or the receipt of the proceeds from the issuance of other Indebtedness or the occurrence of some other identifiable an specified event of condition), in which case such notice may be revoked or extended by the Borrower (by notice to the Administrative Agent on or prior to the specified effective date) if such condition is not satisfied.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w:t>
      </w:r>
    </w:p>
    <w:p>
      <w:pPr>
        <w:spacing w:after="0" w:line="184"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122" w:right="499" w:bottom="1440" w:gutter="0" w:footer="0" w:header="0"/>
        </w:sectPr>
      </w:pPr>
    </w:p>
    <w:bookmarkStart w:id="258" w:name="page259"/>
    <w:bookmarkEnd w:id="258"/>
    <w:p>
      <w:pPr>
        <w:jc w:val="both"/>
        <w:ind w:left="8" w:right="20"/>
        <w:spacing w:after="0" w:line="244" w:lineRule="auto"/>
        <w:rPr>
          <w:sz w:val="20"/>
          <w:szCs w:val="20"/>
          <w:color w:val="auto"/>
        </w:rPr>
      </w:pPr>
      <w:r>
        <w:rPr>
          <w:rFonts w:ascii="Arial" w:cs="Arial" w:eastAsia="Arial" w:hAnsi="Arial"/>
          <w:sz w:val="20"/>
          <w:szCs w:val="20"/>
          <w:color w:val="auto"/>
        </w:rPr>
        <w:t>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 any prepayment pursuant to this Section 2.11, such prepayment shall not be applied to any Term Loan or Revolving Loan of a Defaulting Lender (under any of subclauses (a), (b) or (c) of the definition of “Defaulting Lender”) and shall be allocated ratably among the relevant non-Defaulting Lenders.</w:t>
      </w:r>
    </w:p>
    <w:p>
      <w:pPr>
        <w:spacing w:after="0" w:line="194" w:lineRule="exact"/>
        <w:rPr>
          <w:sz w:val="20"/>
          <w:szCs w:val="20"/>
          <w:color w:val="auto"/>
        </w:rPr>
      </w:pPr>
    </w:p>
    <w:p>
      <w:pPr>
        <w:jc w:val="both"/>
        <w:ind w:left="8" w:firstLine="1490"/>
        <w:spacing w:after="0" w:line="243" w:lineRule="auto"/>
        <w:tabs>
          <w:tab w:leader="none" w:pos="2298" w:val="left"/>
        </w:tabs>
        <w:numPr>
          <w:ilvl w:val="1"/>
          <w:numId w:val="194"/>
        </w:numPr>
        <w:rPr>
          <w:rFonts w:ascii="Arial" w:cs="Arial" w:eastAsia="Arial" w:hAnsi="Arial"/>
          <w:sz w:val="20"/>
          <w:szCs w:val="20"/>
          <w:color w:val="auto"/>
        </w:rPr>
      </w:pPr>
      <w:r>
        <w:rPr>
          <w:rFonts w:ascii="Arial" w:cs="Arial" w:eastAsia="Arial" w:hAnsi="Arial"/>
          <w:sz w:val="20"/>
          <w:szCs w:val="20"/>
          <w:color w:val="auto"/>
        </w:rPr>
        <w:t>Notwithstanding any other provisions of Section 2.11(c) or (d), (A) to the extent that any of or all the Net Proceeds of any Prepayment Event by a Subsidiary of Holdings that is organized or incorporated under the laws of a jurisdiction other than the United States, any state, commonwealth or territory thereof or the District of Columbia, giving rise to a prepayment pursuant to Section 2.11(c) or</w:t>
      </w:r>
    </w:p>
    <w:p>
      <w:pPr>
        <w:spacing w:after="0" w:line="1" w:lineRule="exact"/>
        <w:rPr>
          <w:rFonts w:ascii="Arial" w:cs="Arial" w:eastAsia="Arial" w:hAnsi="Arial"/>
          <w:sz w:val="20"/>
          <w:szCs w:val="20"/>
          <w:color w:val="auto"/>
        </w:rPr>
      </w:pPr>
    </w:p>
    <w:p>
      <w:pPr>
        <w:ind w:left="8" w:right="80" w:hanging="8"/>
        <w:spacing w:after="0" w:line="243" w:lineRule="auto"/>
        <w:tabs>
          <w:tab w:leader="none" w:pos="316"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u w:val="single" w:color="auto"/>
          <w:color w:val="auto"/>
        </w:rPr>
        <w:t>Restricted Prepayment Event</w:t>
      </w:r>
      <w:r>
        <w:rPr>
          <w:rFonts w:ascii="Arial" w:cs="Arial" w:eastAsia="Arial" w:hAnsi="Arial"/>
          <w:sz w:val="20"/>
          <w:szCs w:val="20"/>
          <w:color w:val="auto"/>
        </w:rPr>
        <w:t>”) or Excess Cash Flow are prohibited or delayed by applicable local law (including financial assistance, corporate benefit, restrictions on repatriating or upstreaming of cash</w:t>
      </w:r>
    </w:p>
    <w:p>
      <w:pPr>
        <w:spacing w:after="0" w:line="31" w:lineRule="exact"/>
        <w:rPr>
          <w:sz w:val="20"/>
          <w:szCs w:val="20"/>
          <w:color w:val="auto"/>
        </w:rPr>
      </w:pPr>
    </w:p>
    <w:p>
      <w:pPr>
        <w:jc w:val="both"/>
        <w:ind w:left="8" w:right="20"/>
        <w:spacing w:after="0" w:line="267" w:lineRule="auto"/>
        <w:rPr>
          <w:sz w:val="20"/>
          <w:szCs w:val="20"/>
          <w:color w:val="auto"/>
        </w:rPr>
      </w:pPr>
      <w:r>
        <w:rPr>
          <w:rFonts w:ascii="Arial" w:cs="Arial" w:eastAsia="Arial" w:hAnsi="Arial"/>
          <w:sz w:val="18"/>
          <w:szCs w:val="18"/>
          <w:color w:val="auto"/>
        </w:rPr>
        <w:t xml:space="preserve">intra-group and the fiduciary and statutory duties of the directors of the relevant subsidiaries) from being repatriated to the Borrower, the portion of such Net Proceeds or Excess Cash Flow so affected will not be required to be taken into account in determining the amount to be applied to repay Term Loans at the times provided in Section 2.11(c) or (d), as the case may be, and such amounts may be retained by such Subsidiary, (B) to the extent that and for so long as the Borrower has determined in good faith that repatriation of any of or all the Net Proceeds of any Restricted Prepayment Event or Excess Cash Flow would have an adverse (other than de minimis) tax or cost consequence to any Loan Party or any direct or indirect equity holder thereof with respect to such Net Proceeds or Excess Cash Flow,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(C) to the extent that and for so long as the Borrower has determined in good faith that repatriation of any of or all the Net Proceeds of any Restricted Prepayment Event or Excess Cash Flow would violate any material organizational document restrictions (as a result of minority ownership) and restrictions in other material agreements (to the extent not in violation of Section 6.09),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and (D) to the extent that and for so long as the Borrower has determined in good faith that repatriation of any of or all the Net Proceeds of any Restricted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the Borrower has determined in good faith that repatriation of any of or all the Net Proceeds of any Restricted Prepayment Event could reasonably be expected to have adverse Tax cost consequences for Holdings, the Borrower or any Restricted Subsidiary with respect to such Net Proceeds, an amount equal to such Net Proceeds that would be so affected will not be subject to repayment under this Section 2.11 and such amounts shall be available for general corporate purposes of the Loan Parties and their Subsidiaries as long as not required to be prepaid in accordance with this Section 2.11. For the avoidance of doubt, Borrower shall be permitted to make any repayments required by Section 2.11(c) or Section 2.11(d) from any source of funds and shall not be required to make any repayments from funds contained in any particular Loan Party. The non-application of any such prepayment amounts as a result of the foregoing provisions will not constitute a Default or Event of Default and such amounts shall be available for working capital and general corporate purposes of the Loan Parties and their Subsidiaries as long as not required to be prepaid in accordance with such provisions. Notwithstanding the foregoing, any payments actually made by the Loan Parties shall be applied net of an amount equal to the additional Taxes of Holdings, its Subsidiaries and the direct and indirect holders of Equity Interests in Holdings that would be payable or reserved against and any additional costs that would be incurred as a result of a repatriation, whether or not a repatriation actually occurs.</w:t>
      </w:r>
    </w:p>
    <w:p>
      <w:pPr>
        <w:spacing w:after="0" w:line="185" w:lineRule="exact"/>
        <w:rPr>
          <w:sz w:val="20"/>
          <w:szCs w:val="20"/>
          <w:color w:val="auto"/>
        </w:rPr>
      </w:pPr>
    </w:p>
    <w:p>
      <w:pPr>
        <w:jc w:val="center"/>
        <w:ind w:right="12"/>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8"/>
          </w:cols>
          <w:pgMar w:left="492" w:top="122" w:right="479" w:bottom="1440" w:gutter="0" w:footer="0" w:header="0"/>
        </w:sectPr>
      </w:pPr>
    </w:p>
    <w:bookmarkStart w:id="259" w:name="page260"/>
    <w:bookmarkEnd w:id="259"/>
    <w:p>
      <w:pPr>
        <w:ind w:left="4120"/>
        <w:spacing w:after="0"/>
        <w:tabs>
          <w:tab w:leader="none" w:pos="5680" w:val="left"/>
        </w:tabs>
        <w:rPr>
          <w:sz w:val="20"/>
          <w:szCs w:val="20"/>
          <w:color w:val="auto"/>
        </w:rPr>
      </w:pPr>
      <w:r>
        <w:rPr>
          <w:rFonts w:ascii="Arial" w:cs="Arial" w:eastAsia="Arial" w:hAnsi="Arial"/>
          <w:sz w:val="20"/>
          <w:szCs w:val="20"/>
          <w:color w:val="010000"/>
        </w:rPr>
        <w:t>SECTION 2.12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8" w:lineRule="exact"/>
        <w:rPr>
          <w:sz w:val="20"/>
          <w:szCs w:val="20"/>
          <w:color w:val="auto"/>
        </w:rPr>
      </w:pPr>
    </w:p>
    <w:p>
      <w:pPr>
        <w:jc w:val="both"/>
        <w:ind w:firstLine="1490"/>
        <w:spacing w:after="0" w:line="274" w:lineRule="auto"/>
        <w:tabs>
          <w:tab w:leader="none" w:pos="229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in Dollars for the account of each Revolving Lender (other than a Defaulting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on the last Business Day of March, June, September and December of each year and on the date on which the Revolving Commitments terminate, commencing on the last Business Day of the first full fiscal quarter ending after the Effective Date. All commitment fees shall be computed on the basis of a year of 360 days and shall be payable for the actual number of days elapsed (including the first</w:t>
      </w:r>
    </w:p>
    <w:p>
      <w:pPr>
        <w:spacing w:after="0" w:line="4"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day but excluding the last day). For purposes of computing commitment fees, a Revolving Commitment of a Lender shall be deemed to be used to the extent of the outstanding Revolving Loans and LC Exposure of such Lender.</w:t>
      </w:r>
    </w:p>
    <w:p>
      <w:pPr>
        <w:spacing w:after="0" w:line="189" w:lineRule="exact"/>
        <w:rPr>
          <w:sz w:val="20"/>
          <w:szCs w:val="20"/>
          <w:color w:val="auto"/>
        </w:rPr>
      </w:pPr>
    </w:p>
    <w:p>
      <w:pPr>
        <w:jc w:val="both"/>
        <w:ind w:right="40" w:firstLine="1490"/>
        <w:spacing w:after="0" w:line="268" w:lineRule="auto"/>
        <w:tabs>
          <w:tab w:leader="none" w:pos="228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Borrower agrees to pay (i) to the Administrative Agent in Dollars for the account of each Revolving Lender (other than any Defaulting Lender) a participation fee with respect to its participations in Letters of Credit, which shall accrue at all times during the Revolving Availability Period at the Applicable Rate used to determine the interest rate applicable to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Revolving Loans on the daily amount of such Lender’s LC Exposure (excluding any portion thereof attributable to</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fee shall be calculated by the Administrative Agent in consultation with the applicable Issuing Bank and payable directly to the applicable Issuing Bank), which shall accrue at the rate to be agreed by each Issuing Bank, not to be greater than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last Business Day of March, June, September and December, respectively, commencing on the last Business Day of the first full fiscal quarter ending after the Effective Date;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written demand. All participation fees and fronting fees shall be computed on the basis of a year of 360 days and shall be payable for the actual number of days elapsed (including the first day but excluding the last day).</w:t>
      </w:r>
    </w:p>
    <w:p>
      <w:pPr>
        <w:spacing w:after="0" w:line="173" w:lineRule="exact"/>
        <w:rPr>
          <w:rFonts w:ascii="Arial" w:cs="Arial" w:eastAsia="Arial" w:hAnsi="Arial"/>
          <w:sz w:val="18"/>
          <w:szCs w:val="18"/>
          <w:color w:val="auto"/>
        </w:rPr>
      </w:pPr>
    </w:p>
    <w:p>
      <w:pPr>
        <w:ind w:right="40" w:firstLine="1490"/>
        <w:spacing w:after="0" w:line="260" w:lineRule="auto"/>
        <w:tabs>
          <w:tab w:leader="none" w:pos="2287"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for its own account, fees payable in the amounts and at the times separately agreed upon in writing between the Borrower and the Administrative Agent.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52" w:right="499" w:bottom="1440" w:gutter="0" w:footer="0" w:header="0"/>
        </w:sectPr>
      </w:pPr>
    </w:p>
    <w:bookmarkStart w:id="260" w:name="page261"/>
    <w:bookmarkEnd w:id="260"/>
    <w:p>
      <w:pPr>
        <w:jc w:val="both"/>
        <w:ind w:left="-20" w:firstLine="1490"/>
        <w:spacing w:after="0" w:line="242" w:lineRule="auto"/>
        <w:tabs>
          <w:tab w:leader="none" w:pos="2267"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Borrower agrees to pay on the Effective Date to each Term Lender party to this Agreement as a Term Lender on the Effective Date, as fee compensation for the funding of such Term Lender’s Initial Term Loan, a closing fee in an amount equal to 1.00% of the stated principal amount of such Term Lender’s Initial Term Loan. Such fees shall be payable to each Lender out of the proceeds of such Term Lender’s Initial Term Loan as and when funded on the Effective Date and shall be treated (and reported) by the Borrower and Term Lenders as a reduction in issue price of the Initial Term Loans for U.S. federal, state and local income tax purposes. Such closing fee will be in all respects fully earned, due and payable on the Effective Date and non-refundable and non-creditable thereafter.</w:t>
      </w:r>
    </w:p>
    <w:p>
      <w:pPr>
        <w:spacing w:after="0" w:line="211" w:lineRule="exact"/>
        <w:rPr>
          <w:rFonts w:ascii="Arial" w:cs="Arial" w:eastAsia="Arial" w:hAnsi="Arial"/>
          <w:sz w:val="20"/>
          <w:szCs w:val="20"/>
          <w:color w:val="auto"/>
        </w:rPr>
      </w:pPr>
    </w:p>
    <w:p>
      <w:pPr>
        <w:ind w:left="-20" w:right="20" w:firstLine="1490"/>
        <w:spacing w:after="0" w:line="260" w:lineRule="auto"/>
        <w:tabs>
          <w:tab w:leader="none" w:pos="2266" w:val="left"/>
        </w:tabs>
        <w:numPr>
          <w:ilvl w:val="0"/>
          <w:numId w:val="198"/>
        </w:numPr>
        <w:rPr>
          <w:rFonts w:ascii="Arial" w:cs="Arial" w:eastAsia="Arial" w:hAnsi="Arial"/>
          <w:sz w:val="20"/>
          <w:szCs w:val="20"/>
          <w:color w:val="auto"/>
        </w:rPr>
      </w:pPr>
      <w:r>
        <w:rPr>
          <w:rFonts w:ascii="Arial" w:cs="Arial" w:eastAsia="Arial" w:hAnsi="Arial"/>
          <w:sz w:val="20"/>
          <w:szCs w:val="20"/>
          <w:color w:val="auto"/>
        </w:rPr>
        <w:t>Notwithstanding the foregoing, and subject to Section 2.22, the Borrower shall not be obligated to pay any amounts to any Defaulting Lender pursuant to this Section 2.12.</w:t>
      </w:r>
    </w:p>
    <w:p>
      <w:pPr>
        <w:spacing w:after="0" w:line="162" w:lineRule="exact"/>
        <w:rPr>
          <w:sz w:val="20"/>
          <w:szCs w:val="20"/>
          <w:color w:val="auto"/>
        </w:rPr>
      </w:pPr>
    </w:p>
    <w:p>
      <w:pPr>
        <w:jc w:val="center"/>
        <w:ind w:right="420"/>
        <w:spacing w:after="0"/>
        <w:tabs>
          <w:tab w:leader="none" w:pos="340" w:val="left"/>
        </w:tabs>
        <w:rPr>
          <w:sz w:val="20"/>
          <w:szCs w:val="20"/>
          <w:color w:val="auto"/>
        </w:rPr>
      </w:pPr>
      <w:r>
        <w:rPr>
          <w:rFonts w:ascii="Arial" w:cs="Arial" w:eastAsia="Arial" w:hAnsi="Arial"/>
          <w:sz w:val="20"/>
          <w:szCs w:val="20"/>
          <w:color w:val="010000"/>
        </w:rPr>
        <w:t>SECTION 2.13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8" w:lineRule="exact"/>
        <w:rPr>
          <w:sz w:val="20"/>
          <w:szCs w:val="20"/>
          <w:color w:val="auto"/>
        </w:rPr>
      </w:pPr>
    </w:p>
    <w:p>
      <w:pPr>
        <w:ind w:left="-20" w:right="20" w:firstLine="1490"/>
        <w:spacing w:after="0" w:line="260" w:lineRule="auto"/>
        <w:tabs>
          <w:tab w:leader="none" w:pos="226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Loans comprising each ABR Borrowing denominated in Dollars shall bear interest at the Alternate Base Rate plus the Applicable Rate.</w:t>
      </w:r>
    </w:p>
    <w:p>
      <w:pPr>
        <w:spacing w:after="0" w:line="183" w:lineRule="exact"/>
        <w:rPr>
          <w:rFonts w:ascii="Arial" w:cs="Arial" w:eastAsia="Arial" w:hAnsi="Arial"/>
          <w:sz w:val="20"/>
          <w:szCs w:val="20"/>
          <w:color w:val="auto"/>
        </w:rPr>
      </w:pPr>
    </w:p>
    <w:p>
      <w:pPr>
        <w:ind w:left="-20" w:right="20" w:firstLine="1490"/>
        <w:spacing w:after="0" w:line="266" w:lineRule="auto"/>
        <w:tabs>
          <w:tab w:leader="none" w:pos="226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The Loans comprising each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Borrowing shall bear interest at the Adjusted </w:t>
      </w: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rPr>
        <w:t>Term</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SOFR</w:t>
      </w:r>
      <w:r>
        <w:rPr>
          <w:rFonts w:ascii="Arial" w:cs="Arial" w:eastAsia="Arial" w:hAnsi="Arial"/>
          <w:sz w:val="20"/>
          <w:szCs w:val="20"/>
          <w:b w:val="1"/>
          <w:bCs w:val="1"/>
          <w:color w:val="0000FF"/>
        </w:rPr>
        <w:t xml:space="preserve"> </w:t>
      </w:r>
      <w:r>
        <w:rPr>
          <w:rFonts w:ascii="Arial" w:cs="Arial" w:eastAsia="Arial" w:hAnsi="Arial"/>
          <w:sz w:val="20"/>
          <w:szCs w:val="20"/>
          <w:color w:val="000000"/>
        </w:rPr>
        <w:t>Rate for the Interest Period in effect for such Borrowing plus the Applicable Rate.</w:t>
      </w:r>
    </w:p>
    <w:p>
      <w:pPr>
        <w:spacing w:after="0" w:line="183" w:lineRule="exact"/>
        <w:rPr>
          <w:rFonts w:ascii="Arial" w:cs="Arial" w:eastAsia="Arial" w:hAnsi="Arial"/>
          <w:sz w:val="20"/>
          <w:szCs w:val="20"/>
          <w:color w:val="auto"/>
        </w:rPr>
      </w:pPr>
    </w:p>
    <w:p>
      <w:pPr>
        <w:jc w:val="both"/>
        <w:ind w:left="-20" w:right="20" w:firstLine="1490"/>
        <w:spacing w:after="0" w:line="270" w:lineRule="auto"/>
        <w:tabs>
          <w:tab w:leader="none" w:pos="226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upon the occurrence and during the continuance of any Specified Event of Default,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(provided that, with respect to a SOFR Loan, the determination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the applicable interest rate is subject to Section 2.25(e) to the extent that Loans may not be converted to, or continued as, SOFR Loans, pursuant thereto)</w:t>
      </w:r>
      <w:r>
        <w:rPr>
          <w:rFonts w:ascii="Arial" w:cs="Arial" w:eastAsia="Arial" w:hAnsi="Arial"/>
          <w:sz w:val="18"/>
          <w:szCs w:val="18"/>
          <w:b w:val="1"/>
          <w:bCs w:val="1"/>
          <w:color w:val="0000FF"/>
        </w:rPr>
        <w:t xml:space="preserve"> </w:t>
      </w:r>
      <w:r>
        <w:rPr>
          <w:rFonts w:ascii="Arial" w:cs="Arial" w:eastAsia="Arial" w:hAnsi="Arial"/>
          <w:sz w:val="18"/>
          <w:szCs w:val="18"/>
          <w:color w:val="000000"/>
        </w:rPr>
        <w:t>or (ii) in the case of any other amount, 2.00% per annum plus the rate applicable to ABR Revolving Loans as</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provided in paragraph (a) of this </w:t>
      </w:r>
      <w:r>
        <w:rPr>
          <w:rFonts w:ascii="Arial" w:cs="Arial" w:eastAsia="Arial" w:hAnsi="Arial"/>
          <w:sz w:val="18"/>
          <w:szCs w:val="18"/>
          <w:u w:val="single" w:color="auto"/>
          <w:color w:val="000000"/>
        </w:rPr>
        <w:t>Section 2.13</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no amount shall be payable pursuant to this Section 2.13(c) to a Defaulting Lender so long as such Lender shall be a Defaulting Lender;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xml:space="preserve"> that no amounts shall accrue pursuant to this Section 2.13(c) on any overdue amount, reimbursement obligation in respect of any LC Disbursement or other amount payable to a Defaulting Lender so long as such Lender shall be a Defaulting Lender.</w:t>
      </w:r>
    </w:p>
    <w:p>
      <w:pPr>
        <w:spacing w:after="0" w:line="189" w:lineRule="exact"/>
        <w:rPr>
          <w:rFonts w:ascii="Arial" w:cs="Arial" w:eastAsia="Arial" w:hAnsi="Arial"/>
          <w:sz w:val="18"/>
          <w:szCs w:val="18"/>
          <w:color w:val="auto"/>
        </w:rPr>
      </w:pPr>
    </w:p>
    <w:p>
      <w:pPr>
        <w:jc w:val="both"/>
        <w:ind w:left="-20" w:firstLine="1490"/>
        <w:spacing w:after="0" w:line="242" w:lineRule="auto"/>
        <w:tabs>
          <w:tab w:leader="none" w:pos="226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b w:val="1"/>
          <w:bCs w:val="1"/>
          <w:color w:val="FF0000"/>
        </w:rPr>
        <w:t xml:space="preserve"> </w:t>
      </w:r>
      <w:r>
        <w:rPr>
          <w:rFonts w:ascii="Arial" w:cs="Arial" w:eastAsia="Arial" w:hAnsi="Arial"/>
          <w:sz w:val="20"/>
          <w:szCs w:val="20"/>
          <w:color w:val="000000"/>
        </w:rPr>
        <w:t>Loan prior to the end of the current Interest Period therefor, accrued interest on such Loan shall be payable on the</w:t>
      </w:r>
      <w:r>
        <w:rPr>
          <w:rFonts w:ascii="Arial" w:cs="Arial" w:eastAsia="Arial" w:hAnsi="Arial"/>
          <w:sz w:val="20"/>
          <w:szCs w:val="20"/>
          <w:b w:val="1"/>
          <w:bCs w:val="1"/>
          <w:color w:val="FF0000"/>
        </w:rPr>
        <w:t xml:space="preserve"> </w:t>
      </w:r>
      <w:r>
        <w:rPr>
          <w:rFonts w:ascii="Arial" w:cs="Arial" w:eastAsia="Arial" w:hAnsi="Arial"/>
          <w:sz w:val="20"/>
          <w:szCs w:val="20"/>
          <w:color w:val="000000"/>
        </w:rPr>
        <w:t>effective date of such conversion.</w:t>
      </w:r>
    </w:p>
    <w:p>
      <w:pPr>
        <w:spacing w:after="0" w:line="210" w:lineRule="exact"/>
        <w:rPr>
          <w:rFonts w:ascii="Arial" w:cs="Arial" w:eastAsia="Arial" w:hAnsi="Arial"/>
          <w:sz w:val="20"/>
          <w:szCs w:val="20"/>
          <w:color w:val="auto"/>
        </w:rPr>
      </w:pPr>
    </w:p>
    <w:p>
      <w:pPr>
        <w:jc w:val="both"/>
        <w:ind w:left="-20" w:right="20" w:firstLine="1490"/>
        <w:spacing w:after="0" w:line="244" w:lineRule="auto"/>
        <w:tabs>
          <w:tab w:leader="none" w:pos="226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Adjusted </w:t>
      </w: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rPr>
        <w:t>Term SOFR</w:t>
      </w:r>
      <w:r>
        <w:rPr>
          <w:rFonts w:ascii="Arial" w:cs="Arial" w:eastAsia="Arial" w:hAnsi="Arial"/>
          <w:sz w:val="20"/>
          <w:szCs w:val="20"/>
          <w:color w:val="auto"/>
        </w:rPr>
        <w:t xml:space="preserve"> Rate shall be determined by the Administrative Agent, and such determination shall be conclusive absent manifest error.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20" w:top="122" w:right="539" w:bottom="1440" w:gutter="0" w:footer="0" w:header="0"/>
        </w:sectPr>
      </w:pPr>
    </w:p>
    <w:bookmarkStart w:id="261" w:name="page262"/>
    <w:bookmarkEnd w:id="261"/>
    <w:p>
      <w:pPr>
        <w:jc w:val="both"/>
        <w:ind w:left="-20" w:right="40" w:firstLine="1490"/>
        <w:spacing w:after="0" w:line="244" w:lineRule="auto"/>
        <w:tabs>
          <w:tab w:leader="none" w:pos="2266" w:val="left"/>
        </w:tabs>
        <w:numPr>
          <w:ilvl w:val="0"/>
          <w:numId w:val="200"/>
        </w:numPr>
        <w:rPr>
          <w:rFonts w:ascii="Arial" w:cs="Arial" w:eastAsia="Arial" w:hAnsi="Arial"/>
          <w:sz w:val="20"/>
          <w:szCs w:val="20"/>
          <w:b w:val="1"/>
          <w:bCs w:val="1"/>
          <w:color w:val="0000FF"/>
        </w:rPr>
      </w:pPr>
      <w:r>
        <w:rPr>
          <w:rFonts w:ascii="Arial" w:cs="Arial" w:eastAsia="Arial" w:hAnsi="Arial"/>
          <w:sz w:val="20"/>
          <w:szCs w:val="20"/>
          <w:b w:val="1"/>
          <w:bCs w:val="1"/>
          <w:u w:val="single" w:color="auto"/>
          <w:color w:val="0000FF"/>
        </w:rPr>
        <w:t>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75" w:lineRule="exact"/>
        <w:rPr>
          <w:sz w:val="20"/>
          <w:szCs w:val="20"/>
          <w:color w:val="auto"/>
        </w:rPr>
      </w:pPr>
    </w:p>
    <w:p>
      <w:pPr>
        <w:ind w:left="2600" w:right="20" w:firstLine="1499"/>
        <w:spacing w:after="0" w:line="250" w:lineRule="auto"/>
        <w:rPr>
          <w:sz w:val="20"/>
          <w:szCs w:val="20"/>
          <w:color w:val="auto"/>
        </w:rPr>
      </w:pPr>
      <w:r>
        <w:rPr>
          <w:rFonts w:ascii="Arial" w:cs="Arial" w:eastAsia="Arial" w:hAnsi="Arial"/>
          <w:sz w:val="20"/>
          <w:szCs w:val="20"/>
          <w:color w:val="010000"/>
        </w:rPr>
        <w:t xml:space="preserve">SECTION 2.14 </w:t>
      </w:r>
      <w:r>
        <w:rPr>
          <w:rFonts w:ascii="Arial" w:cs="Arial" w:eastAsia="Arial" w:hAnsi="Arial"/>
          <w:sz w:val="20"/>
          <w:szCs w:val="20"/>
          <w:b w:val="1"/>
          <w:bCs w:val="1"/>
          <w:color w:val="FF0000"/>
          <w:strike w:val="1"/>
        </w:rPr>
        <w:t>Alternate Rate of Interest</w:t>
      </w:r>
      <w:r>
        <w:rPr>
          <w:rFonts w:ascii="Arial" w:cs="Arial" w:eastAsia="Arial" w:hAnsi="Arial"/>
          <w:sz w:val="20"/>
          <w:szCs w:val="20"/>
          <w:b w:val="1"/>
          <w:bCs w:val="1"/>
          <w:u w:val="single" w:color="auto"/>
          <w:color w:val="0000FF"/>
        </w:rPr>
        <w:t>Inability to Determine Rates</w:t>
      </w:r>
      <w:r>
        <w:rPr>
          <w:rFonts w:ascii="Arial" w:cs="Arial" w:eastAsia="Arial" w:hAnsi="Arial"/>
          <w:sz w:val="20"/>
          <w:szCs w:val="20"/>
          <w:b w:val="1"/>
          <w:bCs w:val="1"/>
          <w:color w:val="FF0000"/>
          <w:strike w:val="1"/>
        </w:rPr>
        <w:t>. If prior</w:t>
      </w:r>
      <w:r>
        <w:rPr>
          <w:rFonts w:ascii="Arial" w:cs="Arial" w:eastAsia="Arial" w:hAnsi="Arial"/>
          <w:sz w:val="20"/>
          <w:szCs w:val="20"/>
          <w:color w:val="010000"/>
        </w:rPr>
        <w:t xml:space="preserve"> </w:t>
      </w:r>
      <w:r>
        <w:rPr>
          <w:rFonts w:ascii="Arial" w:cs="Arial" w:eastAsia="Arial" w:hAnsi="Arial"/>
          <w:sz w:val="20"/>
          <w:szCs w:val="20"/>
          <w:b w:val="1"/>
          <w:bCs w:val="1"/>
          <w:color w:val="FF0000"/>
          <w:strike w:val="1"/>
        </w:rPr>
        <w:t>to the commencement of any Interest Period for a Eurodollar Borrowing:</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0000FF"/>
        </w:rPr>
        <w:t>.</w:t>
      </w:r>
    </w:p>
    <w:p>
      <w:pPr>
        <w:jc w:val="both"/>
        <w:ind w:left="-20" w:right="20" w:firstLine="741"/>
        <w:spacing w:after="0"/>
        <w:tabs>
          <w:tab w:leader="none" w:pos="1518" w:val="left"/>
        </w:tabs>
        <w:numPr>
          <w:ilvl w:val="0"/>
          <w:numId w:val="201"/>
        </w:numPr>
        <w:rPr>
          <w:rFonts w:ascii="Arial" w:cs="Arial" w:eastAsia="Arial" w:hAnsi="Arial"/>
          <w:sz w:val="20"/>
          <w:szCs w:val="20"/>
          <w:b w:val="1"/>
          <w:bCs w:val="1"/>
          <w:color w:val="FF0000"/>
          <w:strike w:val="1"/>
        </w:rPr>
      </w:pPr>
      <w:r>
        <w:rPr>
          <w:rFonts w:ascii="Arial" w:cs="Arial" w:eastAsia="Arial" w:hAnsi="Arial"/>
          <w:sz w:val="20"/>
          <w:szCs w:val="20"/>
          <w:b w:val="1"/>
          <w:bCs w:val="1"/>
          <w:u w:val="single" w:color="auto"/>
          <w:color w:val="0000FF"/>
        </w:rPr>
        <w:t>Subject to Section 2.25, if, on or prior to the first day of any Interest Period for any SOFR Loan,</w:t>
      </w:r>
      <w:r>
        <w:rPr>
          <w:rFonts w:ascii="Arial" w:cs="Arial" w:eastAsia="Arial" w:hAnsi="Arial"/>
          <w:sz w:val="20"/>
          <w:szCs w:val="20"/>
          <w:b w:val="1"/>
          <w:bCs w:val="1"/>
          <w:color w:val="0000FF"/>
        </w:rPr>
        <w:t xml:space="preserve"> </w:t>
      </w:r>
      <w:r>
        <w:rPr>
          <w:rFonts w:ascii="Arial" w:cs="Arial" w:eastAsia="Arial" w:hAnsi="Arial"/>
          <w:sz w:val="20"/>
          <w:szCs w:val="20"/>
          <w:color w:val="000000"/>
        </w:rPr>
        <w:t>the</w:t>
      </w:r>
      <w:r>
        <w:rPr>
          <w:rFonts w:ascii="Arial" w:cs="Arial" w:eastAsia="Arial" w:hAnsi="Arial"/>
          <w:sz w:val="20"/>
          <w:szCs w:val="20"/>
          <w:b w:val="1"/>
          <w:bCs w:val="1"/>
          <w:color w:val="0000FF"/>
        </w:rPr>
        <w:t xml:space="preserve"> </w:t>
      </w:r>
      <w:r>
        <w:rPr>
          <w:rFonts w:ascii="Arial" w:cs="Arial" w:eastAsia="Arial" w:hAnsi="Arial"/>
          <w:sz w:val="20"/>
          <w:szCs w:val="20"/>
          <w:color w:val="000000"/>
        </w:rPr>
        <w:t xml:space="preserve">Administrative Agent determines (which determination shall be conclusive </w:t>
      </w:r>
      <w:r>
        <w:rPr>
          <w:rFonts w:ascii="Arial" w:cs="Arial" w:eastAsia="Arial" w:hAnsi="Arial"/>
          <w:sz w:val="20"/>
          <w:szCs w:val="20"/>
          <w:b w:val="1"/>
          <w:bCs w:val="1"/>
          <w:u w:val="single" w:color="auto"/>
          <w:color w:val="0000FF"/>
        </w:rPr>
        <w:t>and binding</w:t>
      </w:r>
      <w:r>
        <w:rPr>
          <w:rFonts w:ascii="Arial" w:cs="Arial" w:eastAsia="Arial" w:hAnsi="Arial"/>
          <w:sz w:val="20"/>
          <w:szCs w:val="20"/>
          <w:color w:val="000000"/>
        </w:rPr>
        <w:t xml:space="preserve"> absent manifest error) that </w:t>
      </w:r>
      <w:r>
        <w:rPr>
          <w:rFonts w:ascii="Arial" w:cs="Arial" w:eastAsia="Arial" w:hAnsi="Arial"/>
          <w:sz w:val="20"/>
          <w:szCs w:val="20"/>
          <w:b w:val="1"/>
          <w:bCs w:val="1"/>
          <w:color w:val="FF0000"/>
          <w:strike w:val="1"/>
        </w:rPr>
        <w:t>adequate and</w:t>
      </w:r>
      <w:r>
        <w:rPr>
          <w:rFonts w:ascii="Arial" w:cs="Arial" w:eastAsia="Arial" w:hAnsi="Arial"/>
          <w:sz w:val="20"/>
          <w:szCs w:val="20"/>
          <w:color w:val="000000"/>
        </w:rPr>
        <w:t xml:space="preserve"> </w:t>
      </w:r>
      <w:r>
        <w:rPr>
          <w:rFonts w:ascii="Arial" w:cs="Arial" w:eastAsia="Arial" w:hAnsi="Arial"/>
          <w:sz w:val="20"/>
          <w:szCs w:val="20"/>
          <w:b w:val="1"/>
          <w:bCs w:val="1"/>
          <w:color w:val="FF0000"/>
          <w:strike w:val="1"/>
        </w:rPr>
        <w:t>reasonable means do not exist for ascertaining the Adjusted LIBO Rate for such Interest Period; or</w:t>
      </w:r>
      <w:r>
        <w:rPr>
          <w:rFonts w:ascii="Arial" w:cs="Arial" w:eastAsia="Arial" w:hAnsi="Arial"/>
          <w:sz w:val="20"/>
          <w:szCs w:val="20"/>
          <w:b w:val="1"/>
          <w:bCs w:val="1"/>
          <w:u w:val="single" w:color="auto"/>
          <w:color w:val="0000FF"/>
          <w:strike w:val="1"/>
        </w:rPr>
        <w:t>“Adjusted Term SOFR”</w:t>
      </w:r>
      <w:r>
        <w:rPr>
          <w:rFonts w:ascii="Arial" w:cs="Arial" w:eastAsia="Arial" w:hAnsi="Arial"/>
          <w:sz w:val="20"/>
          <w:szCs w:val="20"/>
          <w:b w:val="1"/>
          <w:bCs w:val="1"/>
          <w:color w:val="FF0000"/>
          <w:strike w:val="1"/>
        </w:rPr>
        <w:t xml:space="preserve"> </w:t>
      </w:r>
      <w:r>
        <w:rPr>
          <w:rFonts w:ascii="Arial" w:cs="Arial" w:eastAsia="Arial" w:hAnsi="Arial"/>
          <w:sz w:val="20"/>
          <w:szCs w:val="20"/>
          <w:b w:val="1"/>
          <w:bCs w:val="1"/>
          <w:u w:val="single" w:color="auto"/>
          <w:color w:val="0000FF"/>
          <w:strike w:val="1"/>
        </w:rPr>
        <w:t>cannot be determined pursuant to the definition thereof, the Administrative Agent will promptly so notify the Borrower and each Lender.</w:t>
      </w:r>
    </w:p>
    <w:p>
      <w:pPr>
        <w:spacing w:after="0" w:line="176" w:lineRule="exact"/>
        <w:rPr>
          <w:rFonts w:ascii="Arial" w:cs="Arial" w:eastAsia="Arial" w:hAnsi="Arial"/>
          <w:sz w:val="20"/>
          <w:szCs w:val="20"/>
          <w:b w:val="1"/>
          <w:bCs w:val="1"/>
          <w:color w:val="FF0000"/>
          <w:strike w:val="1"/>
        </w:rPr>
      </w:pPr>
    </w:p>
    <w:p>
      <w:pPr>
        <w:jc w:val="both"/>
        <w:ind w:left="-20" w:firstLine="1490"/>
        <w:spacing w:after="0" w:line="248" w:lineRule="auto"/>
        <w:tabs>
          <w:tab w:leader="none" w:pos="2268" w:val="left"/>
        </w:tabs>
        <w:numPr>
          <w:ilvl w:val="1"/>
          <w:numId w:val="201"/>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 xml:space="preserve">the Administrative Agent is advised by the Required Lenders that the Adjusted LIBO Rate for such Interest Period will not adequately and fairly reflect the </w:t>
      </w:r>
      <w:r>
        <w:rPr>
          <w:rFonts w:ascii="Arial" w:cs="Arial" w:eastAsia="Arial" w:hAnsi="Arial"/>
          <w:sz w:val="21"/>
          <w:szCs w:val="21"/>
          <w:b w:val="1"/>
          <w:bCs w:val="1"/>
          <w:color w:val="FF0000"/>
          <w:strike w:val="1"/>
        </w:rPr>
        <w:t>cost</w:t>
      </w:r>
      <w:r>
        <w:rPr>
          <w:rFonts w:ascii="Arial" w:cs="Arial" w:eastAsia="Arial" w:hAnsi="Arial"/>
          <w:sz w:val="20"/>
          <w:szCs w:val="20"/>
          <w:b w:val="1"/>
          <w:bCs w:val="1"/>
          <w:color w:val="FF0000"/>
          <w:strike w:val="1"/>
        </w:rPr>
        <w:t xml:space="preserve"> to such Lenders of making or maintaining their Loans included in such Borrowing for such Interest Period (in each case with respect to the Loans impacted by this clause (b) or clause (a) above, “</w:t>
      </w:r>
      <w:r>
        <w:rPr>
          <w:rFonts w:ascii="Arial" w:cs="Arial" w:eastAsia="Arial" w:hAnsi="Arial"/>
          <w:sz w:val="20"/>
          <w:szCs w:val="20"/>
          <w:b w:val="1"/>
          <w:bCs w:val="1"/>
          <w:u w:val="single" w:color="auto"/>
          <w:color w:val="FF0000"/>
          <w:strike w:val="1"/>
        </w:rPr>
        <w:t>Impacted Loans</w:t>
      </w:r>
      <w:r>
        <w:rPr>
          <w:rFonts w:ascii="Arial" w:cs="Arial" w:eastAsia="Arial" w:hAnsi="Arial"/>
          <w:sz w:val="20"/>
          <w:szCs w:val="20"/>
          <w:b w:val="1"/>
          <w:bCs w:val="1"/>
          <w:color w:val="FF0000"/>
          <w:strike w:val="1"/>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20" w:top="346" w:right="519" w:bottom="1440" w:gutter="0" w:footer="0" w:header="0"/>
        </w:sectPr>
      </w:pPr>
    </w:p>
    <w:bookmarkStart w:id="262" w:name="page263"/>
    <w:bookmarkEnd w:id="262"/>
    <w:p>
      <w:pPr>
        <w:jc w:val="both"/>
        <w:ind w:firstLine="741"/>
        <w:spacing w:after="0" w:line="278" w:lineRule="auto"/>
        <w:tabs>
          <w:tab w:leader="none" w:pos="1539" w:val="left"/>
        </w:tabs>
        <w:numPr>
          <w:ilvl w:val="0"/>
          <w:numId w:val="202"/>
        </w:numPr>
        <w:rPr>
          <w:rFonts w:ascii="Arial" w:cs="Arial" w:eastAsia="Arial" w:hAnsi="Arial"/>
          <w:sz w:val="18"/>
          <w:szCs w:val="18"/>
          <w:b w:val="1"/>
          <w:bCs w:val="1"/>
          <w:color w:val="FF0000"/>
          <w:strike w:val="1"/>
        </w:rPr>
      </w:pPr>
      <w:r>
        <w:rPr>
          <w:rFonts w:ascii="Arial" w:cs="Arial" w:eastAsia="Arial" w:hAnsi="Arial"/>
          <w:sz w:val="18"/>
          <w:szCs w:val="18"/>
          <w:b w:val="1"/>
          <w:bCs w:val="1"/>
          <w:u w:val="single" w:color="auto"/>
          <w:color w:val="0000FF"/>
        </w:rPr>
        <w:t>Upon notice thereof by</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Administrative Agent</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shall give notice thereof</w:t>
      </w:r>
      <w:r>
        <w:rPr>
          <w:rFonts w:ascii="Arial" w:cs="Arial" w:eastAsia="Arial" w:hAnsi="Arial"/>
          <w:sz w:val="18"/>
          <w:szCs w:val="18"/>
          <w:b w:val="1"/>
          <w:bCs w:val="1"/>
          <w:color w:val="0000FF"/>
        </w:rPr>
        <w:t xml:space="preserve"> </w:t>
      </w:r>
      <w:r>
        <w:rPr>
          <w:rFonts w:ascii="Arial" w:cs="Arial" w:eastAsia="Arial" w:hAnsi="Arial"/>
          <w:sz w:val="18"/>
          <w:szCs w:val="18"/>
          <w:color w:val="000000"/>
        </w:rPr>
        <w:t>to the Borrower</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and</w:t>
      </w:r>
      <w:r>
        <w:rPr>
          <w:rFonts w:ascii="Arial" w:cs="Arial" w:eastAsia="Arial" w:hAnsi="Arial"/>
          <w:sz w:val="18"/>
          <w:szCs w:val="18"/>
          <w:b w:val="1"/>
          <w:bCs w:val="1"/>
          <w:u w:val="single" w:color="auto"/>
          <w:color w:val="0000FF"/>
        </w:rPr>
        <w:t>, any obligation of</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the Lenders </w:t>
      </w:r>
      <w:r>
        <w:rPr>
          <w:rFonts w:ascii="Arial" w:cs="Arial" w:eastAsia="Arial" w:hAnsi="Arial"/>
          <w:sz w:val="18"/>
          <w:szCs w:val="18"/>
          <w:b w:val="1"/>
          <w:bCs w:val="1"/>
          <w:color w:val="FF0000"/>
          <w:strike w:val="1"/>
        </w:rPr>
        <w:t>by telephone or facsimile as promptly as practicable thereafter and,</w:t>
      </w:r>
      <w:r>
        <w:rPr>
          <w:rFonts w:ascii="Arial" w:cs="Arial" w:eastAsia="Arial" w:hAnsi="Arial"/>
          <w:sz w:val="18"/>
          <w:szCs w:val="18"/>
          <w:b w:val="1"/>
          <w:bCs w:val="1"/>
          <w:u w:val="single" w:color="auto"/>
          <w:color w:val="0000FF"/>
        </w:rPr>
        <w:t>to make SOFR Loans, and any right of the</w:t>
      </w:r>
    </w:p>
    <w:p>
      <w:pPr>
        <w:jc w:val="both"/>
        <w:spacing w:after="0" w:line="267" w:lineRule="auto"/>
        <w:rPr>
          <w:rFonts w:ascii="Arial" w:cs="Arial" w:eastAsia="Arial" w:hAnsi="Arial"/>
          <w:sz w:val="18"/>
          <w:szCs w:val="18"/>
          <w:b w:val="1"/>
          <w:bCs w:val="1"/>
          <w:color w:val="FF0000"/>
          <w:strike w:val="1"/>
        </w:rPr>
      </w:pPr>
      <w:r>
        <w:rPr>
          <w:rFonts w:ascii="Arial" w:cs="Arial" w:eastAsia="Arial" w:hAnsi="Arial"/>
          <w:sz w:val="18"/>
          <w:szCs w:val="18"/>
          <w:b w:val="1"/>
          <w:bCs w:val="1"/>
          <w:u w:val="single" w:color="auto"/>
          <w:color w:val="0000FF"/>
        </w:rPr>
        <w:t>Borrower to continue SOFR Loans or to convert ABR Loans to SOFR Loans, shall be suspended (to the extent of the affected SOFR Loans or affected Interest Periods)</w:t>
      </w:r>
      <w:r>
        <w:rPr>
          <w:rFonts w:ascii="Arial" w:cs="Arial" w:eastAsia="Arial" w:hAnsi="Arial"/>
          <w:sz w:val="18"/>
          <w:szCs w:val="18"/>
          <w:b w:val="1"/>
          <w:bCs w:val="1"/>
          <w:color w:val="0000FF"/>
        </w:rPr>
        <w:t xml:space="preserve"> </w:t>
      </w:r>
      <w:r>
        <w:rPr>
          <w:rFonts w:ascii="Arial" w:cs="Arial" w:eastAsia="Arial" w:hAnsi="Arial"/>
          <w:sz w:val="18"/>
          <w:szCs w:val="18"/>
          <w:color w:val="000000"/>
        </w:rPr>
        <w:t>until the Administrative Agent</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notifies the</w:t>
      </w:r>
      <w:r>
        <w:rPr>
          <w:rFonts w:ascii="Arial" w:cs="Arial" w:eastAsia="Arial" w:hAnsi="Arial"/>
          <w:sz w:val="18"/>
          <w:szCs w:val="18"/>
          <w:b w:val="1"/>
          <w:bCs w:val="1"/>
          <w:color w:val="0000FF"/>
        </w:rPr>
        <w:t xml:space="preserve"> </w:t>
      </w:r>
      <w:r>
        <w:rPr>
          <w:rFonts w:ascii="Arial" w:cs="Arial" w:eastAsia="Arial" w:hAnsi="Arial"/>
          <w:sz w:val="19"/>
          <w:szCs w:val="19"/>
          <w:b w:val="1"/>
          <w:bCs w:val="1"/>
          <w:color w:val="FF0000"/>
          <w:strike w:val="1"/>
        </w:rPr>
        <w:t>Borrower</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and the Lenders that the</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circumstances giving rise to such notice no longer exist, (i) in the event any Loans denominated in Dollars or Canadian Dollars are so affected, (x) any Interest Election Request that requests the</w:t>
      </w:r>
      <w:r>
        <w:rPr>
          <w:rFonts w:ascii="Arial" w:cs="Arial" w:eastAsia="Arial" w:hAnsi="Arial"/>
          <w:sz w:val="18"/>
          <w:szCs w:val="18"/>
          <w:b w:val="1"/>
          <w:bCs w:val="1"/>
          <w:u w:val="single" w:color="auto"/>
          <w:color w:val="0000FF"/>
          <w:strike w:val="1"/>
        </w:rPr>
        <w:t>revokes such notice. Upon receipt of such notice, (i) the</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Borrower may revoke any pending request for a borrowing of,</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conversion</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color w:val="FF0000"/>
          <w:strike w:val="1"/>
        </w:rPr>
        <w:t>of any Borrowing in Dollars or Canadian Dollars</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to</w:t>
      </w:r>
      <w:r>
        <w:rPr>
          <w:rFonts w:ascii="Arial" w:cs="Arial" w:eastAsia="Arial" w:hAnsi="Arial"/>
          <w:sz w:val="18"/>
          <w:szCs w:val="18"/>
          <w:b w:val="1"/>
          <w:bCs w:val="1"/>
          <w:color w:val="FF0000"/>
          <w:strike w:val="1"/>
        </w:rPr>
        <w:t>,</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or</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 xml:space="preserve">continuation of </w:t>
      </w:r>
      <w:r>
        <w:rPr>
          <w:rFonts w:ascii="Arial" w:cs="Arial" w:eastAsia="Arial" w:hAnsi="Arial"/>
          <w:sz w:val="18"/>
          <w:szCs w:val="18"/>
          <w:b w:val="1"/>
          <w:bCs w:val="1"/>
          <w:color w:val="FF0000"/>
          <w:strike w:val="1"/>
        </w:rPr>
        <w:t>any Borrowing in Dollars or Canadian Dollars as, a Eurodollar Borrowing in Dollars or Canadian Dollars shall be</w:t>
      </w:r>
      <w:r>
        <w:rPr>
          <w:rFonts w:ascii="Arial" w:cs="Arial" w:eastAsia="Arial" w:hAnsi="Arial"/>
          <w:sz w:val="18"/>
          <w:szCs w:val="18"/>
          <w:color w:val="000000"/>
          <w:strike w:val="1"/>
        </w:rPr>
        <w:t xml:space="preserve"> </w:t>
      </w:r>
      <w:r>
        <w:rPr>
          <w:rFonts w:ascii="Arial" w:cs="Arial" w:eastAsia="Arial" w:hAnsi="Arial"/>
          <w:sz w:val="18"/>
          <w:szCs w:val="18"/>
          <w:b w:val="1"/>
          <w:bCs w:val="1"/>
          <w:color w:val="FF0000"/>
          <w:strike w:val="1"/>
        </w:rPr>
        <w:t>ineffective and (y) if any Borrowing Request requests a Eurodollar Borrowing in Dollars or Canadian Dollars, then such Borrowing shall be made as an ABR Borrowing, unless such Borrowing is a Revolving Facility Borrowing denominated in Canadian Dollars, in which case such Borrowing Request shall be ineffective and (ii) in the event any Loans denominated in an Alternative Currency (other than Canadian Dollars) are so affected, the relevant</w:t>
      </w:r>
      <w:r>
        <w:rPr>
          <w:rFonts w:ascii="Arial" w:cs="Arial" w:eastAsia="Arial" w:hAnsi="Arial"/>
          <w:sz w:val="18"/>
          <w:szCs w:val="18"/>
          <w:b w:val="1"/>
          <w:bCs w:val="1"/>
          <w:u w:val="single" w:color="auto"/>
          <w:color w:val="0000FF"/>
          <w:strike w:val="1"/>
        </w:rPr>
        <w:t>SOFR Loans (to the extent of the affected SOFR</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Section 2.16. Subject to Section 2.25, if the Administrative Agent determines (which determination shall be conclusive and binding absent manifest error) that “ Adjusted Term SOFR” cannot be determined pursuant to the definition thereof on any given day, the</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interest rate</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u w:val="single" w:color="auto"/>
          <w:color w:val="0000FF"/>
          <w:strike w:val="1"/>
        </w:rPr>
        <w:t>on ABR Loans</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shall be determined</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color w:val="FF0000"/>
          <w:strike w:val="1"/>
        </w:rPr>
        <w:t>in accordance with clause (ii</w:t>
      </w:r>
      <w:r>
        <w:rPr>
          <w:rFonts w:ascii="Arial" w:cs="Arial" w:eastAsia="Arial" w:hAnsi="Arial"/>
          <w:sz w:val="18"/>
          <w:szCs w:val="18"/>
          <w:b w:val="1"/>
          <w:bCs w:val="1"/>
          <w:u w:val="single" w:color="auto"/>
          <w:color w:val="0000FF"/>
          <w:strike w:val="1"/>
        </w:rPr>
        <w:t>by the Administrative</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u w:val="single" w:color="auto"/>
          <w:color w:val="0000FF"/>
          <w:strike w:val="1"/>
        </w:rPr>
        <w:t>Agent without reference to clause (c</w:t>
      </w:r>
      <w:r>
        <w:rPr>
          <w:rFonts w:ascii="Arial" w:cs="Arial" w:eastAsia="Arial" w:hAnsi="Arial"/>
          <w:sz w:val="18"/>
          <w:szCs w:val="18"/>
          <w:color w:val="000000"/>
          <w:strike w:val="1"/>
        </w:rPr>
        <w:t>) of the definition of “</w:t>
      </w:r>
      <w:r>
        <w:rPr>
          <w:rFonts w:ascii="Arial" w:cs="Arial" w:eastAsia="Arial" w:hAnsi="Arial"/>
          <w:sz w:val="18"/>
          <w:szCs w:val="18"/>
          <w:b w:val="1"/>
          <w:bCs w:val="1"/>
          <w:color w:val="FF0000"/>
          <w:strike w:val="1"/>
        </w:rPr>
        <w:t>LIBO Rate”;</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b w:val="1"/>
          <w:bCs w:val="1"/>
          <w:color w:val="FF0000"/>
          <w:strike w:val="1"/>
        </w:rPr>
        <w:t>,</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u w:val="single" w:color="auto"/>
          <w:color w:val="FF0000"/>
          <w:strike w:val="1"/>
        </w:rPr>
        <w:t>however</w:t>
      </w:r>
      <w:r>
        <w:rPr>
          <w:rFonts w:ascii="Arial" w:cs="Arial" w:eastAsia="Arial" w:hAnsi="Arial"/>
          <w:sz w:val="18"/>
          <w:szCs w:val="18"/>
          <w:b w:val="1"/>
          <w:bCs w:val="1"/>
          <w:color w:val="FF0000"/>
          <w:strike w:val="1"/>
        </w:rPr>
        <w:t>, that, in each case, the Borrower may</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color w:val="FF0000"/>
          <w:strike w:val="1"/>
        </w:rPr>
        <w:t>revoke any Borrowing Request that is pending when such notice is received</w:t>
      </w:r>
      <w:r>
        <w:rPr>
          <w:rFonts w:ascii="Arial" w:cs="Arial" w:eastAsia="Arial" w:hAnsi="Arial"/>
          <w:sz w:val="18"/>
          <w:szCs w:val="18"/>
          <w:b w:val="1"/>
          <w:bCs w:val="1"/>
          <w:u w:val="single" w:color="auto"/>
          <w:color w:val="0000FF"/>
          <w:strike w:val="1"/>
        </w:rPr>
        <w:t>ABR” until the Administrative Agent revokes such</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determination</w:t>
      </w:r>
      <w:r>
        <w:rPr>
          <w:rFonts w:ascii="Arial" w:cs="Arial" w:eastAsia="Arial" w:hAnsi="Arial"/>
          <w:sz w:val="18"/>
          <w:szCs w:val="18"/>
          <w:color w:val="000000"/>
          <w:strike w:val="1"/>
        </w:rPr>
        <w:t>.</w:t>
      </w:r>
    </w:p>
    <w:p>
      <w:pPr>
        <w:spacing w:after="0" w:line="160" w:lineRule="exact"/>
        <w:rPr>
          <w:rFonts w:ascii="Arial" w:cs="Arial" w:eastAsia="Arial" w:hAnsi="Arial"/>
          <w:sz w:val="18"/>
          <w:szCs w:val="18"/>
          <w:b w:val="1"/>
          <w:bCs w:val="1"/>
          <w:color w:val="FF0000"/>
          <w:strike w:val="1"/>
        </w:rPr>
      </w:pPr>
    </w:p>
    <w:p>
      <w:pPr>
        <w:jc w:val="both"/>
        <w:ind w:right="20" w:firstLine="1490"/>
        <w:spacing w:after="0" w:line="248" w:lineRule="auto"/>
        <w:tabs>
          <w:tab w:leader="none" w:pos="2287" w:val="left"/>
        </w:tabs>
        <w:numPr>
          <w:ilvl w:val="1"/>
          <w:numId w:val="202"/>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 xml:space="preserve">Notwithstanding the foregoing, if the Administrative Agent has made the determination described in clause (a) of this Section 2.14 and/or is advised by the Required Lenders of their determination in accordance with clause (b) of this Section 2.14 and the Borrower shall so request, the Administrative Agent, the Required Lenders </w:t>
      </w:r>
      <w:r>
        <w:rPr>
          <w:rFonts w:ascii="Arial" w:cs="Arial" w:eastAsia="Arial" w:hAnsi="Arial"/>
          <w:sz w:val="21"/>
          <w:szCs w:val="21"/>
          <w:b w:val="1"/>
          <w:bCs w:val="1"/>
          <w:color w:val="FF0000"/>
          <w:strike w:val="1"/>
        </w:rPr>
        <w:t>and</w:t>
      </w:r>
      <w:r>
        <w:rPr>
          <w:rFonts w:ascii="Arial" w:cs="Arial" w:eastAsia="Arial" w:hAnsi="Arial"/>
          <w:sz w:val="20"/>
          <w:szCs w:val="20"/>
          <w:b w:val="1"/>
          <w:bCs w:val="1"/>
          <w:color w:val="FF0000"/>
          <w:strike w:val="1"/>
        </w:rPr>
        <w:t xml:space="preserve"> the Borrower shall negotiate</w:t>
      </w:r>
    </w:p>
    <w:p>
      <w:pPr>
        <w:spacing w:after="0" w:line="22" w:lineRule="exact"/>
        <w:rPr>
          <w:sz w:val="20"/>
          <w:szCs w:val="20"/>
          <w:color w:val="auto"/>
        </w:rPr>
      </w:pPr>
    </w:p>
    <w:p>
      <w:pPr>
        <w:jc w:val="both"/>
        <w:ind w:right="20"/>
        <w:spacing w:after="0" w:line="252" w:lineRule="auto"/>
        <w:rPr>
          <w:sz w:val="20"/>
          <w:szCs w:val="20"/>
          <w:color w:val="auto"/>
        </w:rPr>
      </w:pPr>
      <w:r>
        <w:rPr>
          <w:rFonts w:ascii="Arial" w:cs="Arial" w:eastAsia="Arial" w:hAnsi="Arial"/>
          <w:sz w:val="20"/>
          <w:szCs w:val="20"/>
          <w:b w:val="1"/>
          <w:bCs w:val="1"/>
          <w:color w:val="FF0000"/>
          <w:strike w:val="1"/>
        </w:rPr>
        <w:t xml:space="preserve">in good faith to amend the definition of “LIBO Rate” and other applicable provisions to preserve the original intent thereof in light of such change; </w:t>
      </w:r>
      <w:r>
        <w:rPr>
          <w:rFonts w:ascii="Arial" w:cs="Arial" w:eastAsia="Arial" w:hAnsi="Arial"/>
          <w:sz w:val="20"/>
          <w:szCs w:val="20"/>
          <w:b w:val="1"/>
          <w:bCs w:val="1"/>
          <w:u w:val="single" w:color="auto"/>
          <w:color w:val="FF0000"/>
          <w:strike w:val="1"/>
        </w:rPr>
        <w:t>provided</w:t>
      </w:r>
      <w:r>
        <w:rPr>
          <w:rFonts w:ascii="Arial" w:cs="Arial" w:eastAsia="Arial" w:hAnsi="Arial"/>
          <w:sz w:val="20"/>
          <w:szCs w:val="20"/>
          <w:b w:val="1"/>
          <w:bCs w:val="1"/>
          <w:color w:val="FF0000"/>
          <w:strike w:val="1"/>
        </w:rPr>
        <w:t xml:space="preserve"> that, until so amended, such Impacted Loans will be handled as otherwise provided pursuant to the terms of this Section 2.14.</w:t>
      </w:r>
    </w:p>
    <w:p>
      <w:pPr>
        <w:spacing w:after="0" w:line="198" w:lineRule="exact"/>
        <w:rPr>
          <w:sz w:val="20"/>
          <w:szCs w:val="20"/>
          <w:color w:val="auto"/>
        </w:rPr>
      </w:pPr>
    </w:p>
    <w:p>
      <w:pPr>
        <w:jc w:val="center"/>
        <w:ind w:right="-239"/>
        <w:spacing w:after="0"/>
        <w:tabs>
          <w:tab w:leader="none" w:pos="340" w:val="left"/>
        </w:tabs>
        <w:rPr>
          <w:sz w:val="20"/>
          <w:szCs w:val="20"/>
          <w:color w:val="auto"/>
        </w:rPr>
      </w:pPr>
      <w:r>
        <w:rPr>
          <w:rFonts w:ascii="Arial" w:cs="Arial" w:eastAsia="Arial" w:hAnsi="Arial"/>
          <w:sz w:val="20"/>
          <w:szCs w:val="20"/>
          <w:color w:val="010000"/>
        </w:rPr>
        <w:t>SECTION 2.15</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228" w:lineRule="exact"/>
        <w:rPr>
          <w:sz w:val="20"/>
          <w:szCs w:val="20"/>
          <w:color w:val="auto"/>
        </w:rPr>
      </w:pPr>
    </w:p>
    <w:p>
      <w:pPr>
        <w:ind w:left="2240" w:hanging="750"/>
        <w:spacing w:after="0"/>
        <w:tabs>
          <w:tab w:leader="none" w:pos="224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228" w:lineRule="exact"/>
        <w:rPr>
          <w:rFonts w:ascii="Arial" w:cs="Arial" w:eastAsia="Arial" w:hAnsi="Arial"/>
          <w:sz w:val="20"/>
          <w:szCs w:val="20"/>
          <w:color w:val="auto"/>
        </w:rPr>
      </w:pPr>
    </w:p>
    <w:p>
      <w:pPr>
        <w:jc w:val="both"/>
        <w:ind w:left="740" w:right="40" w:firstLine="1499"/>
        <w:spacing w:after="0" w:line="269" w:lineRule="auto"/>
        <w:tabs>
          <w:tab w:leader="none" w:pos="3338" w:val="left"/>
        </w:tabs>
        <w:numPr>
          <w:ilvl w:val="1"/>
          <w:numId w:val="203"/>
        </w:numPr>
        <w:rPr>
          <w:rFonts w:ascii="Arial" w:cs="Arial" w:eastAsia="Arial" w:hAnsi="Arial"/>
          <w:sz w:val="19"/>
          <w:szCs w:val="19"/>
          <w:color w:val="010000"/>
        </w:rPr>
      </w:pPr>
      <w:r>
        <w:rPr>
          <w:rFonts w:ascii="Arial" w:cs="Arial" w:eastAsia="Arial" w:hAnsi="Arial"/>
          <w:sz w:val="19"/>
          <w:szCs w:val="19"/>
          <w:color w:val="auto"/>
        </w:rPr>
        <w:t xml:space="preserve">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w:t>
      </w:r>
      <w:r>
        <w:rPr>
          <w:rFonts w:ascii="Arial" w:cs="Arial" w:eastAsia="Arial" w:hAnsi="Arial"/>
          <w:sz w:val="19"/>
          <w:szCs w:val="19"/>
          <w:b w:val="1"/>
          <w:bCs w:val="1"/>
          <w:color w:val="FF0000"/>
          <w:strike w:val="1"/>
        </w:rPr>
        <w:t>LIBO</w:t>
      </w:r>
      <w:r>
        <w:rPr>
          <w:rFonts w:ascii="Arial" w:cs="Arial" w:eastAsia="Arial" w:hAnsi="Arial"/>
          <w:sz w:val="19"/>
          <w:szCs w:val="19"/>
          <w:b w:val="1"/>
          <w:bCs w:val="1"/>
          <w:u w:val="single" w:color="auto"/>
          <w:color w:val="0000FF"/>
        </w:rPr>
        <w:t>Term SOFR</w:t>
      </w:r>
      <w:r>
        <w:rPr>
          <w:rFonts w:ascii="Arial" w:cs="Arial" w:eastAsia="Arial" w:hAnsi="Arial"/>
          <w:sz w:val="19"/>
          <w:szCs w:val="19"/>
          <w:color w:val="auto"/>
        </w:rPr>
        <w:t xml:space="preserve"> Rate; or</w:t>
      </w:r>
    </w:p>
    <w:p>
      <w:pPr>
        <w:spacing w:after="0" w:line="182" w:lineRule="exact"/>
        <w:rPr>
          <w:rFonts w:ascii="Arial" w:cs="Arial" w:eastAsia="Arial" w:hAnsi="Arial"/>
          <w:sz w:val="19"/>
          <w:szCs w:val="19"/>
          <w:color w:val="010000"/>
        </w:rPr>
      </w:pPr>
    </w:p>
    <w:p>
      <w:pPr>
        <w:jc w:val="both"/>
        <w:ind w:left="740" w:right="40" w:firstLine="1499"/>
        <w:spacing w:after="0" w:line="249" w:lineRule="auto"/>
        <w:tabs>
          <w:tab w:leader="none" w:pos="3338" w:val="left"/>
        </w:tabs>
        <w:numPr>
          <w:ilvl w:val="1"/>
          <w:numId w:val="203"/>
        </w:numPr>
        <w:rPr>
          <w:rFonts w:ascii="Arial" w:cs="Arial" w:eastAsia="Arial" w:hAnsi="Arial"/>
          <w:sz w:val="20"/>
          <w:szCs w:val="20"/>
          <w:color w:val="010000"/>
        </w:rPr>
      </w:pPr>
      <w:r>
        <w:rPr>
          <w:rFonts w:ascii="Arial" w:cs="Arial" w:eastAsia="Arial" w:hAnsi="Arial"/>
          <w:sz w:val="20"/>
          <w:szCs w:val="20"/>
          <w:color w:val="auto"/>
        </w:rPr>
        <w:t xml:space="preserve">impose on any Lender or any Issuing Bank or the London interbank market any other condition, cost or expense (other than Taxes) affecting this Agreement or </w:t>
      </w:r>
      <w:r>
        <w:rPr>
          <w:rFonts w:ascii="Arial" w:cs="Arial" w:eastAsia="Arial" w:hAnsi="Arial"/>
          <w:sz w:val="20"/>
          <w:szCs w:val="20"/>
          <w:b w:val="1"/>
          <w:bCs w:val="1"/>
          <w:color w:val="FF0000"/>
          <w:strike w:val="1"/>
        </w:rPr>
        <w:t>Eurodollar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Loans made by such Lender or any Letter of Credit or participation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18" w:right="519" w:bottom="1440" w:gutter="0" w:footer="0" w:header="0"/>
        </w:sectPr>
      </w:pPr>
    </w:p>
    <w:bookmarkStart w:id="263" w:name="page264"/>
    <w:bookmarkEnd w:id="263"/>
    <w:p>
      <w:pPr>
        <w:jc w:val="both"/>
        <w:ind w:right="20"/>
        <w:spacing w:after="0" w:line="258" w:lineRule="auto"/>
        <w:rPr>
          <w:sz w:val="20"/>
          <w:szCs w:val="20"/>
          <w:color w:val="auto"/>
        </w:rPr>
      </w:pPr>
      <w:r>
        <w:rPr>
          <w:rFonts w:ascii="Arial" w:cs="Arial" w:eastAsia="Arial" w:hAnsi="Arial"/>
          <w:sz w:val="19"/>
          <w:szCs w:val="19"/>
          <w:color w:val="auto"/>
        </w:rPr>
        <w:t xml:space="preserve">and the result of any of the foregoing shall be to increase the cost to such Lender of making or maintaining any </w:t>
      </w:r>
      <w:r>
        <w:rPr>
          <w:rFonts w:ascii="Arial" w:cs="Arial" w:eastAsia="Arial" w:hAnsi="Arial"/>
          <w:sz w:val="19"/>
          <w:szCs w:val="19"/>
          <w:b w:val="1"/>
          <w:bCs w:val="1"/>
          <w:color w:val="FF0000"/>
          <w:strike w:val="1"/>
        </w:rPr>
        <w:t>Eurodollar</w:t>
      </w:r>
      <w:r>
        <w:rPr>
          <w:rFonts w:ascii="Arial" w:cs="Arial" w:eastAsia="Arial" w:hAnsi="Arial"/>
          <w:sz w:val="19"/>
          <w:szCs w:val="19"/>
          <w:b w:val="1"/>
          <w:bCs w:val="1"/>
          <w:u w:val="single" w:color="auto"/>
          <w:color w:val="0000FF"/>
        </w:rPr>
        <w:t>SOFR</w:t>
      </w:r>
      <w:r>
        <w:rPr>
          <w:rFonts w:ascii="Arial" w:cs="Arial" w:eastAsia="Arial" w:hAnsi="Arial"/>
          <w:sz w:val="19"/>
          <w:szCs w:val="19"/>
          <w:color w:val="auto"/>
        </w:rPr>
        <w:t xml:space="preserve">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spacing w:after="0" w:line="195" w:lineRule="exact"/>
        <w:rPr>
          <w:sz w:val="20"/>
          <w:szCs w:val="20"/>
          <w:color w:val="auto"/>
        </w:rPr>
      </w:pPr>
    </w:p>
    <w:p>
      <w:pPr>
        <w:jc w:val="both"/>
        <w:ind w:firstLine="1467"/>
        <w:spacing w:after="0" w:line="256" w:lineRule="auto"/>
        <w:tabs>
          <w:tab w:leader="none" w:pos="2213" w:val="left"/>
        </w:tabs>
        <w:numPr>
          <w:ilvl w:val="0"/>
          <w:numId w:val="204"/>
        </w:numPr>
        <w:rPr>
          <w:rFonts w:ascii="Arial" w:cs="Arial" w:eastAsia="Arial" w:hAnsi="Arial"/>
          <w:sz w:val="19"/>
          <w:szCs w:val="19"/>
          <w:color w:val="auto"/>
        </w:rPr>
      </w:pPr>
      <w:r>
        <w:rPr>
          <w:rFonts w:ascii="Arial" w:cs="Arial" w:eastAsia="Arial" w:hAnsi="Arial"/>
          <w:sz w:val="19"/>
          <w:szCs w:val="19"/>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94" w:lineRule="exact"/>
        <w:rPr>
          <w:rFonts w:ascii="Arial" w:cs="Arial" w:eastAsia="Arial" w:hAnsi="Arial"/>
          <w:sz w:val="19"/>
          <w:szCs w:val="19"/>
          <w:color w:val="auto"/>
        </w:rPr>
      </w:pPr>
    </w:p>
    <w:p>
      <w:pPr>
        <w:jc w:val="both"/>
        <w:ind w:right="60" w:firstLine="1490"/>
        <w:spacing w:after="0" w:line="282" w:lineRule="auto"/>
        <w:tabs>
          <w:tab w:leader="none" w:pos="22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 certificate of a Lender or an Issuing Bank setting forth the amount or amounts necessary to compensate such Lender or Issuing Bank or its holding company in reasonable detail, as the case may be, as specified in paragraph (a) or (b) of this Section 2.15 delivered to the Borrower shall be conclusive absent manifest error. The Borrower shall pay such Lender or Issuing Bank, as the case may be, the amount shown as due on any such certificate within 15 days after receipt thereof.</w:t>
      </w:r>
    </w:p>
    <w:p>
      <w:pPr>
        <w:spacing w:after="0" w:line="173" w:lineRule="exact"/>
        <w:rPr>
          <w:rFonts w:ascii="Arial" w:cs="Arial" w:eastAsia="Arial" w:hAnsi="Arial"/>
          <w:sz w:val="18"/>
          <w:szCs w:val="18"/>
          <w:color w:val="auto"/>
        </w:rPr>
      </w:pPr>
    </w:p>
    <w:p>
      <w:pPr>
        <w:jc w:val="both"/>
        <w:ind w:right="60" w:firstLine="1490"/>
        <w:spacing w:after="0" w:line="258" w:lineRule="auto"/>
        <w:tabs>
          <w:tab w:leader="none" w:pos="2232" w:val="left"/>
        </w:tabs>
        <w:numPr>
          <w:ilvl w:val="1"/>
          <w:numId w:val="204"/>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Issuing Bank to demand compensation pursuant to this Section 2.15 shall not constitute a waiver of such Lender’s or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or Issuing Bank pursuant to this Section 2.15 for any increased costs incurred or reductions suffered more than 180 days prior to the date that such Lender or Issuing Bank, as the case may be, notifies the Borrower of the Change in Law giving rise to such increased costs or reductions and </w:t>
      </w:r>
      <w:r>
        <w:rPr>
          <w:rFonts w:ascii="Arial" w:cs="Arial" w:eastAsia="Arial" w:hAnsi="Arial"/>
          <w:sz w:val="16"/>
          <w:szCs w:val="16"/>
          <w:color w:val="auto"/>
        </w:rPr>
        <w:t>of such Lender’s or Issuing Bank’s intention to claim compensation therefor;</w:t>
      </w:r>
      <w:r>
        <w:rPr>
          <w:rFonts w:ascii="Arial" w:cs="Arial" w:eastAsia="Arial" w:hAnsi="Arial"/>
          <w:sz w:val="19"/>
          <w:szCs w:val="19"/>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213"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2.16</w:t>
      </w:r>
      <w:r>
        <w:rPr>
          <w:sz w:val="20"/>
          <w:szCs w:val="20"/>
          <w:color w:val="auto"/>
        </w:rPr>
        <w:tab/>
      </w:r>
      <w:r>
        <w:rPr>
          <w:rFonts w:ascii="Arial" w:cs="Arial" w:eastAsia="Arial" w:hAnsi="Arial"/>
          <w:sz w:val="16"/>
          <w:szCs w:val="16"/>
          <w:u w:val="single" w:color="auto"/>
          <w:color w:val="auto"/>
        </w:rPr>
        <w:t>Break Funding Payments</w:t>
      </w:r>
      <w:r>
        <w:rPr>
          <w:rFonts w:ascii="Arial" w:cs="Arial" w:eastAsia="Arial" w:hAnsi="Arial"/>
          <w:sz w:val="16"/>
          <w:szCs w:val="16"/>
          <w:color w:val="auto"/>
        </w:rPr>
        <w:t>.</w:t>
      </w:r>
    </w:p>
    <w:p>
      <w:pPr>
        <w:spacing w:after="0" w:line="209" w:lineRule="exact"/>
        <w:rPr>
          <w:sz w:val="20"/>
          <w:szCs w:val="20"/>
          <w:color w:val="auto"/>
        </w:rPr>
      </w:pPr>
    </w:p>
    <w:p>
      <w:pPr>
        <w:jc w:val="both"/>
        <w:ind w:firstLine="1499"/>
        <w:spacing w:after="0" w:line="302" w:lineRule="auto"/>
        <w:rPr>
          <w:sz w:val="20"/>
          <w:szCs w:val="20"/>
          <w:color w:val="auto"/>
        </w:rPr>
      </w:pPr>
      <w:r>
        <w:rPr>
          <w:rFonts w:ascii="Arial" w:cs="Arial" w:eastAsia="Arial" w:hAnsi="Arial"/>
          <w:sz w:val="16"/>
          <w:szCs w:val="16"/>
          <w:color w:val="auto"/>
        </w:rPr>
        <w:t xml:space="preserve">In the event of (a) the payment of any principal of any </w:t>
      </w:r>
      <w:r>
        <w:rPr>
          <w:rFonts w:ascii="Arial" w:cs="Arial" w:eastAsia="Arial" w:hAnsi="Arial"/>
          <w:sz w:val="16"/>
          <w:szCs w:val="16"/>
          <w:b w:val="1"/>
          <w:bCs w:val="1"/>
          <w:color w:val="FF0000"/>
          <w:strike w:val="1"/>
        </w:rPr>
        <w:t>Eurodollar</w:t>
      </w:r>
      <w:r>
        <w:rPr>
          <w:rFonts w:ascii="Arial" w:cs="Arial" w:eastAsia="Arial" w:hAnsi="Arial"/>
          <w:sz w:val="16"/>
          <w:szCs w:val="16"/>
          <w:b w:val="1"/>
          <w:bCs w:val="1"/>
          <w:u w:val="single" w:color="auto"/>
          <w:color w:val="0000FF"/>
        </w:rPr>
        <w:t>SOFR</w:t>
      </w:r>
      <w:r>
        <w:rPr>
          <w:rFonts w:ascii="Arial" w:cs="Arial" w:eastAsia="Arial" w:hAnsi="Arial"/>
          <w:sz w:val="16"/>
          <w:szCs w:val="16"/>
          <w:color w:val="auto"/>
        </w:rPr>
        <w:t xml:space="preserve"> Loan other than on the last day of </w:t>
      </w:r>
      <w:r>
        <w:rPr>
          <w:rFonts w:ascii="Arial" w:cs="Arial" w:eastAsia="Arial" w:hAnsi="Arial"/>
          <w:sz w:val="16"/>
          <w:szCs w:val="16"/>
          <w:b w:val="1"/>
          <w:bCs w:val="1"/>
          <w:color w:val="FF0000"/>
          <w:strike w:val="1"/>
        </w:rPr>
        <w:t>an</w:t>
      </w:r>
      <w:r>
        <w:rPr>
          <w:rFonts w:ascii="Arial" w:cs="Arial" w:eastAsia="Arial" w:hAnsi="Arial"/>
          <w:sz w:val="16"/>
          <w:szCs w:val="16"/>
          <w:b w:val="1"/>
          <w:bCs w:val="1"/>
          <w:u w:val="single" w:color="auto"/>
          <w:color w:val="0000FF"/>
        </w:rPr>
        <w:t>the</w:t>
      </w:r>
      <w:r>
        <w:rPr>
          <w:rFonts w:ascii="Arial" w:cs="Arial" w:eastAsia="Arial" w:hAnsi="Arial"/>
          <w:sz w:val="16"/>
          <w:szCs w:val="16"/>
          <w:color w:val="auto"/>
        </w:rPr>
        <w:t xml:space="preserve"> Interest Period applicable thereto (including as a result of an Event of Default), (b) the conversion of any </w:t>
      </w:r>
      <w:r>
        <w:rPr>
          <w:rFonts w:ascii="Arial" w:cs="Arial" w:eastAsia="Arial" w:hAnsi="Arial"/>
          <w:sz w:val="16"/>
          <w:szCs w:val="16"/>
          <w:b w:val="1"/>
          <w:bCs w:val="1"/>
          <w:color w:val="FF0000"/>
          <w:strike w:val="1"/>
        </w:rPr>
        <w:t>Eurodollar</w:t>
      </w:r>
      <w:r>
        <w:rPr>
          <w:rFonts w:ascii="Arial" w:cs="Arial" w:eastAsia="Arial" w:hAnsi="Arial"/>
          <w:sz w:val="16"/>
          <w:szCs w:val="16"/>
          <w:b w:val="1"/>
          <w:bCs w:val="1"/>
          <w:u w:val="single" w:color="auto"/>
          <w:color w:val="0000FF"/>
        </w:rPr>
        <w:t>SOFR</w:t>
      </w:r>
      <w:r>
        <w:rPr>
          <w:rFonts w:ascii="Arial" w:cs="Arial" w:eastAsia="Arial" w:hAnsi="Arial"/>
          <w:sz w:val="16"/>
          <w:szCs w:val="16"/>
          <w:color w:val="auto"/>
        </w:rPr>
        <w:t xml:space="preserve"> Loan other than on the last day of the Interest Period applicable thereto, (c) the failure to borrow, convert, continue or prepay any </w:t>
      </w:r>
      <w:r>
        <w:rPr>
          <w:rFonts w:ascii="Arial" w:cs="Arial" w:eastAsia="Arial" w:hAnsi="Arial"/>
          <w:sz w:val="16"/>
          <w:szCs w:val="16"/>
          <w:b w:val="1"/>
          <w:bCs w:val="1"/>
          <w:color w:val="FF0000"/>
          <w:strike w:val="1"/>
        </w:rPr>
        <w:t>Revolving Loan</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or Term</w:t>
      </w:r>
      <w:r>
        <w:rPr>
          <w:rFonts w:ascii="Arial" w:cs="Arial" w:eastAsia="Arial" w:hAnsi="Arial"/>
          <w:sz w:val="16"/>
          <w:szCs w:val="16"/>
          <w:b w:val="1"/>
          <w:bCs w:val="1"/>
          <w:u w:val="single" w:color="auto"/>
          <w:color w:val="0000FF"/>
        </w:rPr>
        <w:t>SOFR</w:t>
      </w:r>
      <w:r>
        <w:rPr>
          <w:rFonts w:ascii="Arial" w:cs="Arial" w:eastAsia="Arial" w:hAnsi="Arial"/>
          <w:sz w:val="16"/>
          <w:szCs w:val="16"/>
          <w:b w:val="1"/>
          <w:bCs w:val="1"/>
          <w:color w:val="FF0000"/>
        </w:rPr>
        <w:t xml:space="preserve"> </w:t>
      </w:r>
      <w:r>
        <w:rPr>
          <w:rFonts w:ascii="Arial" w:cs="Arial" w:eastAsia="Arial" w:hAnsi="Arial"/>
          <w:sz w:val="16"/>
          <w:szCs w:val="16"/>
          <w:color w:val="000000"/>
        </w:rPr>
        <w:t>Loan on the date specified in any notice delivered pursuant hereto</w:t>
      </w:r>
      <w:r>
        <w:rPr>
          <w:rFonts w:ascii="Arial" w:cs="Arial" w:eastAsia="Arial" w:hAnsi="Arial"/>
          <w:sz w:val="16"/>
          <w:szCs w:val="16"/>
          <w:b w:val="1"/>
          <w:bCs w:val="1"/>
          <w:color w:val="0000FF"/>
        </w:rPr>
        <w:t>,</w:t>
      </w:r>
      <w:r>
        <w:rPr>
          <w:rFonts w:ascii="Arial" w:cs="Arial" w:eastAsia="Arial" w:hAnsi="Arial"/>
          <w:sz w:val="16"/>
          <w:szCs w:val="16"/>
          <w:b w:val="1"/>
          <w:bCs w:val="1"/>
          <w:color w:val="FF0000"/>
        </w:rPr>
        <w:t xml:space="preserve"> </w:t>
      </w:r>
      <w:r>
        <w:rPr>
          <w:rFonts w:ascii="Arial" w:cs="Arial" w:eastAsia="Arial" w:hAnsi="Arial"/>
          <w:sz w:val="16"/>
          <w:szCs w:val="16"/>
          <w:color w:val="000000"/>
        </w:rPr>
        <w:t>or (d) the assignment of any</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Eurodollar</w:t>
      </w:r>
      <w:r>
        <w:rPr>
          <w:rFonts w:ascii="Arial" w:cs="Arial" w:eastAsia="Arial" w:hAnsi="Arial"/>
          <w:sz w:val="16"/>
          <w:szCs w:val="16"/>
          <w:b w:val="1"/>
          <w:bCs w:val="1"/>
          <w:u w:val="single" w:color="auto"/>
          <w:color w:val="0000FF"/>
        </w:rPr>
        <w:t>SOFR</w:t>
      </w:r>
      <w:r>
        <w:rPr>
          <w:rFonts w:ascii="Arial" w:cs="Arial" w:eastAsia="Arial" w:hAnsi="Arial"/>
          <w:sz w:val="16"/>
          <w:szCs w:val="16"/>
          <w:b w:val="1"/>
          <w:bCs w:val="1"/>
          <w:color w:val="FF0000"/>
        </w:rPr>
        <w:t xml:space="preserve"> </w:t>
      </w:r>
      <w:r>
        <w:rPr>
          <w:rFonts w:ascii="Arial" w:cs="Arial" w:eastAsia="Arial" w:hAnsi="Arial"/>
          <w:sz w:val="16"/>
          <w:szCs w:val="16"/>
          <w:color w:val="000000"/>
        </w:rPr>
        <w:t>Loan</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other than on the last day of the Interest Period applicable thereto as a result of a request by the Borrower pursuant to </w:t>
      </w:r>
      <w:r>
        <w:rPr>
          <w:rFonts w:ascii="Arial" w:cs="Arial" w:eastAsia="Arial" w:hAnsi="Arial"/>
          <w:sz w:val="16"/>
          <w:szCs w:val="16"/>
          <w:u w:val="single" w:color="auto"/>
          <w:color w:val="000000"/>
        </w:rPr>
        <w:t>Section 2.19</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9.02(c)</w:t>
      </w:r>
      <w:r>
        <w:rPr>
          <w:rFonts w:ascii="Arial" w:cs="Arial" w:eastAsia="Arial" w:hAnsi="Arial"/>
          <w:sz w:val="16"/>
          <w:szCs w:val="16"/>
          <w:color w:val="000000"/>
        </w:rPr>
        <w:t xml:space="preserve">,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w:t>
      </w:r>
      <w:r>
        <w:rPr>
          <w:rFonts w:ascii="Arial" w:cs="Arial" w:eastAsia="Arial" w:hAnsi="Arial"/>
          <w:sz w:val="16"/>
          <w:szCs w:val="16"/>
          <w:b w:val="1"/>
          <w:bCs w:val="1"/>
          <w:color w:val="FF0000"/>
        </w:rPr>
        <w:t>For purposes of calculating amounts payable by the</w:t>
      </w:r>
    </w:p>
    <w:p>
      <w:pPr>
        <w:spacing w:after="0" w:line="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FF0000"/>
        </w:rPr>
        <w:t>Borrower to the Lenders under this Section 2.16, each Lender shall be deemed to have funded each Eurodollar Loan made by it at the Adjusted LIBO Rate for such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18" w:right="499" w:bottom="1440" w:gutter="0" w:footer="0" w:header="0"/>
        </w:sectPr>
      </w:pPr>
    </w:p>
    <w:bookmarkStart w:id="264" w:name="page265"/>
    <w:bookmarkEnd w:id="264"/>
    <w:p>
      <w:pPr>
        <w:jc w:val="both"/>
        <w:spacing w:after="0" w:line="272" w:lineRule="auto"/>
        <w:rPr>
          <w:sz w:val="20"/>
          <w:szCs w:val="20"/>
          <w:color w:val="auto"/>
        </w:rPr>
      </w:pPr>
      <w:r>
        <w:rPr>
          <w:rFonts w:ascii="Arial" w:cs="Arial" w:eastAsia="Arial" w:hAnsi="Arial"/>
          <w:sz w:val="18"/>
          <w:szCs w:val="18"/>
          <w:b w:val="1"/>
          <w:bCs w:val="1"/>
          <w:color w:val="FF0000"/>
        </w:rPr>
        <w:t xml:space="preserve">Loan by a matching deposit or other borrowing in the applicable interbank market, for a comparable amount and for a comparable period, whether or not such </w:t>
      </w:r>
      <w:r>
        <w:rPr>
          <w:rFonts w:ascii="Arial" w:cs="Arial" w:eastAsia="Arial" w:hAnsi="Arial"/>
          <w:sz w:val="18"/>
          <w:szCs w:val="18"/>
          <w:b w:val="1"/>
          <w:bCs w:val="1"/>
          <w:color w:val="FF0000"/>
          <w:strike w:val="1"/>
        </w:rPr>
        <w:t>Eurodollar Loan was in fact so funded.</w:t>
      </w:r>
      <w:r>
        <w:rPr>
          <w:rFonts w:ascii="Arial" w:cs="Arial" w:eastAsia="Arial" w:hAnsi="Arial"/>
          <w:sz w:val="18"/>
          <w:szCs w:val="18"/>
          <w:b w:val="1"/>
          <w:bCs w:val="1"/>
          <w:color w:val="FF0000"/>
        </w:rPr>
        <w:t xml:space="preserve"> </w:t>
      </w:r>
      <w:r>
        <w:rPr>
          <w:rFonts w:ascii="Arial" w:cs="Arial" w:eastAsia="Arial" w:hAnsi="Arial"/>
          <w:sz w:val="18"/>
          <w:szCs w:val="18"/>
          <w:color w:val="000000"/>
        </w:rPr>
        <w:t>A certificate of any Lender setting forth in</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reasonable detail any amount or amounts that such Lender is entitled to receive pursuant to this Section 2.16 and the reasons therefor delivered to the Borrower shall be prima facie evidence of such amounts. The Borrower shall pay such Lender the amount shown as due on any such certificate within 15 days after receipt of such demand </w:t>
      </w:r>
      <w:r>
        <w:rPr>
          <w:rFonts w:ascii="Arial" w:cs="Arial" w:eastAsia="Arial" w:hAnsi="Arial"/>
          <w:sz w:val="18"/>
          <w:szCs w:val="18"/>
          <w:b w:val="1"/>
          <w:bCs w:val="1"/>
          <w:u w:val="single" w:color="auto"/>
          <w:color w:val="0000FF"/>
        </w:rPr>
        <w:t>thereof</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Borrower shall not be required to compensate a Lender pursuant to this Section 2.16 for any loss, cost or expense more than 180 days prior to the date that such Lender delivers such certificate. Notwithstanding the foregoing, this Section 2.16 will not apply to losses, costs or expenses resulting from Taxes, as to which Section 2.17 shall govern. Notwithstanding the foregoing, no Lender shall demand compensation pursuant to this Section 2.16 if it shall not at the time be the general policy or practice of such Lender to demand such compensation in substantially the same manner as applied to other similarly situated borrowers under comparable syndicated credit facilities.</w:t>
      </w:r>
    </w:p>
    <w:p>
      <w:pPr>
        <w:spacing w:after="0" w:line="181"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2.17</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42" w:lineRule="exact"/>
        <w:rPr>
          <w:sz w:val="20"/>
          <w:szCs w:val="20"/>
          <w:color w:val="auto"/>
        </w:rPr>
      </w:pPr>
    </w:p>
    <w:p>
      <w:pPr>
        <w:jc w:val="both"/>
        <w:ind w:firstLine="1467"/>
        <w:spacing w:after="0" w:line="255" w:lineRule="auto"/>
        <w:tabs>
          <w:tab w:leader="none" w:pos="2213" w:val="left"/>
        </w:tabs>
        <w:numPr>
          <w:ilvl w:val="0"/>
          <w:numId w:val="205"/>
        </w:numPr>
        <w:rPr>
          <w:rFonts w:ascii="Arial" w:cs="Arial" w:eastAsia="Arial" w:hAnsi="Arial"/>
          <w:sz w:val="19"/>
          <w:szCs w:val="19"/>
          <w:color w:val="auto"/>
        </w:rPr>
      </w:pPr>
      <w:r>
        <w:rPr>
          <w:rFonts w:ascii="Arial" w:cs="Arial" w:eastAsia="Arial" w:hAnsi="Arial"/>
          <w:sz w:val="19"/>
          <w:szCs w:val="19"/>
          <w:color w:val="auto"/>
        </w:rPr>
        <w:t>Any and all payments by or on account of any obligation of any Loan Party under any Loan Document shall be made free and clear of and without deduction for any Taxes, except as required by applicable Requirements of Law. If the applicable withholding agent (including, for the avoidance of doubt, the Administrative Agent or any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deductions applicable to additional amounts payable under this Section 2.17), each Lender (or, in the case of a payment made to the Administrative Agent for its own account, the Administrative Agent) receives an amount equal to the sum it would have received had no such deductions been made.</w:t>
      </w:r>
    </w:p>
    <w:p>
      <w:pPr>
        <w:spacing w:after="0" w:line="159" w:lineRule="exact"/>
        <w:rPr>
          <w:rFonts w:ascii="Arial" w:cs="Arial" w:eastAsia="Arial" w:hAnsi="Arial"/>
          <w:sz w:val="19"/>
          <w:szCs w:val="19"/>
          <w:color w:val="auto"/>
        </w:rPr>
      </w:pPr>
    </w:p>
    <w:p>
      <w:pPr>
        <w:ind w:right="60" w:firstLine="1490"/>
        <w:spacing w:after="0" w:line="260" w:lineRule="auto"/>
        <w:tabs>
          <w:tab w:leader="none" w:pos="2232" w:val="left"/>
        </w:tabs>
        <w:numPr>
          <w:ilvl w:val="1"/>
          <w:numId w:val="205"/>
        </w:numPr>
        <w:rPr>
          <w:rFonts w:ascii="Arial" w:cs="Arial" w:eastAsia="Arial" w:hAnsi="Arial"/>
          <w:sz w:val="20"/>
          <w:szCs w:val="20"/>
          <w:color w:val="auto"/>
        </w:rPr>
      </w:pPr>
      <w:r>
        <w:rPr>
          <w:rFonts w:ascii="Arial" w:cs="Arial" w:eastAsia="Arial" w:hAnsi="Arial"/>
          <w:sz w:val="20"/>
          <w:szCs w:val="20"/>
          <w:color w:val="auto"/>
        </w:rPr>
        <w:t>Without limiting the provisions of paragraph (a) above, the Borrower shall timely pay any Other Taxes to the relevant Governmental Authority in accordance with Requirements of Law.</w:t>
      </w:r>
    </w:p>
    <w:p>
      <w:pPr>
        <w:spacing w:after="0" w:line="202" w:lineRule="exact"/>
        <w:rPr>
          <w:rFonts w:ascii="Arial" w:cs="Arial" w:eastAsia="Arial" w:hAnsi="Arial"/>
          <w:sz w:val="20"/>
          <w:szCs w:val="20"/>
          <w:color w:val="auto"/>
        </w:rPr>
      </w:pPr>
    </w:p>
    <w:p>
      <w:pPr>
        <w:jc w:val="both"/>
        <w:ind w:right="60" w:firstLine="1490"/>
        <w:spacing w:after="0" w:line="256" w:lineRule="auto"/>
        <w:tabs>
          <w:tab w:leader="none" w:pos="2232"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The Loan Parties shall jointly and severally indemnify the Administrative Agent and each Lender within 30 days after written demand therefor, for the full amount of any Indemnified Taxes or Other Taxes paid by the Administrative Agent or such Lender as the case may be, on or with respect to any payment by or on account of any obligation of any Loan Party under any Loan Document and any Other Taxes paid by the Administrative Agent or such Lender,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spacing w:after="0" w:line="194" w:lineRule="exact"/>
        <w:rPr>
          <w:rFonts w:ascii="Arial" w:cs="Arial" w:eastAsia="Arial" w:hAnsi="Arial"/>
          <w:sz w:val="19"/>
          <w:szCs w:val="19"/>
          <w:color w:val="auto"/>
        </w:rPr>
      </w:pPr>
    </w:p>
    <w:p>
      <w:pPr>
        <w:jc w:val="both"/>
        <w:ind w:right="60" w:firstLine="1490"/>
        <w:spacing w:after="0" w:line="258" w:lineRule="auto"/>
        <w:tabs>
          <w:tab w:leader="none" w:pos="2232"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To the extent required by any applicable Requirements of Law (as determined in good faith by the Administrative Agent), the Administrative Agent may deduct or withhold from any payment to any Lender an amount equivalent to any applicable withholding Tax. If the Internal Revenue Service or any other Governmental Authority of the United States or other jurisdiction asserts a claim that the Administrative Agent did not properly withhold Tax from amounts paid to or for the account of any Lender for any reason (including because the appropriate form was not delivered or not property executed, or because such Lender failed to notify the Administrative Agent of a change in circumstance that rendered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18" w:right="499" w:bottom="1440" w:gutter="0" w:footer="0" w:header="0"/>
        </w:sectPr>
      </w:pPr>
    </w:p>
    <w:bookmarkStart w:id="265" w:name="page266"/>
    <w:bookmarkEnd w:id="265"/>
    <w:p>
      <w:pPr>
        <w:jc w:val="both"/>
        <w:ind w:right="40"/>
        <w:spacing w:after="0" w:line="270" w:lineRule="auto"/>
        <w:rPr>
          <w:sz w:val="20"/>
          <w:szCs w:val="20"/>
          <w:color w:val="auto"/>
        </w:rPr>
      </w:pPr>
      <w:r>
        <w:rPr>
          <w:rFonts w:ascii="Arial" w:cs="Arial" w:eastAsia="Arial" w:hAnsi="Arial"/>
          <w:sz w:val="18"/>
          <w:szCs w:val="18"/>
          <w:color w:val="auto"/>
        </w:rPr>
        <w:t>the exemption from, or reduction of withholding Tax ineffective), such Lender shall indemnify and hold harmless the Administrative Agent (to the extent that the Administrative Agent has not already been reimbursed by the Loan Parties pursuant to Section 2.17 and without limiting any obligation of the Loan Parties to do so pursuant to such Section) fully for all amounts paid, directly or indirectly, by the Administrative Agent as Taxes or otherwise, together with all expenses incurred, including legal expenses, and any other out-of-pocket expenses,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Section 2.17(d). The agreements in this Section 2.17(d) shall survive the resignation and/or replacement of the Administrative Agent, any assignment of rights by, or the replacement of, a Lender, any assignment of rights by a Loan Party, the termination of this Agreement and the repayment, satisfaction or discharge of all other obligations under any Loan Document.</w:t>
      </w:r>
    </w:p>
    <w:p>
      <w:pPr>
        <w:spacing w:after="0" w:line="204" w:lineRule="exact"/>
        <w:rPr>
          <w:sz w:val="20"/>
          <w:szCs w:val="20"/>
          <w:color w:val="auto"/>
        </w:rPr>
      </w:pPr>
    </w:p>
    <w:p>
      <w:pPr>
        <w:jc w:val="both"/>
        <w:ind w:right="40" w:firstLine="1490"/>
        <w:spacing w:after="0" w:line="246" w:lineRule="auto"/>
        <w:tabs>
          <w:tab w:leader="none" w:pos="2232" w:val="left"/>
        </w:tabs>
        <w:numPr>
          <w:ilvl w:val="0"/>
          <w:numId w:val="206"/>
        </w:numPr>
        <w:rPr>
          <w:rFonts w:ascii="Arial" w:cs="Arial" w:eastAsia="Arial" w:hAnsi="Arial"/>
          <w:sz w:val="20"/>
          <w:szCs w:val="20"/>
          <w:color w:val="auto"/>
        </w:rPr>
      </w:pPr>
      <w:r>
        <w:rPr>
          <w:rFonts w:ascii="Arial" w:cs="Arial" w:eastAsia="Arial" w:hAnsi="Arial"/>
          <w:sz w:val="20"/>
          <w:szCs w:val="20"/>
          <w:color w:val="auto"/>
        </w:rPr>
        <w:t>As soon as practicable after any payment of any Taxes by a Loan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3" w:lineRule="exact"/>
        <w:rPr>
          <w:rFonts w:ascii="Arial" w:cs="Arial" w:eastAsia="Arial" w:hAnsi="Arial"/>
          <w:sz w:val="20"/>
          <w:szCs w:val="20"/>
          <w:color w:val="auto"/>
        </w:rPr>
      </w:pPr>
    </w:p>
    <w:p>
      <w:pPr>
        <w:jc w:val="both"/>
        <w:ind w:right="20" w:firstLine="1490"/>
        <w:spacing w:after="0" w:line="269" w:lineRule="auto"/>
        <w:tabs>
          <w:tab w:leader="none" w:pos="223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Lender shall, at such times as are reasonably requested by Borrower or the Administrative Agent, (i) complete any documentation required for the Borrower to obtain clearance to make payments under the Loan Documents without, or with a reduction in, any withholding Tax, (ii) provide the Borrower and the Administrative Agent with any properly completed and executed documentation prescribed by any Requirement of Law, or reasonably requested by the Borrower or the Administrative Agent, certifying as to any entitlement of such Lender to an exemption from, or reduction in, any withholding Tax with respect to any payments to be made to such Lender under the Loan Documents and (iii)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(including any specific documentation required below in this Section 2.17(f)), deliver promptly to Borrower and the Administrative Agent updated or other appropriate documentation (including any new documentation reasonably requested by the applicable withholding agent) or promptly notify the Borrower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Tax at a rate reduced by an applicable tax treaty, the Borrower, Administrative Agent or other applicable withholding agent shall withhold amounts required to be withheld by applicable law from such payments at the applicable statutory rate.</w:t>
      </w:r>
    </w:p>
    <w:p>
      <w:pPr>
        <w:spacing w:after="0" w:line="185"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Without limiting the generality of the foregoing:</w:t>
      </w:r>
    </w:p>
    <w:p>
      <w:pPr>
        <w:spacing w:after="0" w:line="228" w:lineRule="exact"/>
        <w:rPr>
          <w:sz w:val="20"/>
          <w:szCs w:val="20"/>
          <w:color w:val="auto"/>
        </w:rPr>
      </w:pPr>
    </w:p>
    <w:p>
      <w:pPr>
        <w:jc w:val="both"/>
        <w:ind w:left="740" w:firstLine="1499"/>
        <w:spacing w:after="0" w:line="244" w:lineRule="auto"/>
        <w:tabs>
          <w:tab w:leader="none" w:pos="2974" w:val="left"/>
        </w:tabs>
        <w:numPr>
          <w:ilvl w:val="0"/>
          <w:numId w:val="207"/>
        </w:numPr>
        <w:rPr>
          <w:rFonts w:ascii="Arial" w:cs="Arial" w:eastAsia="Arial" w:hAnsi="Arial"/>
          <w:sz w:val="20"/>
          <w:szCs w:val="20"/>
          <w:color w:val="010000"/>
        </w:rPr>
      </w:pPr>
      <w:r>
        <w:rPr>
          <w:rFonts w:ascii="Arial" w:cs="Arial" w:eastAsia="Arial" w:hAnsi="Arial"/>
          <w:sz w:val="20"/>
          <w:szCs w:val="20"/>
          <w:color w:val="auto"/>
        </w:rPr>
        <w:t>Each Lender that is a United States person (as defined in Section 7701(a)(30) of the Code) shall deliver to the Borrower and the Administrative Agent on or before the date on which it becomes a party to this Agreement (and from time to time thereafter upon the reasonable request of the Borrower or the Administrative Agent), two properly completed and duly signed copies of Internal Revenue Service Form W-9 (or any successor form) certifying that such Lender is exempt from U.S. federal backup withholding.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266" w:name="page267"/>
    <w:bookmarkEnd w:id="266"/>
    <w:p>
      <w:pPr>
        <w:jc w:val="both"/>
        <w:ind w:left="-200" w:firstLine="1499"/>
        <w:spacing w:after="0" w:line="246" w:lineRule="auto"/>
        <w:tabs>
          <w:tab w:leader="none" w:pos="2034" w:val="left"/>
        </w:tabs>
        <w:numPr>
          <w:ilvl w:val="0"/>
          <w:numId w:val="208"/>
        </w:numPr>
        <w:rPr>
          <w:rFonts w:ascii="Arial" w:cs="Arial" w:eastAsia="Arial" w:hAnsi="Arial"/>
          <w:sz w:val="20"/>
          <w:szCs w:val="20"/>
          <w:color w:val="010000"/>
        </w:rPr>
      </w:pPr>
      <w:r>
        <w:rPr>
          <w:rFonts w:ascii="Arial" w:cs="Arial" w:eastAsia="Arial" w:hAnsi="Arial"/>
          <w:sz w:val="20"/>
          <w:szCs w:val="20"/>
          <w:color w:val="auto"/>
        </w:rPr>
        <w:t>Each Lender that is not a United States person (as defined in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spacing w:after="0" w:line="204" w:lineRule="exact"/>
        <w:rPr>
          <w:rFonts w:ascii="Arial" w:cs="Arial" w:eastAsia="Arial" w:hAnsi="Arial"/>
          <w:sz w:val="20"/>
          <w:szCs w:val="20"/>
          <w:color w:val="010000"/>
        </w:rPr>
      </w:pPr>
    </w:p>
    <w:p>
      <w:pPr>
        <w:jc w:val="both"/>
        <w:ind w:left="540" w:right="60" w:firstLine="1507"/>
        <w:spacing w:after="0" w:line="249" w:lineRule="auto"/>
        <w:tabs>
          <w:tab w:leader="none" w:pos="2770" w:val="left"/>
        </w:tabs>
        <w:numPr>
          <w:ilvl w:val="1"/>
          <w:numId w:val="208"/>
        </w:numPr>
        <w:rPr>
          <w:rFonts w:ascii="Arial" w:cs="Arial" w:eastAsia="Arial" w:hAnsi="Arial"/>
          <w:sz w:val="20"/>
          <w:szCs w:val="20"/>
          <w:color w:val="010000"/>
        </w:rPr>
      </w:pPr>
      <w:r>
        <w:rPr>
          <w:rFonts w:ascii="Arial" w:cs="Arial" w:eastAsia="Arial" w:hAnsi="Arial"/>
          <w:sz w:val="20"/>
          <w:szCs w:val="20"/>
          <w:color w:val="auto"/>
        </w:rPr>
        <w:t>two properly completed and duly signed copies of Internal Revenue Service Form W-8BEN or W-8BEN-E (or any successor forms) claiming eligibility for benefits of an income tax treaty to which the United States of America is a party,</w:t>
      </w:r>
    </w:p>
    <w:p>
      <w:pPr>
        <w:spacing w:after="0" w:line="214" w:lineRule="exact"/>
        <w:rPr>
          <w:rFonts w:ascii="Arial" w:cs="Arial" w:eastAsia="Arial" w:hAnsi="Arial"/>
          <w:sz w:val="20"/>
          <w:szCs w:val="20"/>
          <w:color w:val="010000"/>
        </w:rPr>
      </w:pPr>
    </w:p>
    <w:p>
      <w:pPr>
        <w:ind w:left="540" w:right="60" w:firstLine="1507"/>
        <w:spacing w:after="0" w:line="260" w:lineRule="auto"/>
        <w:tabs>
          <w:tab w:leader="none" w:pos="2770" w:val="left"/>
        </w:tabs>
        <w:numPr>
          <w:ilvl w:val="1"/>
          <w:numId w:val="208"/>
        </w:numPr>
        <w:rPr>
          <w:rFonts w:ascii="Arial" w:cs="Arial" w:eastAsia="Arial" w:hAnsi="Arial"/>
          <w:sz w:val="20"/>
          <w:szCs w:val="20"/>
          <w:color w:val="010000"/>
        </w:rPr>
      </w:pPr>
      <w:r>
        <w:rPr>
          <w:rFonts w:ascii="Arial" w:cs="Arial" w:eastAsia="Arial" w:hAnsi="Arial"/>
          <w:sz w:val="20"/>
          <w:szCs w:val="20"/>
          <w:color w:val="auto"/>
        </w:rPr>
        <w:t>two properly completed and duly signed copies of Internal Revenue Service Form W-8ECI (or any successor forms),</w:t>
      </w:r>
    </w:p>
    <w:p>
      <w:pPr>
        <w:spacing w:after="0" w:line="189" w:lineRule="exact"/>
        <w:rPr>
          <w:rFonts w:ascii="Arial" w:cs="Arial" w:eastAsia="Arial" w:hAnsi="Arial"/>
          <w:sz w:val="20"/>
          <w:szCs w:val="20"/>
          <w:color w:val="010000"/>
        </w:rPr>
      </w:pPr>
    </w:p>
    <w:p>
      <w:pPr>
        <w:jc w:val="both"/>
        <w:ind w:left="540" w:right="20" w:firstLine="1507"/>
        <w:spacing w:after="0" w:line="244" w:lineRule="auto"/>
        <w:tabs>
          <w:tab w:leader="none" w:pos="2772" w:val="left"/>
        </w:tabs>
        <w:numPr>
          <w:ilvl w:val="1"/>
          <w:numId w:val="208"/>
        </w:numPr>
        <w:rPr>
          <w:rFonts w:ascii="Arial" w:cs="Arial" w:eastAsia="Arial" w:hAnsi="Arial"/>
          <w:sz w:val="20"/>
          <w:szCs w:val="20"/>
          <w:color w:val="010000"/>
        </w:rPr>
      </w:pPr>
      <w:r>
        <w:rPr>
          <w:rFonts w:ascii="Arial" w:cs="Arial" w:eastAsia="Arial" w:hAnsi="Arial"/>
          <w:sz w:val="20"/>
          <w:szCs w:val="20"/>
          <w:color w:val="auto"/>
        </w:rPr>
        <w:t>in the case of a Foreign Lender claiming the benefits of the exemption for portfolio interest under Section 871(h) or Section 881(c) of the Code, (x) two properly completed and duly signed certificates, substantially in the form of Exhibit N-1, N-2, N-3 or N-4 (any such certificate a “</w:t>
      </w:r>
      <w:r>
        <w:rPr>
          <w:rFonts w:ascii="Arial" w:cs="Arial" w:eastAsia="Arial" w:hAnsi="Arial"/>
          <w:sz w:val="20"/>
          <w:szCs w:val="20"/>
          <w:u w:val="single" w:color="auto"/>
          <w:color w:val="auto"/>
        </w:rPr>
        <w:t>United States Tax Compliance</w:t>
      </w:r>
      <w:r>
        <w:rPr>
          <w:rFonts w:ascii="Arial" w:cs="Arial" w:eastAsia="Arial" w:hAnsi="Arial"/>
          <w:sz w:val="20"/>
          <w:szCs w:val="20"/>
          <w:color w:val="auto"/>
        </w:rPr>
        <w:t xml:space="preserve"> </w:t>
      </w:r>
      <w:r>
        <w:rPr>
          <w:rFonts w:ascii="Arial" w:cs="Arial" w:eastAsia="Arial" w:hAnsi="Arial"/>
          <w:sz w:val="20"/>
          <w:szCs w:val="20"/>
          <w:u w:val="single" w:color="auto"/>
          <w:color w:val="auto"/>
        </w:rPr>
        <w:t>Certificate</w:t>
      </w:r>
      <w:r>
        <w:rPr>
          <w:rFonts w:ascii="Arial" w:cs="Arial" w:eastAsia="Arial" w:hAnsi="Arial"/>
          <w:sz w:val="20"/>
          <w:szCs w:val="20"/>
          <w:color w:val="auto"/>
        </w:rPr>
        <w:t>”), and (y) two properly completed and duly signed copies of Internal Revenue Service Form W-8BEN or W-8BEN-E (or any successor forms),</w:t>
      </w:r>
    </w:p>
    <w:p>
      <w:pPr>
        <w:spacing w:after="0" w:line="219" w:lineRule="exact"/>
        <w:rPr>
          <w:rFonts w:ascii="Arial" w:cs="Arial" w:eastAsia="Arial" w:hAnsi="Arial"/>
          <w:sz w:val="20"/>
          <w:szCs w:val="20"/>
          <w:color w:val="010000"/>
        </w:rPr>
      </w:pPr>
    </w:p>
    <w:p>
      <w:pPr>
        <w:jc w:val="both"/>
        <w:ind w:left="540" w:right="60" w:firstLine="1507"/>
        <w:spacing w:after="0" w:line="263" w:lineRule="auto"/>
        <w:tabs>
          <w:tab w:leader="none" w:pos="2770" w:val="left"/>
        </w:tabs>
        <w:numPr>
          <w:ilvl w:val="1"/>
          <w:numId w:val="208"/>
        </w:numPr>
        <w:rPr>
          <w:rFonts w:ascii="Arial" w:cs="Arial" w:eastAsia="Arial" w:hAnsi="Arial"/>
          <w:sz w:val="19"/>
          <w:szCs w:val="19"/>
          <w:color w:val="010000"/>
        </w:rPr>
      </w:pPr>
      <w:r>
        <w:rPr>
          <w:rFonts w:ascii="Arial" w:cs="Arial" w:eastAsia="Arial" w:hAnsi="Arial"/>
          <w:sz w:val="19"/>
          <w:szCs w:val="19"/>
          <w:color w:val="auto"/>
        </w:rPr>
        <w:t>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 or W-8BEN-E, United States Tax Compliance Certificate, Form W-9, Form W-8IMY (or</w:t>
      </w:r>
    </w:p>
    <w:p>
      <w:pPr>
        <w:spacing w:after="0" w:line="13" w:lineRule="exact"/>
        <w:rPr>
          <w:sz w:val="20"/>
          <w:szCs w:val="20"/>
          <w:color w:val="auto"/>
        </w:rPr>
      </w:pPr>
    </w:p>
    <w:p>
      <w:pPr>
        <w:jc w:val="both"/>
        <w:ind w:left="560" w:right="20"/>
        <w:spacing w:after="0" w:line="244" w:lineRule="auto"/>
        <w:rPr>
          <w:sz w:val="20"/>
          <w:szCs w:val="20"/>
          <w:color w:val="auto"/>
        </w:rPr>
      </w:pPr>
      <w:r>
        <w:rPr>
          <w:rFonts w:ascii="Arial" w:cs="Arial" w:eastAsia="Arial" w:hAnsi="Arial"/>
          <w:sz w:val="20"/>
          <w:szCs w:val="20"/>
          <w:color w:val="auto"/>
        </w:rPr>
        <w:t>other successor forms) or any other required information from each beneficial owner that would be required under this Section 2.17 if such beneficial owner were a Lender,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314" w:lineRule="exact"/>
        <w:rPr>
          <w:sz w:val="20"/>
          <w:szCs w:val="20"/>
          <w:color w:val="auto"/>
        </w:rPr>
      </w:pPr>
    </w:p>
    <w:p>
      <w:pPr>
        <w:jc w:val="both"/>
        <w:ind w:left="540" w:right="60" w:firstLine="1507"/>
        <w:spacing w:after="0" w:line="244" w:lineRule="auto"/>
        <w:tabs>
          <w:tab w:leader="none" w:pos="2770" w:val="left"/>
        </w:tabs>
        <w:numPr>
          <w:ilvl w:val="0"/>
          <w:numId w:val="209"/>
        </w:numPr>
        <w:rPr>
          <w:rFonts w:ascii="Arial" w:cs="Arial" w:eastAsia="Arial" w:hAnsi="Arial"/>
          <w:sz w:val="20"/>
          <w:szCs w:val="20"/>
          <w:color w:val="010000"/>
        </w:rPr>
      </w:pPr>
      <w:r>
        <w:rPr>
          <w:rFonts w:ascii="Arial" w:cs="Arial" w:eastAsia="Arial" w:hAnsi="Arial"/>
          <w:sz w:val="20"/>
          <w:szCs w:val="20"/>
          <w:color w:val="auto"/>
        </w:rPr>
        <w:t>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22" w:right="499" w:bottom="1440" w:gutter="0" w:footer="0" w:header="0"/>
        </w:sectPr>
      </w:pPr>
    </w:p>
    <w:bookmarkStart w:id="267" w:name="page268"/>
    <w:bookmarkEnd w:id="267"/>
    <w:p>
      <w:pPr>
        <w:jc w:val="both"/>
        <w:ind w:left="-1" w:right="40" w:firstLine="1499"/>
        <w:spacing w:after="0" w:line="269" w:lineRule="auto"/>
        <w:tabs>
          <w:tab w:leader="none" w:pos="2231" w:val="left"/>
        </w:tabs>
        <w:numPr>
          <w:ilvl w:val="1"/>
          <w:numId w:val="210"/>
        </w:numPr>
        <w:rPr>
          <w:rFonts w:ascii="Arial" w:cs="Arial" w:eastAsia="Arial" w:hAnsi="Arial"/>
          <w:sz w:val="18"/>
          <w:szCs w:val="18"/>
          <w:color w:val="010000"/>
        </w:rPr>
      </w:pPr>
      <w:r>
        <w:rPr>
          <w:rFonts w:ascii="Arial" w:cs="Arial" w:eastAsia="Arial" w:hAnsi="Arial"/>
          <w:sz w:val="18"/>
          <w:szCs w:val="18"/>
          <w:color w:val="auto"/>
        </w:rPr>
        <w:t>If a payment made to any Lender under any Loan Document would be subject to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3" w:lineRule="exact"/>
        <w:rPr>
          <w:rFonts w:ascii="Arial" w:cs="Arial" w:eastAsia="Arial" w:hAnsi="Arial"/>
          <w:sz w:val="18"/>
          <w:szCs w:val="18"/>
          <w:color w:val="010000"/>
        </w:rPr>
      </w:pPr>
    </w:p>
    <w:p>
      <w:pPr>
        <w:jc w:val="both"/>
        <w:ind w:left="-1" w:right="40" w:firstLine="1"/>
        <w:spacing w:after="0" w:line="272" w:lineRule="auto"/>
        <w:tabs>
          <w:tab w:leader="none" w:pos="24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of the Code) and such additional documentation reasonably requested by the Borrower or the Administrative Agent as may be necessary for the Borrower and the Administrative Agent to comply with their obligations under FATCA and to determine whether such Lender has or has not complied with such Lender’s obligations under FATCA and, if necessary, to determine the amount to deduct and withhold from such payment. Solely for purposes of this clause (iii), “FATCA” shall include any amendments made to FATCA after the date of this Agreement. Notwithstanding any other provision of this clause (f), a Lender shall not be required to deliver any form that such Lender is not legally eligible to deliver.</w:t>
      </w:r>
    </w:p>
    <w:p>
      <w:pPr>
        <w:spacing w:after="0" w:line="181" w:lineRule="exact"/>
        <w:rPr>
          <w:rFonts w:ascii="Arial" w:cs="Arial" w:eastAsia="Arial" w:hAnsi="Arial"/>
          <w:sz w:val="18"/>
          <w:szCs w:val="18"/>
          <w:color w:val="auto"/>
        </w:rPr>
      </w:pPr>
    </w:p>
    <w:p>
      <w:pPr>
        <w:jc w:val="both"/>
        <w:ind w:left="-1" w:firstLine="1499"/>
        <w:spacing w:after="0" w:line="246" w:lineRule="auto"/>
        <w:tabs>
          <w:tab w:leader="none" w:pos="2234" w:val="left"/>
        </w:tabs>
        <w:numPr>
          <w:ilvl w:val="1"/>
          <w:numId w:val="211"/>
        </w:numPr>
        <w:rPr>
          <w:rFonts w:ascii="Arial" w:cs="Arial" w:eastAsia="Arial" w:hAnsi="Arial"/>
          <w:sz w:val="20"/>
          <w:szCs w:val="20"/>
          <w:color w:val="010000"/>
        </w:rPr>
      </w:pPr>
      <w:r>
        <w:rPr>
          <w:rFonts w:ascii="Arial" w:cs="Arial" w:eastAsia="Arial" w:hAnsi="Arial"/>
          <w:sz w:val="20"/>
          <w:szCs w:val="20"/>
          <w:color w:val="auto"/>
        </w:rPr>
        <w:t>The Administrative Agent shall deliver to the Borrower on or before the date on which it becomes a party to this Agreement two properly completed and duly signed copies of Internal Revenue Service Form W-9 (or any successor form or comparable form for any successor Administrative Agent) certifying that the Administrative Agent is exempt from U.S. federal backup withholding.</w:t>
      </w:r>
    </w:p>
    <w:p>
      <w:pPr>
        <w:spacing w:after="0" w:line="200" w:lineRule="exact"/>
        <w:rPr>
          <w:sz w:val="20"/>
          <w:szCs w:val="20"/>
          <w:color w:val="auto"/>
        </w:rPr>
      </w:pPr>
    </w:p>
    <w:p>
      <w:pPr>
        <w:spacing w:after="0" w:line="205" w:lineRule="exact"/>
        <w:rPr>
          <w:sz w:val="20"/>
          <w:szCs w:val="20"/>
          <w:color w:val="auto"/>
        </w:rPr>
      </w:pPr>
    </w:p>
    <w:p>
      <w:pPr>
        <w:ind w:left="4559"/>
        <w:spacing w:after="0"/>
        <w:rPr>
          <w:sz w:val="20"/>
          <w:szCs w:val="20"/>
          <w:color w:val="auto"/>
        </w:rPr>
      </w:pPr>
      <w:r>
        <w:rPr>
          <w:rFonts w:ascii="Arial" w:cs="Arial" w:eastAsia="Arial" w:hAnsi="Arial"/>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66040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59"/>
          </w:cols>
          <w:pgMar w:left="1241" w:top="122" w:right="499" w:bottom="1440" w:gutter="0" w:footer="0" w:header="0"/>
        </w:sectPr>
      </w:pPr>
    </w:p>
    <w:bookmarkStart w:id="268" w:name="page269"/>
    <w:bookmarkEnd w:id="268"/>
    <w:p>
      <w:pPr>
        <w:jc w:val="both"/>
        <w:ind w:left="8" w:right="20" w:firstLine="1490"/>
        <w:spacing w:after="0" w:line="306" w:lineRule="auto"/>
        <w:tabs>
          <w:tab w:leader="none" w:pos="2242" w:val="left"/>
        </w:tabs>
        <w:numPr>
          <w:ilvl w:val="1"/>
          <w:numId w:val="212"/>
        </w:numPr>
        <w:rPr>
          <w:rFonts w:ascii="Arial" w:cs="Arial" w:eastAsia="Arial" w:hAnsi="Arial"/>
          <w:sz w:val="16"/>
          <w:szCs w:val="16"/>
          <w:color w:val="auto"/>
        </w:rPr>
      </w:pPr>
      <w:r>
        <w:rPr>
          <w:rFonts w:ascii="Arial" w:cs="Arial" w:eastAsia="Arial" w:hAnsi="Arial"/>
          <w:sz w:val="16"/>
          <w:szCs w:val="16"/>
          <w:color w:val="auto"/>
        </w:rPr>
        <w:t xml:space="preserve">If the Borrower determines in good faith that a reasonable basis exists for contesting any Taxes for which indemnification has been demanded hereunder, the Administrative Agent or the relevant Lender, as applicable, shall use commercially reasonable efforts to cooperate with the Borrower in a reasonable challenge of such Taxes if so requested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jc w:val="both"/>
        <w:ind w:left="8" w:right="20" w:hanging="8"/>
        <w:spacing w:after="0" w:line="265" w:lineRule="auto"/>
        <w:tabs>
          <w:tab w:leader="none" w:pos="27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the Administrative Agent or such Lender determines in its reasonable discretion that it would not be subject to any unreimbursed third party cost or expense or otherwise be prejudiced by cooperating in such challenge, (b) the Borrower pays all related expenses of the Administrative Agent or such Lender, as applicable and (c) the Borrower indemnifies the Administrative Agent or such Lender, as applicable, for any liabilities or other costs incurred by such party in connection with such challenge. If the Administrative Agent or a Lender receives a refund of any Indemnified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upon the request of the Administrative Agent or such Lender, agree promptly to repay the amount paid over to the Borrower (plus any penalties, interest or other charges imposed by the relevant Governmental Authority) to the Administrative Agent or such Lender in the event the Administrative Agent or such Lender is required to repay such refund to such</w:t>
      </w:r>
    </w:p>
    <w:p>
      <w:pPr>
        <w:spacing w:after="0" w:line="8" w:lineRule="exact"/>
        <w:rPr>
          <w:sz w:val="20"/>
          <w:szCs w:val="20"/>
          <w:color w:val="auto"/>
        </w:rPr>
      </w:pPr>
    </w:p>
    <w:p>
      <w:pPr>
        <w:jc w:val="both"/>
        <w:ind w:left="8" w:right="20"/>
        <w:spacing w:after="0" w:line="253" w:lineRule="auto"/>
        <w:rPr>
          <w:sz w:val="20"/>
          <w:szCs w:val="20"/>
          <w:color w:val="auto"/>
        </w:rPr>
      </w:pPr>
      <w:r>
        <w:rPr>
          <w:rFonts w:ascii="Arial" w:cs="Arial" w:eastAsia="Arial" w:hAnsi="Arial"/>
          <w:sz w:val="19"/>
          <w:szCs w:val="19"/>
          <w:color w:val="auto"/>
        </w:rPr>
        <w:t>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or such Lender may delete any information therein that the Administrative Agent or such Lender deems confidential). Notwithstanding anything to the contrary, this Section 2.17(g) shall not be construed to require the Administrative Agent or any Lender to make available its Tax returns (or any other information relating to Taxes which it deems confidential) to any Loan Party or any other person). Notwithstanding anything herein to the contrary, the Borrower shall not be required to compensate such Lender for any amount incurred under this Section 2.17 more than one hundred and eighty (180) days prior to the date that such Lender notifies the Borrower of the event that gives rise to such claim; provided that, if the circumstance giving rise to such claim is retroactive, then such one hundred and eighty (180) day period referred to above shall be extended to include the period of retroactive effect thereof.</w:t>
      </w:r>
    </w:p>
    <w:p>
      <w:pPr>
        <w:spacing w:after="0" w:line="202" w:lineRule="exact"/>
        <w:rPr>
          <w:sz w:val="20"/>
          <w:szCs w:val="20"/>
          <w:color w:val="auto"/>
        </w:rPr>
      </w:pPr>
    </w:p>
    <w:p>
      <w:pPr>
        <w:jc w:val="both"/>
        <w:ind w:left="8" w:right="60" w:firstLine="1490"/>
        <w:spacing w:after="0" w:line="249" w:lineRule="auto"/>
        <w:tabs>
          <w:tab w:leader="none" w:pos="22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The agreements in this Section 2.17 shall survive the resignation or replacement of the Administrative Agent or any assignment of rights by, or the replacement of, a Lender, the termination of this Agreement and the payment of the Loans and all other amounts payable hereunder.</w:t>
      </w:r>
    </w:p>
    <w:p>
      <w:pPr>
        <w:spacing w:after="0" w:line="201" w:lineRule="exact"/>
        <w:rPr>
          <w:rFonts w:ascii="Arial" w:cs="Arial" w:eastAsia="Arial" w:hAnsi="Arial"/>
          <w:sz w:val="20"/>
          <w:szCs w:val="20"/>
          <w:color w:val="auto"/>
        </w:rPr>
      </w:pPr>
    </w:p>
    <w:p>
      <w:pPr>
        <w:ind w:left="8" w:right="80" w:firstLine="1490"/>
        <w:spacing w:after="0" w:line="260" w:lineRule="auto"/>
        <w:tabs>
          <w:tab w:leader="none" w:pos="2238" w:val="left"/>
        </w:tabs>
        <w:numPr>
          <w:ilvl w:val="0"/>
          <w:numId w:val="214"/>
        </w:numPr>
        <w:rPr>
          <w:rFonts w:ascii="Arial" w:cs="Arial" w:eastAsia="Arial" w:hAnsi="Arial"/>
          <w:sz w:val="20"/>
          <w:szCs w:val="20"/>
          <w:color w:val="auto"/>
        </w:rPr>
      </w:pPr>
      <w:r>
        <w:rPr>
          <w:rFonts w:ascii="Arial" w:cs="Arial" w:eastAsia="Arial" w:hAnsi="Arial"/>
          <w:sz w:val="20"/>
          <w:szCs w:val="20"/>
          <w:color w:val="auto"/>
        </w:rPr>
        <w:t>For purposes of this Section 2.17, the term “Lender” shall include any Issuing Bank and the term “applicable Requirements of Law” includes FATCA.</w:t>
      </w:r>
    </w:p>
    <w:p>
      <w:pPr>
        <w:spacing w:after="0" w:line="189" w:lineRule="exact"/>
        <w:rPr>
          <w:sz w:val="20"/>
          <w:szCs w:val="20"/>
          <w:color w:val="auto"/>
        </w:rPr>
      </w:pPr>
    </w:p>
    <w:p>
      <w:pPr>
        <w:ind w:left="4128"/>
        <w:spacing w:after="0"/>
        <w:tabs>
          <w:tab w:leader="none" w:pos="5688" w:val="left"/>
          <w:tab w:leader="none" w:pos="6868" w:val="left"/>
          <w:tab w:leader="none" w:pos="8068" w:val="left"/>
        </w:tabs>
        <w:rPr>
          <w:sz w:val="20"/>
          <w:szCs w:val="20"/>
          <w:color w:val="auto"/>
        </w:rPr>
      </w:pPr>
      <w:r>
        <w:rPr>
          <w:rFonts w:ascii="Arial" w:cs="Arial" w:eastAsia="Arial" w:hAnsi="Arial"/>
          <w:sz w:val="20"/>
          <w:szCs w:val="20"/>
          <w:color w:val="010000"/>
        </w:rPr>
        <w:t>SECTION 2.18</w:t>
      </w:r>
      <w:r>
        <w:rPr>
          <w:sz w:val="20"/>
          <w:szCs w:val="20"/>
          <w:color w:val="auto"/>
        </w:rPr>
        <w:tab/>
      </w:r>
      <w:r>
        <w:rPr>
          <w:rFonts w:ascii="Arial" w:cs="Arial" w:eastAsia="Arial" w:hAnsi="Arial"/>
          <w:sz w:val="20"/>
          <w:szCs w:val="20"/>
          <w:color w:val="auto"/>
        </w:rPr>
        <w:t>Payments</w:t>
      </w:r>
      <w:r>
        <w:rPr>
          <w:sz w:val="20"/>
          <w:szCs w:val="20"/>
          <w:color w:val="auto"/>
        </w:rPr>
        <w:tab/>
      </w:r>
      <w:r>
        <w:rPr>
          <w:rFonts w:ascii="Arial" w:cs="Arial" w:eastAsia="Arial" w:hAnsi="Arial"/>
          <w:sz w:val="20"/>
          <w:szCs w:val="20"/>
          <w:color w:val="auto"/>
        </w:rPr>
        <w:t>Generally;</w:t>
      </w:r>
      <w:r>
        <w:rPr>
          <w:sz w:val="20"/>
          <w:szCs w:val="20"/>
          <w:color w:val="auto"/>
        </w:rPr>
        <w:tab/>
      </w:r>
      <w:r>
        <w:rPr>
          <w:rFonts w:ascii="Arial" w:cs="Arial" w:eastAsia="Arial" w:hAnsi="Arial"/>
          <w:sz w:val="18"/>
          <w:szCs w:val="18"/>
          <w:color w:val="auto"/>
        </w:rPr>
        <w:t xml:space="preserve">Pro Rata </w:t>
      </w:r>
      <w:r>
        <w:rPr>
          <w:rFonts w:ascii="Arial" w:cs="Arial" w:eastAsia="Arial" w:hAnsi="Arial"/>
          <w:sz w:val="18"/>
          <w:szCs w:val="18"/>
          <w:u w:val="single" w:color="auto"/>
          <w:color w:val="auto"/>
        </w:rPr>
        <w:t>Treatment; Sharing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198691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11">
                      <a:extLst>
                        <a:ext uri="{28A0092B-C50C-407E-A947-70E740481C1C}"/>
                      </a:extLst>
                    </a:blip>
                    <a:srcRect/>
                    <a:stretch>
                      <a:fillRect/>
                    </a:stretch>
                  </pic:blipFill>
                  <pic:spPr bwMode="auto">
                    <a:xfrm>
                      <a:off x="0" y="0"/>
                      <a:ext cx="1986915" cy="8255"/>
                    </a:xfrm>
                    <a:prstGeom prst="rect">
                      <a:avLst/>
                    </a:prstGeom>
                    <a:noFill/>
                  </pic:spPr>
                </pic:pic>
              </a:graphicData>
            </a:graphic>
          </wp:anchor>
        </w:drawing>
      </w:r>
    </w:p>
    <w:p>
      <w:pPr>
        <w:ind w:left="2628"/>
        <w:spacing w:after="0"/>
        <w:rPr>
          <w:sz w:val="20"/>
          <w:szCs w:val="20"/>
          <w:color w:val="auto"/>
        </w:rPr>
      </w:pPr>
      <w:r>
        <w:rPr>
          <w:rFonts w:ascii="Arial" w:cs="Arial" w:eastAsia="Arial" w:hAnsi="Arial"/>
          <w:sz w:val="20"/>
          <w:szCs w:val="20"/>
          <w:u w:val="single" w:color="auto"/>
          <w:color w:val="auto"/>
        </w:rPr>
        <w:t>Setoffs</w:t>
      </w:r>
      <w:r>
        <w:rPr>
          <w:rFonts w:ascii="Arial" w:cs="Arial" w:eastAsia="Arial" w:hAnsi="Arial"/>
          <w:sz w:val="20"/>
          <w:szCs w:val="20"/>
          <w:color w:val="auto"/>
        </w:rPr>
        <w:t>.</w:t>
      </w:r>
    </w:p>
    <w:p>
      <w:pPr>
        <w:spacing w:after="0" w:line="212" w:lineRule="exact"/>
        <w:rPr>
          <w:sz w:val="20"/>
          <w:szCs w:val="20"/>
          <w:color w:val="auto"/>
        </w:rPr>
      </w:pPr>
    </w:p>
    <w:p>
      <w:pPr>
        <w:jc w:val="both"/>
        <w:ind w:left="8" w:firstLine="1467"/>
        <w:spacing w:after="0" w:line="257" w:lineRule="auto"/>
        <w:tabs>
          <w:tab w:leader="none" w:pos="2274"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The Borrower shall make each payment required to be made by it under any Loan Document (whether of principal, interest, fees or reimbursement of LC Disbursements, or of amounts payable under Section 2.15, 2.16 or 2.17, or otherwise) at or prior to the time expressly required hereunder or under such other Loan Document for such payment (or, if no such time is expressly required, prior to 2:00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Except as otherwise expressly provided herein</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122" w:right="499" w:bottom="1440" w:gutter="0" w:footer="0" w:header="0"/>
        </w:sectPr>
      </w:pPr>
    </w:p>
    <w:bookmarkStart w:id="269" w:name="page270"/>
    <w:bookmarkEnd w:id="269"/>
    <w:p>
      <w:pPr>
        <w:jc w:val="both"/>
        <w:spacing w:after="0" w:line="269" w:lineRule="auto"/>
        <w:rPr>
          <w:sz w:val="20"/>
          <w:szCs w:val="20"/>
          <w:color w:val="auto"/>
        </w:rPr>
      </w:pPr>
      <w:r>
        <w:rPr>
          <w:rFonts w:ascii="Arial" w:cs="Arial" w:eastAsia="Arial" w:hAnsi="Arial"/>
          <w:sz w:val="18"/>
          <w:szCs w:val="18"/>
          <w:color w:val="auto"/>
        </w:rPr>
        <w:t xml:space="preserve">and except with respect to principal of or interest on Loans denominated in an Alternative Currency, all such payments shall be made in Dollars to such account as may be specified by the Administrative Agent. Except as otherwise expressly provided herein and except with respect to principal of or interest on Loans denominated in Dollars, all payments by the Borrower hereunder with respect to principal of and interest on Loans denominated in any Alternative Currency shall be made in such Alternative Currency to such account as may be specified by the Administrative Agent. If, for any reason, the Borrower is prohibited by any Requirements of Law from making any required payment hereunder in an Alternative Currency, the Borrower shall make such payment in Dollars in the Dollar Amount of the Alternative Currency payment amount (it being agreed that, for purposes of this sentence, the Dollar Amount shall be determined by the Administrative Agent pursuant to clause (b) of the definition of “Dollar Amount”). Payments to be made directly to any Issuing Bank shall be made as expressly provided herein and except that payments pursuant to Sections 2.15, 2.16, 2.17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Except as otherwise provided herein, if any payment under any Loan Document shall be due on a day that is not a Business Day, the date for payment shall be extended to the next succeeding Business Day. If any payment on a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 becomes due and payable on a day other than a Business Day, the maturity thereof shall be extended to the next</w:t>
      </w:r>
      <w:r>
        <w:rPr>
          <w:rFonts w:ascii="Arial" w:cs="Arial" w:eastAsia="Arial" w:hAnsi="Arial"/>
          <w:sz w:val="18"/>
          <w:szCs w:val="18"/>
          <w:b w:val="1"/>
          <w:bCs w:val="1"/>
          <w:color w:val="FF0000"/>
        </w:rPr>
        <w:t xml:space="preserve"> </w:t>
      </w:r>
      <w:r>
        <w:rPr>
          <w:rFonts w:ascii="Arial" w:cs="Arial" w:eastAsia="Arial" w:hAnsi="Arial"/>
          <w:sz w:val="18"/>
          <w:szCs w:val="18"/>
          <w:color w:val="000000"/>
        </w:rPr>
        <w:t>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spacing w:after="0" w:line="184" w:lineRule="exact"/>
        <w:rPr>
          <w:sz w:val="20"/>
          <w:szCs w:val="20"/>
          <w:color w:val="auto"/>
        </w:rPr>
      </w:pPr>
    </w:p>
    <w:p>
      <w:pPr>
        <w:jc w:val="both"/>
        <w:ind w:right="40" w:firstLine="1490"/>
        <w:spacing w:after="0" w:line="243" w:lineRule="auto"/>
        <w:tabs>
          <w:tab w:leader="none" w:pos="2287" w:val="left"/>
        </w:tabs>
        <w:numPr>
          <w:ilvl w:val="0"/>
          <w:numId w:val="216"/>
        </w:numPr>
        <w:rPr>
          <w:rFonts w:ascii="Arial" w:cs="Arial" w:eastAsia="Arial" w:hAnsi="Arial"/>
          <w:sz w:val="20"/>
          <w:szCs w:val="20"/>
          <w:color w:val="auto"/>
        </w:rPr>
      </w:pPr>
      <w:r>
        <w:rPr>
          <w:rFonts w:ascii="Arial" w:cs="Arial" w:eastAsia="Arial" w:hAnsi="Arial"/>
          <w:sz w:val="20"/>
          <w:szCs w:val="20"/>
          <w:color w:val="auto"/>
        </w:rPr>
        <w:t xml:space="preserve">If at any time insufficient funds are received by and available to the Administrative Agent to pay fully all amounts of principal, unreimbursed LC Disbursements, interest and fees then due hereunder, such funds shall be applied (i)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20"/>
          <w:szCs w:val="20"/>
          <w:u w:val="single" w:color="auto"/>
          <w:color w:val="auto"/>
        </w:rPr>
        <w:t>second</w:t>
      </w:r>
      <w:r>
        <w:rPr>
          <w:rFonts w:ascii="Arial" w:cs="Arial" w:eastAsia="Arial" w:hAnsi="Arial"/>
          <w:sz w:val="20"/>
          <w:szCs w:val="20"/>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70" w:name="page271"/>
    <w:bookmarkEnd w:id="270"/>
    <w:p>
      <w:pPr>
        <w:jc w:val="both"/>
        <w:ind w:firstLine="1467"/>
        <w:spacing w:after="0" w:line="253" w:lineRule="auto"/>
        <w:tabs>
          <w:tab w:leader="none" w:pos="2266"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of its Revolving Loans, Term Loans or participations in LC Disbursements resulting in such Lender receiving payment of a greater proportion of the aggregate amount of its Revolving Loans, Term Loans and participations in LC Disbursements and accrued interest thereon than the proportion received by any other Lender, then the Lender receiving such greater proportion shall purchase (for cash at face value) participations in the Revolving Loans, Term Loans and participations in LC Disbursements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agrees,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 in the amount of such participation.</w:t>
      </w:r>
    </w:p>
    <w:p>
      <w:pPr>
        <w:spacing w:after="0" w:line="209" w:lineRule="exact"/>
        <w:rPr>
          <w:rFonts w:ascii="Arial" w:cs="Arial" w:eastAsia="Arial" w:hAnsi="Arial"/>
          <w:sz w:val="19"/>
          <w:szCs w:val="19"/>
          <w:color w:val="auto"/>
        </w:rPr>
      </w:pPr>
    </w:p>
    <w:p>
      <w:pPr>
        <w:jc w:val="both"/>
        <w:ind w:right="40" w:firstLine="1490"/>
        <w:spacing w:after="0" w:line="241" w:lineRule="auto"/>
        <w:tabs>
          <w:tab w:leader="none" w:pos="2286" w:val="left"/>
        </w:tabs>
        <w:numPr>
          <w:ilvl w:val="1"/>
          <w:numId w:val="217"/>
        </w:numPr>
        <w:rPr>
          <w:rFonts w:ascii="Arial" w:cs="Arial" w:eastAsia="Arial" w:hAnsi="Arial"/>
          <w:sz w:val="20"/>
          <w:szCs w:val="20"/>
          <w:color w:val="auto"/>
        </w:rPr>
      </w:pPr>
      <w:r>
        <w:rPr>
          <w:rFonts w:ascii="Arial" w:cs="Arial" w:eastAsia="Arial" w:hAnsi="Arial"/>
          <w:sz w:val="20"/>
          <w:szCs w:val="20"/>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w:t>
      </w:r>
    </w:p>
    <w:p>
      <w:pPr>
        <w:spacing w:after="0" w:line="4" w:lineRule="exact"/>
        <w:rPr>
          <w:rFonts w:ascii="Arial" w:cs="Arial" w:eastAsia="Arial" w:hAnsi="Arial"/>
          <w:sz w:val="20"/>
          <w:szCs w:val="20"/>
          <w:color w:val="auto"/>
        </w:rPr>
      </w:pPr>
    </w:p>
    <w:p>
      <w:pPr>
        <w:jc w:val="both"/>
        <w:ind w:right="20"/>
        <w:spacing w:after="0" w:line="241" w:lineRule="auto"/>
        <w:rPr>
          <w:rFonts w:ascii="Arial" w:cs="Arial" w:eastAsia="Arial" w:hAnsi="Arial"/>
          <w:sz w:val="20"/>
          <w:szCs w:val="20"/>
          <w:color w:val="auto"/>
        </w:rPr>
      </w:pPr>
      <w:r>
        <w:rPr>
          <w:rFonts w:ascii="Arial" w:cs="Arial" w:eastAsia="Arial" w:hAnsi="Arial"/>
          <w:sz w:val="20"/>
          <w:szCs w:val="20"/>
          <w:color w:val="auto"/>
        </w:rPr>
        <w:t>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208" w:lineRule="exact"/>
        <w:rPr>
          <w:rFonts w:ascii="Arial" w:cs="Arial" w:eastAsia="Arial" w:hAnsi="Arial"/>
          <w:sz w:val="20"/>
          <w:szCs w:val="20"/>
          <w:color w:val="auto"/>
        </w:rPr>
      </w:pPr>
    </w:p>
    <w:p>
      <w:pPr>
        <w:jc w:val="both"/>
        <w:ind w:right="60" w:firstLine="1490"/>
        <w:spacing w:after="0" w:line="258" w:lineRule="auto"/>
        <w:tabs>
          <w:tab w:leader="none" w:pos="2286" w:val="left"/>
        </w:tabs>
        <w:numPr>
          <w:ilvl w:val="1"/>
          <w:numId w:val="217"/>
        </w:numPr>
        <w:rPr>
          <w:rFonts w:ascii="Arial" w:cs="Arial" w:eastAsia="Arial" w:hAnsi="Arial"/>
          <w:sz w:val="19"/>
          <w:szCs w:val="19"/>
          <w:color w:val="auto"/>
        </w:rPr>
      </w:pPr>
      <w:r>
        <w:rPr>
          <w:rFonts w:ascii="Arial" w:cs="Arial" w:eastAsia="Arial" w:hAnsi="Arial"/>
          <w:sz w:val="19"/>
          <w:szCs w:val="19"/>
          <w:color w:val="auto"/>
        </w:rPr>
        <w:t>If any Lender shall fail to make any payment required to be made by it pursuant to Section 2.05(e), Section 2.05(f), Section 2.06(a), Section 2.06(b), Section 2.18(d) or Section 9.03(c),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95"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2.19</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8" w:lineRule="exact"/>
        <w:rPr>
          <w:sz w:val="20"/>
          <w:szCs w:val="20"/>
          <w:color w:val="auto"/>
        </w:rPr>
      </w:pPr>
    </w:p>
    <w:p>
      <w:pPr>
        <w:ind w:right="20" w:firstLine="1467"/>
        <w:spacing w:after="0" w:line="260" w:lineRule="auto"/>
        <w:tabs>
          <w:tab w:leader="none" w:pos="2266" w:val="left"/>
        </w:tabs>
        <w:numPr>
          <w:ilvl w:val="0"/>
          <w:numId w:val="218"/>
        </w:numPr>
        <w:rPr>
          <w:rFonts w:ascii="Arial" w:cs="Arial" w:eastAsia="Arial" w:hAnsi="Arial"/>
          <w:sz w:val="20"/>
          <w:szCs w:val="20"/>
          <w:color w:val="auto"/>
        </w:rPr>
      </w:pPr>
      <w:r>
        <w:rPr>
          <w:rFonts w:ascii="Arial" w:cs="Arial" w:eastAsia="Arial" w:hAnsi="Arial"/>
          <w:sz w:val="20"/>
          <w:szCs w:val="20"/>
          <w:color w:val="auto"/>
        </w:rPr>
        <w:t>If any Lender requests compensation under Section 2.15, or if the Borrower is required to pay any additional amount to any Lender or any Governmental Authority for the account of any Lender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71" w:name="page272"/>
    <w:bookmarkEnd w:id="271"/>
    <w:p>
      <w:pPr>
        <w:jc w:val="both"/>
        <w:spacing w:after="0" w:line="274" w:lineRule="auto"/>
        <w:rPr>
          <w:sz w:val="20"/>
          <w:szCs w:val="20"/>
          <w:color w:val="auto"/>
        </w:rPr>
      </w:pPr>
      <w:r>
        <w:rPr>
          <w:rFonts w:ascii="Arial" w:cs="Arial" w:eastAsia="Arial" w:hAnsi="Arial"/>
          <w:sz w:val="18"/>
          <w:szCs w:val="18"/>
          <w:color w:val="auto"/>
        </w:rPr>
        <w:t>pursuant to Section 2.17 or any event gives rise to the operation of Section 2.23,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2.15 or 2.17 or mitigate the applicability of Section 2.23,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81" w:lineRule="exact"/>
        <w:rPr>
          <w:sz w:val="20"/>
          <w:szCs w:val="20"/>
          <w:color w:val="auto"/>
        </w:rPr>
      </w:pPr>
    </w:p>
    <w:p>
      <w:pPr>
        <w:jc w:val="both"/>
        <w:ind w:right="20" w:firstLine="1490"/>
        <w:spacing w:after="0" w:line="267" w:lineRule="auto"/>
        <w:tabs>
          <w:tab w:leader="none" w:pos="228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If (i) any Lender requests compensation under Section 2.15 or gives notice under Section 2.23, (ii) the Borrower is required to pay any additional amount to any Lender or to any Governmental Authority for the account of any Lender pursuant to Section 2.17, (iii) any Lender is or becomes a Disqualified Lender or (iv) any Lender is a Defaulting Lender, then the Borrower may, at its sole expense and effort, upon notice to such Lender and the Administrative Agent, (I) require such Lender to assign and delegate, without recourse (in accordance with and subject to the restrictions contained in Section 9.04), all its interests, rights and obligations under this Agreement and the other Loan Documents to an Eligible Assignee that shall assume such obligations (which assignee may be another Lender, if a Lender accepts such assignment and delegation);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and delegated, each Issuing Bank), which consents, in each case, shall not unreasonably be withheld or delayed, (B) such Lender shall have received payment of an amount equal to the outstanding principal of its Loans and unreimbursed participations in LC Disbursements,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Administrative Agent the processing and recordation fee specified in Section 9.04(b)(ii) and (D) in the case of any such assignment resulting from a claim for compensation under Section 2.15, or payments required to be made pursuant to Section 2.17 or a notice given under Section 2.23, such assignment will result in a material reduction in such compensation or payments or (II) terminate the Commitment of such Lender and repay all Loan Document Obligations of the Borrower owing to such Lender relating to the Loans held by such Lender as of such termination date (including in the case of a Repricing Transaction, any “prepayment premium” pursuant to Section 2.11 that would otherwise be owed in connection therewith).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218"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2.20</w:t>
      </w:r>
      <w:r>
        <w:rPr>
          <w:sz w:val="20"/>
          <w:szCs w:val="20"/>
          <w:color w:val="auto"/>
        </w:rPr>
        <w:tab/>
      </w:r>
      <w:r>
        <w:rPr>
          <w:rFonts w:ascii="Arial" w:cs="Arial" w:eastAsia="Arial" w:hAnsi="Arial"/>
          <w:sz w:val="18"/>
          <w:szCs w:val="18"/>
          <w:u w:val="single" w:color="auto"/>
          <w:color w:val="auto"/>
        </w:rPr>
        <w:t>Incremental Credit Extensions</w:t>
      </w:r>
      <w:r>
        <w:rPr>
          <w:rFonts w:ascii="Arial" w:cs="Arial" w:eastAsia="Arial" w:hAnsi="Arial"/>
          <w:sz w:val="18"/>
          <w:szCs w:val="18"/>
          <w:color w:val="auto"/>
        </w:rPr>
        <w:t>.</w:t>
      </w:r>
    </w:p>
    <w:p>
      <w:pPr>
        <w:spacing w:after="0" w:line="228" w:lineRule="exact"/>
        <w:rPr>
          <w:sz w:val="20"/>
          <w:szCs w:val="20"/>
          <w:color w:val="auto"/>
        </w:rPr>
      </w:pPr>
    </w:p>
    <w:p>
      <w:pPr>
        <w:jc w:val="both"/>
        <w:ind w:right="40" w:firstLine="1490"/>
        <w:spacing w:after="0" w:line="242" w:lineRule="auto"/>
        <w:tabs>
          <w:tab w:leader="none" w:pos="2286" w:val="left"/>
        </w:tabs>
        <w:numPr>
          <w:ilvl w:val="0"/>
          <w:numId w:val="220"/>
        </w:numPr>
        <w:rPr>
          <w:rFonts w:ascii="Arial" w:cs="Arial" w:eastAsia="Arial" w:hAnsi="Arial"/>
          <w:sz w:val="20"/>
          <w:szCs w:val="20"/>
          <w:color w:val="auto"/>
        </w:rPr>
      </w:pPr>
      <w:r>
        <w:rPr>
          <w:rFonts w:ascii="Arial" w:cs="Arial" w:eastAsia="Arial" w:hAnsi="Arial"/>
          <w:sz w:val="20"/>
          <w:szCs w:val="20"/>
          <w:color w:val="auto"/>
        </w:rPr>
        <w:t>The Borrower may at any time or from time to time on one or more occasions after the Effective Date, by written notice delivered to the Administrative Agent request (i) one or more additional Classes of term loans (each an “</w:t>
      </w:r>
      <w:r>
        <w:rPr>
          <w:rFonts w:ascii="Arial" w:cs="Arial" w:eastAsia="Arial" w:hAnsi="Arial"/>
          <w:sz w:val="20"/>
          <w:szCs w:val="20"/>
          <w:u w:val="single" w:color="auto"/>
          <w:color w:val="auto"/>
        </w:rPr>
        <w:t>Incremental 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Facility</w:t>
      </w:r>
      <w:r>
        <w:rPr>
          <w:rFonts w:ascii="Arial" w:cs="Arial" w:eastAsia="Arial" w:hAnsi="Arial"/>
          <w:sz w:val="20"/>
          <w:szCs w:val="20"/>
          <w:color w:val="auto"/>
        </w:rPr>
        <w:t>”), (ii) one or more additional term loans of the same Class of any existing Class of term loans (each an “</w:t>
      </w:r>
      <w:r>
        <w:rPr>
          <w:rFonts w:ascii="Arial" w:cs="Arial" w:eastAsia="Arial" w:hAnsi="Arial"/>
          <w:sz w:val="20"/>
          <w:szCs w:val="20"/>
          <w:u w:val="single" w:color="auto"/>
          <w:color w:val="auto"/>
        </w:rPr>
        <w:t>Incremental 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Increase</w:t>
      </w:r>
      <w:r>
        <w:rPr>
          <w:rFonts w:ascii="Arial" w:cs="Arial" w:eastAsia="Arial" w:hAnsi="Arial"/>
          <w:sz w:val="20"/>
          <w:szCs w:val="20"/>
          <w:color w:val="auto"/>
        </w:rPr>
        <w:t>”), (iii) one or more increases in the amount of the Revolving Commitments of any Class (each such increase, an “</w:t>
      </w:r>
      <w:r>
        <w:rPr>
          <w:rFonts w:ascii="Arial" w:cs="Arial" w:eastAsia="Arial" w:hAnsi="Arial"/>
          <w:sz w:val="20"/>
          <w:szCs w:val="20"/>
          <w:u w:val="single" w:color="auto"/>
          <w:color w:val="auto"/>
        </w:rPr>
        <w:t>Incremental</w:t>
      </w:r>
      <w:r>
        <w:rPr>
          <w:rFonts w:ascii="Arial" w:cs="Arial" w:eastAsia="Arial" w:hAnsi="Arial"/>
          <w:sz w:val="20"/>
          <w:szCs w:val="20"/>
          <w:color w:val="auto"/>
        </w:rPr>
        <w:t xml:space="preserve"> </w:t>
      </w:r>
      <w:r>
        <w:rPr>
          <w:rFonts w:ascii="Arial" w:cs="Arial" w:eastAsia="Arial" w:hAnsi="Arial"/>
          <w:sz w:val="20"/>
          <w:szCs w:val="20"/>
          <w:u w:val="single" w:color="auto"/>
          <w:color w:val="auto"/>
        </w:rPr>
        <w:t>Revolving Commitment Increase</w:t>
      </w:r>
      <w:r>
        <w:rPr>
          <w:rFonts w:ascii="Arial" w:cs="Arial" w:eastAsia="Arial" w:hAnsi="Arial"/>
          <w:sz w:val="20"/>
          <w:szCs w:val="20"/>
          <w:color w:val="auto"/>
        </w:rPr>
        <w:t>”) and/or (iv) one or more additional Classes of Revolving Commitments (the “</w:t>
      </w:r>
      <w:r>
        <w:rPr>
          <w:rFonts w:ascii="Arial" w:cs="Arial" w:eastAsia="Arial" w:hAnsi="Arial"/>
          <w:sz w:val="20"/>
          <w:szCs w:val="20"/>
          <w:u w:val="single" w:color="auto"/>
          <w:color w:val="auto"/>
        </w:rPr>
        <w:t>Additional/Replacement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Revolving Commitments</w:t>
      </w:r>
      <w:r>
        <w:rPr>
          <w:rFonts w:ascii="Arial" w:cs="Arial" w:eastAsia="Arial" w:hAnsi="Arial"/>
          <w:sz w:val="20"/>
          <w:szCs w:val="20"/>
          <w:color w:val="auto"/>
        </w:rPr>
        <w:t>,” and, together with any Incremental Term Facility, Incremental Term Increase and the Incremental Revolving Commitment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72" w:name="page273"/>
    <w:bookmarkEnd w:id="272"/>
    <w:p>
      <w:pPr>
        <w:jc w:val="both"/>
        <w:spacing w:after="0" w:line="255" w:lineRule="auto"/>
        <w:rPr>
          <w:sz w:val="20"/>
          <w:szCs w:val="20"/>
          <w:color w:val="auto"/>
        </w:rPr>
      </w:pPr>
      <w:r>
        <w:rPr>
          <w:rFonts w:ascii="Arial" w:cs="Arial" w:eastAsia="Arial" w:hAnsi="Arial"/>
          <w:sz w:val="19"/>
          <w:szCs w:val="19"/>
          <w:color w:val="auto"/>
        </w:rPr>
        <w:t>Increases, the “</w:t>
      </w:r>
      <w:r>
        <w:rPr>
          <w:rFonts w:ascii="Arial" w:cs="Arial" w:eastAsia="Arial" w:hAnsi="Arial"/>
          <w:sz w:val="19"/>
          <w:szCs w:val="19"/>
          <w:u w:val="single" w:color="auto"/>
          <w:color w:val="auto"/>
        </w:rPr>
        <w:t>Incremental Facilities</w:t>
      </w:r>
      <w:r>
        <w:rPr>
          <w:rFonts w:ascii="Arial" w:cs="Arial" w:eastAsia="Arial" w:hAnsi="Arial"/>
          <w:sz w:val="19"/>
          <w:szCs w:val="19"/>
          <w:color w:val="auto"/>
        </w:rPr>
        <w:t>” and any Loans thereunder, the “</w:t>
      </w:r>
      <w:r>
        <w:rPr>
          <w:rFonts w:ascii="Arial" w:cs="Arial" w:eastAsia="Arial" w:hAnsi="Arial"/>
          <w:sz w:val="19"/>
          <w:szCs w:val="19"/>
          <w:u w:val="single" w:color="auto"/>
          <w:color w:val="auto"/>
        </w:rPr>
        <w:t>Incremental Loans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the effectiveness of any Incremental Facility Amendment, subject to certain “certain funds provisions” to be agreed to by the Borrower and the Incremental Facilities Lenders, no Specified Event of Default shall have occurred and be continuing or would result therefrom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 Incremental Facility incurred to finance a Limited Condition Transaction, if the Borrower has made an LCT Election, such condition shall be that no Event of Default shall have occurred and be continuing at the LCT Test Date). Notwithstanding anything to contrary herein, the aggregate principal amount of the Incremental Facilities that can be incurred at any time shall not exceed the Incremental Cap at such time. Each Incremental Facility shall be in a minimum principal amount of $5,000,000 and integral multiples of $1,000,000 in excess thereof if such Incremental Facilities are denominated in Dollars (unless the Borrower and the Administrative Agent otherwise agree);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 may be less than $5,000,000 to the extent such amount represents all the remaining availability under the aggregate principal amount of Incremental Facilities then permitted to be incurred. The Borrower may appoint any Person to arrange such Incremental Facility and provide such arranger any titles with respect to such Incremental Facility as it deems appropriate.</w:t>
      </w:r>
    </w:p>
    <w:p>
      <w:pPr>
        <w:spacing w:after="0" w:line="195" w:lineRule="exact"/>
        <w:rPr>
          <w:sz w:val="20"/>
          <w:szCs w:val="20"/>
          <w:color w:val="auto"/>
        </w:rPr>
      </w:pPr>
    </w:p>
    <w:p>
      <w:pPr>
        <w:jc w:val="both"/>
        <w:ind w:right="20" w:firstLine="1490"/>
        <w:spacing w:after="0" w:line="264" w:lineRule="auto"/>
        <w:tabs>
          <w:tab w:leader="none" w:pos="2286"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(i) The Incremental Term Loans (a)(1) shall rank equal or junior in right of payment and equal or junior in right of security with the Term Loans or may be unsecured, and if junior in right of payment and/or security or unsecured, shall be established as a separate facility than the facility for the Term Loans that are secured by the Collateral on a first priority basis, (2) shall be structured such that neither Holdings nor any Restricted Subsidiary is a guarantor with respect to such Indebtedness unless Holdings or such Restricted Subsidiary is a Loan Party which shall have previously or substantially concurrently guaranteed the Secured Obligations, and (3) if secured, the obligations in respect thereof shall not be secured by Liens on the assets of Holdings, the Borrower and its Restricted Subsidiaries, other than assets constituting Collateral, and if established as a separate facility, shall be subject to a customary intercreditor agreement with the Administrative Agent and/or Collateral Agent substantially consistent with the applicable Intercreditor Agreement together with (A) any immaterial changes and (B) material changes thereto in light of prevailing market conditions, which material changes shall be posted to the Lenders not less than five (5) Business Days before execution thereof and, if the Required Lenders shall not have objected to such changes within five (5) Business Days after posting, then the Required Lenders shall be deemed to have agreed that the Administrative Agent’s </w:t>
      </w:r>
      <w:r>
        <w:rPr>
          <w:rFonts w:ascii="Arial" w:cs="Arial" w:eastAsia="Arial" w:hAnsi="Arial"/>
          <w:sz w:val="16"/>
          <w:szCs w:val="16"/>
          <w:color w:val="auto"/>
        </w:rPr>
        <w:t>and/or Collateral Agent’s entry into such intercreditor agreement (with such</w:t>
      </w:r>
      <w:r>
        <w:rPr>
          <w:rFonts w:ascii="Arial" w:cs="Arial" w:eastAsia="Arial" w:hAnsi="Arial"/>
          <w:sz w:val="19"/>
          <w:szCs w:val="19"/>
          <w:color w:val="auto"/>
        </w:rPr>
        <w:t xml:space="preserve"> </w:t>
      </w:r>
      <w:r>
        <w:rPr>
          <w:rFonts w:ascii="Arial" w:cs="Arial" w:eastAsia="Arial" w:hAnsi="Arial"/>
          <w:sz w:val="16"/>
          <w:szCs w:val="16"/>
          <w:color w:val="auto"/>
        </w:rPr>
        <w:t xml:space="preserve">changes) is reasonable and to have consented to such intercreditor agreement (with such changes) and to the Administrative Agent’s and/or Collateral Agent’s execution thereof, in each case in form and substance reasonably satisfactory to the Administrative Agent and/or Collateral Agent (it being understood that junior Liens are not required to be pari passu with other junior Liens, and that Indebtedness secured by junior liens may be secured by Liens that are pari passu with or junior in priority to, other Liens that are junior to the Liens securing the Secured Obligations), (b) shall not (except in the case of Extendable Bridge Loans) mature earlier than the Term Maturity Date of the Initial Term Loans, (c) shall not (except in the case of Extendable Bridge Loans) have a shorter Weighted Average Life to Maturity than the remaining Initial Term Loans, (d) shall have a maturity date (subject to clause (b)), an amortization schedule (subject to clause (c)), interest rates (including through fixed interest rates), “most favored nation” provisions (if any), interest margins, rate floors, upfront fees, funding discounts, original issue discounts, financial covenants (if any) and prepayment terms and premiums as determined by the Borrower and the Additional Term Lenders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any floating-rate U.S. dollar-denominated Incremental Term Loans which (I) </w:t>
      </w:r>
      <w:r>
        <w:rPr>
          <w:rFonts w:ascii="Arial" w:cs="Arial" w:eastAsia="Arial" w:hAnsi="Arial"/>
          <w:sz w:val="18"/>
          <w:szCs w:val="18"/>
          <w:color w:val="auto"/>
        </w:rPr>
        <w:t>are secured on pari passu basis with the Initial Term Loans and ranking pari passu with the</w:t>
      </w:r>
      <w:r>
        <w:rPr>
          <w:rFonts w:ascii="Arial" w:cs="Arial" w:eastAsia="Arial" w:hAnsi="Arial"/>
          <w:sz w:val="16"/>
          <w:szCs w:val="16"/>
          <w:color w:val="auto"/>
        </w:rPr>
        <w:t xml:space="preserve"> </w:t>
      </w:r>
      <w:r>
        <w:rPr>
          <w:rFonts w:ascii="Arial" w:cs="Arial" w:eastAsia="Arial" w:hAnsi="Arial"/>
          <w:sz w:val="18"/>
          <w:szCs w:val="18"/>
          <w:color w:val="auto"/>
        </w:rPr>
        <w:t xml:space="preserve">Initial Term Loans in right of payment, (II) are incurred prior to the date that is six (6) months after the Effective Date, (III) have a maturity date prior to one year after the Term Maturity Date of the Initial Term Loans and (IV) are not incurred in connection with an acquisition or Investment permitted by the terms of this Agreement, in the event that the Effective Yield for any such Incremental Term Loans is greater than the Effective Yield for the Initial Term Loans by more than 0.50% per annum, then the Effective Yield for the Initial Term Loans shall be increased to the extent necessary so that the Effective Yield for the Initial Term Loans is equal to the Effective Yield for such Incremental Term Loans minus 0.50%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Incremental Term Loans include an interest rate floor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273" w:name="page274"/>
    <w:bookmarkEnd w:id="273"/>
    <w:p>
      <w:pPr>
        <w:jc w:val="both"/>
        <w:ind w:left="8" w:right="60"/>
        <w:spacing w:after="0" w:line="306" w:lineRule="auto"/>
        <w:rPr>
          <w:sz w:val="20"/>
          <w:szCs w:val="20"/>
          <w:color w:val="auto"/>
        </w:rPr>
      </w:pPr>
      <w:r>
        <w:rPr>
          <w:rFonts w:ascii="Arial" w:cs="Arial" w:eastAsia="Arial" w:hAnsi="Arial"/>
          <w:sz w:val="16"/>
          <w:szCs w:val="16"/>
          <w:color w:val="auto"/>
        </w:rPr>
        <w:t xml:space="preserve">greater than the applicable interest rate floor under the Initial Term Loans, such differential between interest rate floors shall be equated to the applicable interest rate margin for purposes of determining whether an increase to the interest rate margin under the Initial Term Loans shall be required, but only to the extent an increase in the interest rate floor in the Initial Term Loans would cause an increase in the interest rate then in effect thereunder, and in such case, the interest rate floor (but not the interest rate margin) applicable to the Initial Term Loans shall be increased to the extent of such differential between interest rate floors, (e) any Incremental Term Facility may provide for the ability to participate (x) on a pro rata basis or less than pro rata basis (but not greater than pro rata basis) in any voluntary prepayments of the Initial Term Loans and (y) on a pro rata basis or less than pro rata basis (but not on a greater than pro rata basis other than in the case of prepayment with Other Term Loans incurred pursuant to a Refinancing Amendment to refinance such Incremental Term Loans or any other Credit Agreement Refinancing Indebtedness in respect of such Incremental Term Loans) in any mandatory prepayments of the Initial Term Loans and (f) may otherwise have terms and conditions different from those of the Term Loans (including currency denomination);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terms and documentation with respect to such Incremental Term Loans are not consistent with the existing Initial Term Loans (except with respect to matters contemplated by clauses (a), (b), (c), (d) and</w:t>
      </w:r>
    </w:p>
    <w:p>
      <w:pPr>
        <w:spacing w:after="0" w:line="187" w:lineRule="exact"/>
        <w:rPr>
          <w:sz w:val="20"/>
          <w:szCs w:val="20"/>
          <w:color w:val="auto"/>
        </w:rPr>
      </w:pPr>
    </w:p>
    <w:p>
      <w:pPr>
        <w:jc w:val="both"/>
        <w:ind w:left="8" w:right="60" w:hanging="8"/>
        <w:spacing w:after="0" w:line="272" w:lineRule="auto"/>
        <w:tabs>
          <w:tab w:leader="none" w:pos="28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above), the covenants, events of default and guarantees of any such Incremental Term Loans shall not be materially more restrictive to the Borrower, when taken as a whole, than the terms of the Initial Term Loans unless (1) Lenders under the Initial Term Loans also receive the benefit of such more restrictive terms (it being understood that, to the extent that any covenant, event of default or guarantee is added or modified for the benefit of any Incremental Term Facility, no consent shall be required from the Administrative Agent or any of the Term Lenders to the extent that such covenant, event of default or guarantee is also added or modified for the benefit of the existing Term Loans), (2) any such provisions apply after the Term Maturity Date with respect to the Initial Term Loans or (3) such terms are reasonably satisfactory to the Administrative Agent and the Borrower. Any Incremental Term Increase shall be on the same terms and pursuant to the same documentation applicable to the Term Loans (except with respect to matters contemplated by clauses (a), (b), (c), (d) and (e) above). Any Incremental Term Facility shall be on terms and pursuant to </w:t>
      </w:r>
      <w:r>
        <w:rPr>
          <w:rFonts w:ascii="Arial" w:cs="Arial" w:eastAsia="Arial" w:hAnsi="Arial"/>
          <w:sz w:val="15"/>
          <w:szCs w:val="15"/>
          <w:color w:val="auto"/>
        </w:rPr>
        <w:t>documentation as determined by the Borrower</w:t>
      </w:r>
      <w:r>
        <w:rPr>
          <w:rFonts w:ascii="Arial" w:cs="Arial" w:eastAsia="Arial" w:hAnsi="Arial"/>
          <w:sz w:val="18"/>
          <w:szCs w:val="18"/>
          <w:color w:val="auto"/>
        </w:rPr>
        <w:t xml:space="preserve"> </w:t>
      </w:r>
      <w:r>
        <w:rPr>
          <w:rFonts w:ascii="Arial" w:cs="Arial" w:eastAsia="Arial" w:hAnsi="Arial"/>
          <w:sz w:val="15"/>
          <w:szCs w:val="15"/>
          <w:color w:val="auto"/>
        </w:rPr>
        <w:t>and the Additional Term Lenders providing such Incremental Term Facility, subject to the restrictions and exceptions set forth above.</w:t>
      </w:r>
    </w:p>
    <w:p>
      <w:pPr>
        <w:spacing w:after="0" w:line="185" w:lineRule="exact"/>
        <w:rPr>
          <w:rFonts w:ascii="Arial" w:cs="Arial" w:eastAsia="Arial" w:hAnsi="Arial"/>
          <w:sz w:val="18"/>
          <w:szCs w:val="18"/>
          <w:color w:val="auto"/>
        </w:rPr>
      </w:pPr>
    </w:p>
    <w:p>
      <w:pPr>
        <w:jc w:val="both"/>
        <w:ind w:left="748" w:firstLine="1499"/>
        <w:spacing w:after="0" w:line="311" w:lineRule="auto"/>
        <w:tabs>
          <w:tab w:leader="none" w:pos="2822" w:val="left"/>
        </w:tabs>
        <w:numPr>
          <w:ilvl w:val="1"/>
          <w:numId w:val="222"/>
        </w:numPr>
        <w:rPr>
          <w:rFonts w:ascii="Arial" w:cs="Arial" w:eastAsia="Arial" w:hAnsi="Arial"/>
          <w:sz w:val="16"/>
          <w:szCs w:val="16"/>
          <w:color w:val="010000"/>
        </w:rPr>
      </w:pPr>
      <w:r>
        <w:rPr>
          <w:rFonts w:ascii="Arial" w:cs="Arial" w:eastAsia="Arial" w:hAnsi="Arial"/>
          <w:sz w:val="16"/>
          <w:szCs w:val="16"/>
          <w:color w:val="auto"/>
        </w:rPr>
        <w:t>The Incremental Revolving Commitment Increase shall be treated the same as the Class of Revolving Commitments being increased (including with respect to maturity date thereof) and shall be considered to be part of the Class of Revolving Loans being increased (it being understood that, if required to consummate an Incremental Revolving Commitment Increase, the pricing, interest rate margins, “most favored nation” provisions (if any),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 Any Incremental Revolving Commitment Increase shall be on the same terms and pursuant to the same documentation applicable to the Revolving Loans (excluding upfront fees and customary arranger fees).</w:t>
      </w:r>
    </w:p>
    <w:p>
      <w:pPr>
        <w:spacing w:after="0" w:line="155" w:lineRule="exact"/>
        <w:rPr>
          <w:rFonts w:ascii="Arial" w:cs="Arial" w:eastAsia="Arial" w:hAnsi="Arial"/>
          <w:sz w:val="16"/>
          <w:szCs w:val="16"/>
          <w:color w:val="010000"/>
        </w:rPr>
      </w:pPr>
    </w:p>
    <w:p>
      <w:pPr>
        <w:jc w:val="both"/>
        <w:ind w:left="748" w:right="60" w:firstLine="1499"/>
        <w:spacing w:after="0" w:line="311" w:lineRule="auto"/>
        <w:tabs>
          <w:tab w:leader="none" w:pos="2819" w:val="left"/>
        </w:tabs>
        <w:numPr>
          <w:ilvl w:val="1"/>
          <w:numId w:val="222"/>
        </w:numPr>
        <w:rPr>
          <w:rFonts w:ascii="Arial" w:cs="Arial" w:eastAsia="Arial" w:hAnsi="Arial"/>
          <w:sz w:val="16"/>
          <w:szCs w:val="16"/>
          <w:color w:val="010000"/>
        </w:rPr>
      </w:pPr>
      <w:r>
        <w:rPr>
          <w:rFonts w:ascii="Arial" w:cs="Arial" w:eastAsia="Arial" w:hAnsi="Arial"/>
          <w:sz w:val="16"/>
          <w:szCs w:val="16"/>
          <w:color w:val="auto"/>
        </w:rPr>
        <w:t>The Additional/Replacement Revolving Commitments (a)(1) shall rank equal or junior in right of payment and equal or junior in right of security with the Revolving Loans or may be unsecured, and if junior in right of payment and/or security or unsecured, shall be established as a separate facility than the facility for the Revolving Loans that are secured by the Collateral on a first priority basis, (2) shall be structured such that neither Holdings nor any Restricted Subsidiary is a borrower or a guarantor with respect to such Indebtedness unless Holdings or such Restricted Subsidiary is a Loan Party which shall have previously or substantially concurrently borrowed or guaranteed, as applicable, the Secured Obligations, and (3) if secured, the obligations in respect thereof shall not be secured by Liens on the assets of Holdings, the Borrower and its Restricted Subsidiaries, other than assets constituting Collateral, and if established as a separate facility, shall</w:t>
      </w:r>
    </w:p>
    <w:p>
      <w:pPr>
        <w:spacing w:after="0" w:line="142"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122" w:right="499" w:bottom="1440" w:gutter="0" w:footer="0" w:header="0"/>
        </w:sectPr>
      </w:pPr>
    </w:p>
    <w:bookmarkStart w:id="274" w:name="page275"/>
    <w:bookmarkEnd w:id="274"/>
    <w:p>
      <w:pPr>
        <w:jc w:val="both"/>
        <w:spacing w:after="0" w:line="301" w:lineRule="auto"/>
        <w:rPr>
          <w:sz w:val="20"/>
          <w:szCs w:val="20"/>
          <w:color w:val="auto"/>
        </w:rPr>
      </w:pPr>
      <w:r>
        <w:rPr>
          <w:rFonts w:ascii="Arial" w:cs="Arial" w:eastAsia="Arial" w:hAnsi="Arial"/>
          <w:sz w:val="16"/>
          <w:szCs w:val="16"/>
          <w:color w:val="auto"/>
        </w:rPr>
        <w:t xml:space="preserve">be subject to a customary intercreditor agreement with the Administrative Agent and/or Collateral Agent substantially consistent with the applicable Intercreditor Agreement together with (A) any immaterial changes and (B) material changes thereto in light of prevailing market conditions, which material changes shall be posted to the Lenders not less than five Business Days before execution thereof and, if the Required Lenders shall not have objected to such changes within five Business Days after posting, then the Required Lenders shall be deemed to have agreed that the Administrative Agent’s and/or Collateral Agent’s entry into such intercreditor agreement (with such changes) is reasonable and to have consented to such intercreditor agreement (with such changes) and to the Administrative Agent’s and/or Collateral Agent’s execution thereof, in each case in form and substance reasonably satisfactory to the Administrative Agent and/or Collateral Agent (it being understood that junior Liens are not required to be pari passu with other junior Liens, and that Indebtedness secured by junior liens may be secured by Liens that are pari passu with or junior in priority to, other Liens that are junior to the Liens securing the Secured Obligations), (b) shall not mature earlier than the Revolving Maturity Date with respect to the initial Revolving Loans and shall require no mandatory commitment reduction prior to the Revolving Maturity Date applicable to the initial Revolving Loans, (c) shall have interest rates (including through fixed interest rates), interest margins, rate floors, upfront fees, arrangement fees, structuring fees, ticking fees, amendment fees, consent fees, and any other fees, undrawn commitment fees, funding discounts, original issue discounts, prepayment terms and premiums, and commitment reduction and termination terms as determined by the Borrower and the lenders of such commitments, (d) shall contain borrowing, repayment and termination of Commitment procedures as determined by the Borrower and the lenders of such commitments, (e)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Administrative Agent and (f) may otherwise have terms and conditions different from those of the Revolving Commitments and the Revolving Loans made under this Agreement (including currency denomination);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to the extent the terms and documentation with respect to such Additional/Replacement Revolving Commitments are not consistent with the existing Revolving Commitments (except with respect to matters contemplated by clauses (b), (c), (d) and (e) above), the covenants, events of default and guarantees of any such Additional/Replacement Revolving Commitments shall not be materially more restrictive to the Borrower, when taken as a whole, than the terms of the Revolving Commitments unless (1) Lenders under Revolving Commitments also receive the benefit of such more restrictive terms (it being understood that, to the extent that any financial maintenance covenant is added for the benefit of any Additional/Replacement Revolving Commitment, no consent shall be required from the Administrative Agent or any of the Revolving Lenders to the extent that such financial maintenance covenant is also added for the benefit of the existing Revolving Commitments), (2) any such provisions apply after the Revolving Maturity Date or (3) such terms shall be reasonably satisfactory to the Administrative Agent and the Borrower and (y) in no event shall it be a condition to the effectiveness of, or initial borrowing under, any such Additional/Replacement Revolving Commitments that any representation or warranty of any Loan Party set forth herein be true and correct, except and solely to the extent required by the Additional/Replacement Revolving Lenders providing such Additional/Replacement Revolving Commitments. Any Additional/Replacement Revolving Commitments shall be on terms and pursuant to documentation as determined by the Borrower and the Additional/Replacement Revolving Lenders providing such Additional/Replacement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66040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240" w:top="122" w:right="539" w:bottom="1440" w:gutter="0" w:footer="0" w:header="0"/>
        </w:sectPr>
      </w:pPr>
    </w:p>
    <w:bookmarkStart w:id="275" w:name="page276"/>
    <w:bookmarkEnd w:id="275"/>
    <w:p>
      <w:pPr>
        <w:jc w:val="both"/>
        <w:ind w:left="740" w:right="40"/>
        <w:spacing w:after="0" w:line="255" w:lineRule="auto"/>
        <w:rPr>
          <w:sz w:val="20"/>
          <w:szCs w:val="20"/>
          <w:color w:val="auto"/>
        </w:rPr>
      </w:pPr>
      <w:r>
        <w:rPr>
          <w:rFonts w:ascii="Arial" w:cs="Arial" w:eastAsia="Arial" w:hAnsi="Arial"/>
          <w:sz w:val="19"/>
          <w:szCs w:val="19"/>
          <w:color w:val="auto"/>
        </w:rPr>
        <w:t xml:space="preserve">Revolving Commitments, subject to the restrictions set forth above;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notwithstanding anything to the contrary in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or otherwise, (1) the borrowing and repayment (except for (A) payments of interest and fees at different rates, (B) repayments required upon the maturity date of the Revolving Loan Commitments and (C) repayment made in connection with a permanent repayment and termination of any commitments) of Loans with respect to Additional/Replacement Revolving Commitments after the associated Incremental Facility closing date shall be made on a </w:t>
      </w:r>
      <w:r>
        <w:rPr>
          <w:rFonts w:ascii="Arial" w:cs="Arial" w:eastAsia="Arial" w:hAnsi="Arial"/>
          <w:sz w:val="19"/>
          <w:szCs w:val="19"/>
          <w:u w:val="single" w:color="auto"/>
          <w:color w:val="auto"/>
        </w:rPr>
        <w:t>pro</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rata</w:t>
      </w:r>
      <w:r>
        <w:rPr>
          <w:rFonts w:ascii="Arial" w:cs="Arial" w:eastAsia="Arial" w:hAnsi="Arial"/>
          <w:sz w:val="19"/>
          <w:szCs w:val="19"/>
          <w:color w:val="auto"/>
        </w:rPr>
        <w:t xml:space="preserve"> basis with all other Revolving Loan Commitments, and (2) the permanent repayment of Revolving Loans with respect to, and termination of, Additional/Replacement Revolving Commitments after the associated Incremental Facility closing date shall be made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with all other Revolving Loan Commitments, except that the Borrower shall be permitted to permanently repay and terminate commitments of any such Class on a better than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as compared to any other Class with a later maturity date than such Class. Any Additional/Replacement Revolving Commitments may constitute a separate Class or Classes, as the case may be, of Commitments from the Classes constituting the Revolving Loan Commitments prior to the Incremental Facility closing date.</w:t>
      </w:r>
    </w:p>
    <w:p>
      <w:pPr>
        <w:spacing w:after="0" w:line="195" w:lineRule="exact"/>
        <w:rPr>
          <w:sz w:val="20"/>
          <w:szCs w:val="20"/>
          <w:color w:val="auto"/>
        </w:rPr>
      </w:pPr>
    </w:p>
    <w:p>
      <w:pPr>
        <w:ind w:right="20" w:firstLine="1490"/>
        <w:spacing w:after="0" w:line="315" w:lineRule="auto"/>
        <w:tabs>
          <w:tab w:leader="none" w:pos="228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Each notice from the Borrower pursuant to this Section shall set forth the requested amount of the relevant Incremental Term Loans, Incremental Revolving Commitment Increases or Additional/Replacement Revolving Commitments.</w:t>
      </w:r>
    </w:p>
    <w:p>
      <w:pPr>
        <w:spacing w:after="0" w:line="144" w:lineRule="exact"/>
        <w:rPr>
          <w:rFonts w:ascii="Arial" w:cs="Arial" w:eastAsia="Arial" w:hAnsi="Arial"/>
          <w:sz w:val="18"/>
          <w:szCs w:val="18"/>
          <w:color w:val="auto"/>
        </w:rPr>
      </w:pPr>
    </w:p>
    <w:p>
      <w:pPr>
        <w:jc w:val="both"/>
        <w:ind w:right="20" w:firstLine="1490"/>
        <w:spacing w:after="0" w:line="256" w:lineRule="auto"/>
        <w:tabs>
          <w:tab w:leader="none" w:pos="2287" w:val="left"/>
        </w:tabs>
        <w:numPr>
          <w:ilvl w:val="0"/>
          <w:numId w:val="223"/>
        </w:numPr>
        <w:rPr>
          <w:rFonts w:ascii="Arial" w:cs="Arial" w:eastAsia="Arial" w:hAnsi="Arial"/>
          <w:sz w:val="19"/>
          <w:szCs w:val="19"/>
          <w:color w:val="auto"/>
        </w:rPr>
      </w:pPr>
      <w:r>
        <w:rPr>
          <w:rFonts w:ascii="Arial" w:cs="Arial" w:eastAsia="Arial" w:hAnsi="Arial"/>
          <w:sz w:val="19"/>
          <w:szCs w:val="19"/>
          <w:color w:val="auto"/>
        </w:rPr>
        <w:t>Commitments in respect of any Incremental Term Increase and Incremental Revolving Commitment Increases shall become Commitments (or in the case of an Incremental Revolving Commitment Increase to be provided by an existing Lender with a Revolving Commitment, an increase in such Lender’s applicable Revolving Commitment) under this Agreement pursuant to an amendment (an “</w:t>
      </w:r>
      <w:r>
        <w:rPr>
          <w:rFonts w:ascii="Arial" w:cs="Arial" w:eastAsia="Arial" w:hAnsi="Arial"/>
          <w:sz w:val="19"/>
          <w:szCs w:val="19"/>
          <w:u w:val="single" w:color="auto"/>
          <w:color w:val="auto"/>
        </w:rPr>
        <w:t>Incremental Facility Amendment</w:t>
      </w:r>
      <w:r>
        <w:rPr>
          <w:rFonts w:ascii="Arial" w:cs="Arial" w:eastAsia="Arial" w:hAnsi="Arial"/>
          <w:sz w:val="19"/>
          <w:szCs w:val="19"/>
          <w:color w:val="auto"/>
        </w:rPr>
        <w:t>”) to this Agreement and, as appropriate, the other</w:t>
      </w:r>
    </w:p>
    <w:p>
      <w:pPr>
        <w:jc w:val="both"/>
        <w:spacing w:after="0" w:line="252" w:lineRule="auto"/>
        <w:rPr>
          <w:rFonts w:ascii="Arial" w:cs="Arial" w:eastAsia="Arial" w:hAnsi="Arial"/>
          <w:sz w:val="19"/>
          <w:szCs w:val="19"/>
          <w:color w:val="auto"/>
        </w:rPr>
      </w:pPr>
      <w:r>
        <w:rPr>
          <w:rFonts w:ascii="Arial" w:cs="Arial" w:eastAsia="Arial" w:hAnsi="Arial"/>
          <w:sz w:val="19"/>
          <w:szCs w:val="19"/>
          <w:color w:val="auto"/>
        </w:rPr>
        <w:t>Loan Documents, executed by the Borrower, each Lender agreeing to provide such Commitment, if any, each Additional Lender, if any,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amendment does not affect the rights, duties, privileges or obligations of the Administrative Agent, the Administrative Agent shall not be required to execute, accept or acknowledge such amendment). An Incremental Facility may be provided, subject to the prior written consent of the Borrower (not to be unreasonably withheld), by any existing Lender (it being understood that no existing Lender shall have the right to participate in any Incremental Facility or, unless it agrees, be obligated to provide any Incremental Loans) or by any Additional Lender. Any loan under an Incremental Term Increase and any loan under an Incremental Revolving Commitment Increase shall be a “Loan” for all purposes of this Agreement and the other Loan Documents. The Incremental Facility Amendment may, subject to Section 2.20(b), without the consent of any other Lenders, effect such amendments to this Agreement and the other Loan Documents as may be necessary, in the reasonable opinion of the Administrative Agent and the Borrower, to effect the provisions of this Section 2.20 (including, in connection with an Incremental Revolving Commitment Increase, to reallocate Revolving Exposure on a pro rata basis among the relevant Revolving Lenders and including voting rights as contemplated by Section 9.02).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Section 2.20. The Borrower will use the proceeds of the Incremental Term Loans, Incremental Revolving Commitment Increases and Additional/Replacement Revolving Commitments for any purpose not prohibited by this Agreement.</w:t>
      </w:r>
    </w:p>
    <w:p>
      <w:pPr>
        <w:spacing w:after="0" w:line="210" w:lineRule="exact"/>
        <w:rPr>
          <w:rFonts w:ascii="Arial" w:cs="Arial" w:eastAsia="Arial" w:hAnsi="Arial"/>
          <w:sz w:val="19"/>
          <w:szCs w:val="19"/>
          <w:color w:val="auto"/>
        </w:rPr>
      </w:pPr>
    </w:p>
    <w:p>
      <w:pPr>
        <w:ind w:right="40" w:firstLine="1490"/>
        <w:spacing w:after="0" w:line="260" w:lineRule="auto"/>
        <w:tabs>
          <w:tab w:leader="none" w:pos="2286" w:val="left"/>
        </w:tabs>
        <w:numPr>
          <w:ilvl w:val="0"/>
          <w:numId w:val="223"/>
        </w:numPr>
        <w:rPr>
          <w:rFonts w:ascii="Arial" w:cs="Arial" w:eastAsia="Arial" w:hAnsi="Arial"/>
          <w:sz w:val="20"/>
          <w:szCs w:val="20"/>
          <w:color w:val="auto"/>
        </w:rPr>
      </w:pPr>
      <w:r>
        <w:rPr>
          <w:rFonts w:ascii="Arial" w:cs="Arial" w:eastAsia="Arial" w:hAnsi="Arial"/>
          <w:sz w:val="20"/>
          <w:szCs w:val="20"/>
          <w:color w:val="auto"/>
        </w:rPr>
        <w:t>Notwithstanding anything to the contrary, this Section 2.20 shall supersede any provisions in Section 2.18 or Section 9.02 to the contrary.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276" w:name="page277"/>
    <w:bookmarkEnd w:id="276"/>
    <w:p>
      <w:pPr>
        <w:ind w:left="4120"/>
        <w:spacing w:after="0"/>
        <w:tabs>
          <w:tab w:leader="none" w:pos="5680" w:val="left"/>
        </w:tabs>
        <w:rPr>
          <w:sz w:val="20"/>
          <w:szCs w:val="20"/>
          <w:color w:val="auto"/>
        </w:rPr>
      </w:pPr>
      <w:r>
        <w:rPr>
          <w:rFonts w:ascii="Arial" w:cs="Arial" w:eastAsia="Arial" w:hAnsi="Arial"/>
          <w:sz w:val="20"/>
          <w:szCs w:val="20"/>
          <w:color w:val="010000"/>
        </w:rPr>
        <w:t>SECTION 2.21</w:t>
      </w:r>
      <w:r>
        <w:rPr>
          <w:sz w:val="20"/>
          <w:szCs w:val="20"/>
          <w:color w:val="auto"/>
        </w:rPr>
        <w:tab/>
      </w:r>
      <w:r>
        <w:rPr>
          <w:rFonts w:ascii="Arial" w:cs="Arial" w:eastAsia="Arial" w:hAnsi="Arial"/>
          <w:sz w:val="18"/>
          <w:szCs w:val="18"/>
          <w:u w:val="single" w:color="auto"/>
          <w:color w:val="auto"/>
        </w:rPr>
        <w:t>Refinancing Amendments</w:t>
      </w:r>
      <w:r>
        <w:rPr>
          <w:rFonts w:ascii="Arial" w:cs="Arial" w:eastAsia="Arial" w:hAnsi="Arial"/>
          <w:sz w:val="18"/>
          <w:szCs w:val="18"/>
          <w:color w:val="auto"/>
        </w:rPr>
        <w:t>.</w:t>
      </w:r>
    </w:p>
    <w:p>
      <w:pPr>
        <w:spacing w:after="0" w:line="230" w:lineRule="exact"/>
        <w:rPr>
          <w:sz w:val="20"/>
          <w:szCs w:val="20"/>
          <w:color w:val="auto"/>
        </w:rPr>
      </w:pPr>
    </w:p>
    <w:p>
      <w:pPr>
        <w:jc w:val="both"/>
        <w:ind w:firstLine="1467"/>
        <w:spacing w:after="0" w:line="267" w:lineRule="auto"/>
        <w:tabs>
          <w:tab w:leader="none" w:pos="226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At any time after the Effective Date, the Borrower may obtain, from any Lender or any Additional Lender, Credit Agreement Refinancing Indebtedness in respect of (i) all or any portion of the Term Loans then outstanding under this Agreement (which for purposes of this clause (i) will be deemed to include any then outstanding Other Term Loans) or (ii) all or any portion of the Revolving Loans (or unused Revolving Commitments) under this Agreement (which for purposes of this clause (ii) will be deemed to include any then outstanding Other Revolving Loans and Other Revolving Commitments), in the form of (x) Other Term Loans or Other Term Commitments or (y) Other Revolving Loans or Other Revolving Commitments, as the case may be, in each case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Credit Agreement Refinancing Indebtedness (i) will be unsecured or will rank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or junior in right of payment and of security with the other Loans and Commitments hereunder, (ii) will have such pricing and optional prepayment terms as may be agreed by the Borrower and the Lenders thereof, and (iii) the Net Proceeds of such Credit Agreement Refinancing Indebtedness shall be applied, substantially concurrently with the incurrence thereof, to the prepayment of any outstanding Term Loans or reduction of Revolving Commitments being so refinanced, as the case may be. The effectiveness of any Refinancing Amendment shall be subject to the satisfaction on the date thereof of the conditions as agreed between the lenders providing such Credit Agreement Refinancing Indebtedness and the Borrower. Each Class of Credit Agreement Refinancing Indebtedness incurred under this Section 2.21 shall be in an aggregate principal amount that is (x) not less than $5,000,000 in the case of Other Term Loans or $5,000,000 in the case of Other Revolving Loans and (y) an integral multiple of $1,000,000 in excess thereof (in each case unless the Borrower and the Administrative Agent otherwise agree). Any Refinancing Amendment may provide for the issuance of Letters of Credit for the account of the Borrower pursuant to any Other Revolving Commitments established thereby, in each case on terms substantially equivalent to the terms applicable to Letters of Credit under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Bank shall be required to act as “issuing bank”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195" w:lineRule="exact"/>
        <w:rPr>
          <w:rFonts w:ascii="Arial" w:cs="Arial" w:eastAsia="Arial" w:hAnsi="Arial"/>
          <w:sz w:val="18"/>
          <w:szCs w:val="18"/>
          <w:color w:val="auto"/>
        </w:rPr>
      </w:pPr>
    </w:p>
    <w:p>
      <w:pPr>
        <w:jc w:val="both"/>
        <w:ind w:right="20" w:firstLine="1490"/>
        <w:spacing w:after="0" w:line="242" w:lineRule="auto"/>
        <w:tabs>
          <w:tab w:leader="none" w:pos="2288" w:val="left"/>
        </w:tabs>
        <w:numPr>
          <w:ilvl w:val="1"/>
          <w:numId w:val="224"/>
        </w:numPr>
        <w:rPr>
          <w:rFonts w:ascii="Arial" w:cs="Arial" w:eastAsia="Arial" w:hAnsi="Arial"/>
          <w:sz w:val="20"/>
          <w:szCs w:val="20"/>
          <w:color w:val="auto"/>
        </w:rPr>
      </w:pPr>
      <w:r>
        <w:rPr>
          <w:rFonts w:ascii="Arial" w:cs="Arial" w:eastAsia="Arial" w:hAnsi="Arial"/>
          <w:sz w:val="20"/>
          <w:szCs w:val="20"/>
          <w:color w:val="auto"/>
        </w:rPr>
        <w:t>If, in connection with any proposed Refinancing Amendment with respect to any Class of Loans, any Lender of such Class declines to provide any portion of the Credit Agreement Refinancing Indebtedness on the terms provided by the other Lenders providing such Credit Agreement Refinancing Indebtedness (each such Lender, a “</w:t>
      </w:r>
      <w:r>
        <w:rPr>
          <w:rFonts w:ascii="Arial" w:cs="Arial" w:eastAsia="Arial" w:hAnsi="Arial"/>
          <w:sz w:val="20"/>
          <w:szCs w:val="20"/>
          <w:u w:val="single" w:color="auto"/>
          <w:color w:val="auto"/>
        </w:rPr>
        <w:t>Non-Refinancing Lender</w:t>
      </w:r>
      <w:r>
        <w:rPr>
          <w:rFonts w:ascii="Arial" w:cs="Arial" w:eastAsia="Arial" w:hAnsi="Arial"/>
          <w:sz w:val="20"/>
          <w:szCs w:val="20"/>
          <w:color w:val="auto"/>
        </w:rPr>
        <w:t>”) then the Borrower may, on notice to the Administrative Agent and the Non-Refinancing Lender, (i) cause such Lender to (and such Lender shall be obligated to (and to the extent such Non-Refinancing Lender does not execute such Refinancing Amendment, such Refinancing Amendment shall nonetheless be effective without such signature of the Non-Refinancing Lender)) assign and delegate, without recourse (in accordance with and subject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77" w:name="page278"/>
    <w:bookmarkEnd w:id="277"/>
    <w:p>
      <w:pPr>
        <w:jc w:val="both"/>
        <w:spacing w:after="0" w:line="273" w:lineRule="auto"/>
        <w:rPr>
          <w:sz w:val="20"/>
          <w:szCs w:val="20"/>
          <w:color w:val="auto"/>
        </w:rPr>
      </w:pPr>
      <w:r>
        <w:rPr>
          <w:rFonts w:ascii="Arial" w:cs="Arial" w:eastAsia="Arial" w:hAnsi="Arial"/>
          <w:sz w:val="18"/>
          <w:szCs w:val="18"/>
          <w:color w:val="auto"/>
        </w:rPr>
        <w:t xml:space="preserve">restrictions contained in Section 9.04) all or any part of its interests, rights and obligations under this Agreement in respect of the Loans and Commitments of the applicable Class to one or more Eligible Assignees (which Eligible Assignee may be another Lender, if a Lender accepts such assignment) in connection with such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Administrative Agent nor any Lender shall have any obligation to the Borrower to find a replacement Lender;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(a) such Non-Refinancing Lender shall have received payment of an amount equal to the outstanding principal of the Loans of the applicable Class assigned by it pursuant to this Section 2.21(b), accrued interest thereon, accrued fees and all other amounts (including any amounts under Section 2.11) payable to it hereunder from the Eligible Assignee (to the extent of such outstanding principal and accrued interest and fees) and (b) no processing and recordation fee specified in Section 9.04(b) shall be payable in connection therewith.</w:t>
      </w:r>
    </w:p>
    <w:p>
      <w:pPr>
        <w:spacing w:after="0" w:line="181" w:lineRule="exact"/>
        <w:rPr>
          <w:sz w:val="20"/>
          <w:szCs w:val="20"/>
          <w:color w:val="auto"/>
        </w:rPr>
      </w:pPr>
    </w:p>
    <w:p>
      <w:pPr>
        <w:ind w:left="2240" w:hanging="750"/>
        <w:spacing w:after="0"/>
        <w:tabs>
          <w:tab w:leader="none" w:pos="22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 xml:space="preserve">This Section 2.21 shall supersede any provisions in Section 2.18 or Section 9.02 </w:t>
      </w:r>
      <w:r>
        <w:rPr>
          <w:rFonts w:ascii="Arial" w:cs="Arial" w:eastAsia="Arial" w:hAnsi="Arial"/>
          <w:sz w:val="17"/>
          <w:szCs w:val="17"/>
          <w:color w:val="auto"/>
        </w:rPr>
        <w:t>to the contrary.</w:t>
      </w:r>
    </w:p>
    <w:p>
      <w:pPr>
        <w:spacing w:after="0" w:line="228"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2.22</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8" w:lineRule="exact"/>
        <w:rPr>
          <w:sz w:val="20"/>
          <w:szCs w:val="20"/>
          <w:color w:val="auto"/>
        </w:rPr>
      </w:pPr>
    </w:p>
    <w:p>
      <w:pPr>
        <w:ind w:right="20" w:firstLine="1490"/>
        <w:spacing w:after="0" w:line="315" w:lineRule="auto"/>
        <w:tabs>
          <w:tab w:leader="none" w:pos="2232"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44" w:lineRule="exact"/>
        <w:rPr>
          <w:rFonts w:ascii="Arial" w:cs="Arial" w:eastAsia="Arial" w:hAnsi="Arial"/>
          <w:sz w:val="18"/>
          <w:szCs w:val="18"/>
          <w:color w:val="auto"/>
        </w:rPr>
      </w:pPr>
    </w:p>
    <w:p>
      <w:pPr>
        <w:ind w:left="740" w:right="20" w:firstLine="1499"/>
        <w:spacing w:after="0" w:line="260" w:lineRule="auto"/>
        <w:tabs>
          <w:tab w:leader="none" w:pos="3338" w:val="left"/>
        </w:tabs>
        <w:numPr>
          <w:ilvl w:val="1"/>
          <w:numId w:val="226"/>
        </w:numPr>
        <w:rPr>
          <w:rFonts w:ascii="Arial" w:cs="Arial" w:eastAsia="Arial" w:hAnsi="Arial"/>
          <w:sz w:val="20"/>
          <w:szCs w:val="20"/>
          <w:color w:val="010000"/>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Such Defaulting Lender’s right to approve or disapprove any amendment, waiver or consent with respect to this Agreement shall be restricted as set forth in Section 9.02.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278" w:name="page279"/>
    <w:bookmarkEnd w:id="278"/>
    <w:p>
      <w:pPr>
        <w:jc w:val="both"/>
        <w:ind w:left="-200" w:right="20" w:firstLine="1499"/>
        <w:spacing w:after="0" w:line="268" w:lineRule="auto"/>
        <w:tabs>
          <w:tab w:leader="none" w:pos="2400" w:val="left"/>
        </w:tabs>
        <w:numPr>
          <w:ilvl w:val="0"/>
          <w:numId w:val="227"/>
        </w:numPr>
        <w:rPr>
          <w:rFonts w:ascii="Arial" w:cs="Arial" w:eastAsia="Arial" w:hAnsi="Arial"/>
          <w:sz w:val="18"/>
          <w:szCs w:val="18"/>
          <w:color w:val="010000"/>
        </w:rPr>
      </w:pPr>
      <w:r>
        <w:rPr>
          <w:rFonts w:ascii="Arial" w:cs="Arial" w:eastAsia="Arial" w:hAnsi="Arial"/>
          <w:sz w:val="18"/>
          <w:szCs w:val="18"/>
          <w:u w:val="single" w:color="auto"/>
          <w:color w:val="auto"/>
        </w:rPr>
        <w:t>Reallocation of Payments</w:t>
      </w:r>
      <w:r>
        <w:rPr>
          <w:rFonts w:ascii="Arial" w:cs="Arial" w:eastAsia="Arial" w:hAnsi="Arial"/>
          <w:sz w:val="18"/>
          <w:szCs w:val="18"/>
          <w:color w:val="auto"/>
        </w:rPr>
        <w:t xml:space="preserve">. Subject to the last sentence of Section 2.11(f), any payment of principal, interest, fees or other amounts received by the Administrative Agent for the account of that Defaulting Lender (whether voluntary or mandatory, at maturity, pursuant to Article VII or otherwise, and including any amounts made available to the Administrative Agent by that Defaulting Lender pursuant to Section 9.08),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that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in the case of a Revolving Lender, to the payment on a pro rata basis of any amounts owing by that Defaulting Lender to each Issuing Bank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in the case of a Revolving Lender,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payment of any amounts owing to the Lenders or the Issuing Banks as a result of any judgment of a court of competent jurisdiction obtained by any Lender, such Issuing Bank against that Defaulting Lender as a result of that Defaulting Lender’s breach of its obligations under this Agreement;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Section 2.05(j) or this Section 2.22(a)(ii). Any payments, prepayments or other amounts paid or payable to a Defaulting Lender that are applied (or held) to pay amounts owed by a Defaulting Lender or to post cash collateral pursuant to Section 2.05(j) shall be deemed paid to and redirected by that Defaulting Lender, and each Lender irrevocably consents hereto.</w:t>
      </w:r>
    </w:p>
    <w:p>
      <w:pPr>
        <w:spacing w:after="0" w:line="186" w:lineRule="exact"/>
        <w:rPr>
          <w:rFonts w:ascii="Arial" w:cs="Arial" w:eastAsia="Arial" w:hAnsi="Arial"/>
          <w:sz w:val="18"/>
          <w:szCs w:val="18"/>
          <w:color w:val="010000"/>
        </w:rPr>
      </w:pPr>
    </w:p>
    <w:p>
      <w:pPr>
        <w:jc w:val="both"/>
        <w:ind w:left="-200" w:firstLine="1499"/>
        <w:spacing w:after="0" w:line="263" w:lineRule="auto"/>
        <w:tabs>
          <w:tab w:leader="none" w:pos="2401" w:val="left"/>
        </w:tabs>
        <w:numPr>
          <w:ilvl w:val="0"/>
          <w:numId w:val="227"/>
        </w:numPr>
        <w:rPr>
          <w:rFonts w:ascii="Arial" w:cs="Arial" w:eastAsia="Arial" w:hAnsi="Arial"/>
          <w:sz w:val="19"/>
          <w:szCs w:val="19"/>
          <w:color w:val="010000"/>
        </w:rPr>
      </w:pPr>
      <w:r>
        <w:rPr>
          <w:rFonts w:ascii="Arial" w:cs="Arial" w:eastAsia="Arial" w:hAnsi="Arial"/>
          <w:sz w:val="19"/>
          <w:szCs w:val="19"/>
          <w:u w:val="single" w:color="auto"/>
          <w:color w:val="auto"/>
        </w:rPr>
        <w:t>Certain Fees</w:t>
      </w:r>
      <w:r>
        <w:rPr>
          <w:rFonts w:ascii="Arial" w:cs="Arial" w:eastAsia="Arial" w:hAnsi="Arial"/>
          <w:sz w:val="19"/>
          <w:szCs w:val="19"/>
          <w:color w:val="auto"/>
        </w:rPr>
        <w:t>. That Defaulting Lender (x) shall not be entitled to receive or accrue any commitment fee pursuant to Section 2.12(a)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2.12(b).</w:t>
      </w:r>
    </w:p>
    <w:p>
      <w:pPr>
        <w:spacing w:after="0" w:line="188" w:lineRule="exact"/>
        <w:rPr>
          <w:rFonts w:ascii="Arial" w:cs="Arial" w:eastAsia="Arial" w:hAnsi="Arial"/>
          <w:sz w:val="19"/>
          <w:szCs w:val="19"/>
          <w:color w:val="010000"/>
        </w:rPr>
      </w:pPr>
    </w:p>
    <w:p>
      <w:pPr>
        <w:jc w:val="both"/>
        <w:ind w:left="-200" w:right="40" w:firstLine="1499"/>
        <w:spacing w:after="0" w:line="272" w:lineRule="auto"/>
        <w:tabs>
          <w:tab w:leader="none" w:pos="2398" w:val="left"/>
        </w:tabs>
        <w:numPr>
          <w:ilvl w:val="0"/>
          <w:numId w:val="227"/>
        </w:numPr>
        <w:rPr>
          <w:rFonts w:ascii="Arial" w:cs="Arial" w:eastAsia="Arial" w:hAnsi="Arial"/>
          <w:sz w:val="18"/>
          <w:szCs w:val="18"/>
          <w:color w:val="010000"/>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xml:space="preserve">. During any period in which there is a Defaulting Lender, for purposes of computing the amount of the obligation of each non-Defaulting Lender to acquire, refinance or fund participations in Letters of Credit pursuant to Section 2.05 and the payments of participation fees pursuant to Section 2.12(b), the “Applicable Percentage” of each non-Defaulting Lender shall be computed without giving effect to the Revolving Commitment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obligation of each non-Defaulting Lender to acquire, refinance or fund participations in Letters of Credit shall not exceed the positive difference, if any, of (1) the Revolving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sum of (A) the aggregate principal amount of the Revolving Loans of that non-Defaulting Lender plus (B) the LC Exposure of that non-Defaulting Lender.</w:t>
      </w:r>
    </w:p>
    <w:p>
      <w:pPr>
        <w:spacing w:after="0" w:line="159" w:lineRule="exact"/>
        <w:rPr>
          <w:rFonts w:ascii="Arial" w:cs="Arial" w:eastAsia="Arial" w:hAnsi="Arial"/>
          <w:sz w:val="18"/>
          <w:szCs w:val="18"/>
          <w:color w:val="010000"/>
        </w:rPr>
      </w:pPr>
    </w:p>
    <w:p>
      <w:pPr>
        <w:jc w:val="both"/>
        <w:ind w:left="-200" w:right="20" w:firstLine="1499"/>
        <w:spacing w:after="0" w:line="246" w:lineRule="auto"/>
        <w:tabs>
          <w:tab w:leader="none" w:pos="2398" w:val="left"/>
        </w:tabs>
        <w:numPr>
          <w:ilvl w:val="0"/>
          <w:numId w:val="227"/>
        </w:numPr>
        <w:rPr>
          <w:rFonts w:ascii="Arial" w:cs="Arial" w:eastAsia="Arial" w:hAnsi="Arial"/>
          <w:sz w:val="20"/>
          <w:szCs w:val="20"/>
          <w:color w:val="010000"/>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If the reallocation described in clause (iv) above cannot, or can only partially, be effected, the Borrower shall, without prejudice to any right or remedy available to it hereunder or under law, cash collateralize the Issuing Banks’ Defaulting Lender Fronting Exposure in accordance with the procedures set forth in Section 2.05(j).</w:t>
      </w:r>
    </w:p>
    <w:p>
      <w:pPr>
        <w:spacing w:after="0" w:line="19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22" w:right="519" w:bottom="1440" w:gutter="0" w:footer="0" w:header="0"/>
        </w:sectPr>
      </w:pPr>
    </w:p>
    <w:bookmarkStart w:id="279" w:name="page280"/>
    <w:bookmarkEnd w:id="279"/>
    <w:p>
      <w:pPr>
        <w:jc w:val="both"/>
        <w:ind w:firstLine="1467"/>
        <w:spacing w:after="0" w:line="270" w:lineRule="auto"/>
        <w:tabs>
          <w:tab w:leader="none" w:pos="2213"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the Administrative Agent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Applicable Percentages (without giving effect to Section 2.22(a)(iv) or the proviso to the definition thereof), whereupon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except to the extent otherwise expressly agreed by the affected parties and subject to Section 9.20, no change hereunder from Defaulting Lender to Lender will constitute a waiver or release of any claim of any party hereunder arising from that Lender’s having been a Defaulting Lender.</w:t>
      </w:r>
    </w:p>
    <w:p>
      <w:pPr>
        <w:spacing w:after="0" w:line="189" w:lineRule="exact"/>
        <w:rPr>
          <w:sz w:val="20"/>
          <w:szCs w:val="20"/>
          <w:color w:val="auto"/>
        </w:rPr>
      </w:pPr>
    </w:p>
    <w:p>
      <w:pPr>
        <w:jc w:val="center"/>
        <w:ind w:right="320"/>
        <w:spacing w:after="0"/>
        <w:tabs>
          <w:tab w:leader="none" w:pos="340" w:val="left"/>
        </w:tabs>
        <w:rPr>
          <w:sz w:val="20"/>
          <w:szCs w:val="20"/>
          <w:color w:val="auto"/>
        </w:rPr>
      </w:pPr>
      <w:r>
        <w:rPr>
          <w:rFonts w:ascii="Arial" w:cs="Arial" w:eastAsia="Arial" w:hAnsi="Arial"/>
          <w:sz w:val="20"/>
          <w:szCs w:val="20"/>
          <w:color w:val="010000"/>
        </w:rPr>
        <w:t>SECTION 2.23</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22" w:lineRule="exact"/>
        <w:rPr>
          <w:sz w:val="20"/>
          <w:szCs w:val="20"/>
          <w:color w:val="auto"/>
        </w:rPr>
      </w:pPr>
    </w:p>
    <w:p>
      <w:pPr>
        <w:jc w:val="both"/>
        <w:ind w:firstLine="1499"/>
        <w:spacing w:after="0" w:line="270" w:lineRule="auto"/>
        <w:rPr>
          <w:sz w:val="20"/>
          <w:szCs w:val="20"/>
          <w:color w:val="auto"/>
        </w:rPr>
      </w:pPr>
      <w:r>
        <w:rPr>
          <w:rFonts w:ascii="Arial" w:cs="Arial" w:eastAsia="Arial" w:hAnsi="Arial"/>
          <w:sz w:val="18"/>
          <w:szCs w:val="18"/>
          <w:color w:val="auto"/>
        </w:rPr>
        <w:t xml:space="preserve">If any Lender </w:t>
      </w:r>
      <w:r>
        <w:rPr>
          <w:rFonts w:ascii="Arial" w:cs="Arial" w:eastAsia="Arial" w:hAnsi="Arial"/>
          <w:sz w:val="18"/>
          <w:szCs w:val="18"/>
          <w:b w:val="1"/>
          <w:bCs w:val="1"/>
          <w:color w:val="FF0000"/>
          <w:strike w:val="1"/>
        </w:rPr>
        <w:t>reasonably</w:t>
      </w:r>
      <w:r>
        <w:rPr>
          <w:rFonts w:ascii="Arial" w:cs="Arial" w:eastAsia="Arial" w:hAnsi="Arial"/>
          <w:sz w:val="18"/>
          <w:szCs w:val="18"/>
          <w:color w:val="auto"/>
        </w:rPr>
        <w:t xml:space="preserve"> determines that any law has made it unlawful, or </w:t>
      </w:r>
      <w:r>
        <w:rPr>
          <w:rFonts w:ascii="Arial" w:cs="Arial" w:eastAsia="Arial" w:hAnsi="Arial"/>
          <w:sz w:val="18"/>
          <w:szCs w:val="18"/>
          <w:b w:val="1"/>
          <w:bCs w:val="1"/>
          <w:u w:val="single" w:color="auto"/>
          <w:color w:val="0000FF"/>
        </w:rPr>
        <w:t>that</w:t>
      </w:r>
      <w:r>
        <w:rPr>
          <w:rFonts w:ascii="Arial" w:cs="Arial" w:eastAsia="Arial" w:hAnsi="Arial"/>
          <w:sz w:val="18"/>
          <w:szCs w:val="18"/>
          <w:color w:val="auto"/>
        </w:rPr>
        <w:t xml:space="preserve"> any Governmental Authority has asserted that it is unlawful, for any Lender </w:t>
      </w:r>
      <w:r>
        <w:rPr>
          <w:rFonts w:ascii="Arial" w:cs="Arial" w:eastAsia="Arial" w:hAnsi="Arial"/>
          <w:sz w:val="18"/>
          <w:szCs w:val="18"/>
          <w:b w:val="1"/>
          <w:bCs w:val="1"/>
          <w:u w:val="single" w:color="auto"/>
          <w:color w:val="0000FF"/>
        </w:rPr>
        <w:t>or its applicable lending office</w:t>
      </w:r>
      <w:r>
        <w:rPr>
          <w:rFonts w:ascii="Arial" w:cs="Arial" w:eastAsia="Arial" w:hAnsi="Arial"/>
          <w:sz w:val="18"/>
          <w:szCs w:val="18"/>
          <w:color w:val="auto"/>
        </w:rPr>
        <w:t xml:space="preserve"> to make, maintain or fund Loans whose interest is determined by reference to </w:t>
      </w:r>
      <w:r>
        <w:rPr>
          <w:rFonts w:ascii="Arial" w:cs="Arial" w:eastAsia="Arial" w:hAnsi="Arial"/>
          <w:sz w:val="18"/>
          <w:szCs w:val="18"/>
          <w:b w:val="1"/>
          <w:bCs w:val="1"/>
          <w:color w:val="FF0000"/>
          <w:strike w:val="1"/>
        </w:rPr>
        <w:t>the Adjusted LIBO Rate (whether denominated in Dollars or an Alternative Currency),</w:t>
      </w:r>
      <w:r>
        <w:rPr>
          <w:rFonts w:ascii="Arial" w:cs="Arial" w:eastAsia="Arial" w:hAnsi="Arial"/>
          <w:sz w:val="18"/>
          <w:szCs w:val="18"/>
          <w:b w:val="1"/>
          <w:bCs w:val="1"/>
          <w:u w:val="single" w:color="auto"/>
          <w:color w:val="0000FF"/>
        </w:rPr>
        <w:t>SOFR, the Term SOFR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Reference Rate, Adjusted Term SOFR or Term SOFR,</w:t>
      </w:r>
      <w:r>
        <w:rPr>
          <w:rFonts w:ascii="Arial" w:cs="Arial" w:eastAsia="Arial" w:hAnsi="Arial"/>
          <w:sz w:val="18"/>
          <w:szCs w:val="18"/>
          <w:b w:val="1"/>
          <w:bCs w:val="1"/>
          <w:color w:val="0000FF"/>
        </w:rPr>
        <w:t xml:space="preserve"> </w:t>
      </w:r>
      <w:r>
        <w:rPr>
          <w:rFonts w:ascii="Arial" w:cs="Arial" w:eastAsia="Arial" w:hAnsi="Arial"/>
          <w:sz w:val="18"/>
          <w:szCs w:val="18"/>
          <w:color w:val="000000"/>
        </w:rPr>
        <w:t>or to determine or charge interest</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rates</w:t>
      </w:r>
      <w:r>
        <w:rPr>
          <w:rFonts w:ascii="Arial" w:cs="Arial" w:eastAsia="Arial" w:hAnsi="Arial"/>
          <w:sz w:val="18"/>
          <w:szCs w:val="18"/>
          <w:b w:val="1"/>
          <w:bCs w:val="1"/>
          <w:color w:val="0000FF"/>
        </w:rPr>
        <w:t xml:space="preserve"> </w:t>
      </w:r>
      <w:r>
        <w:rPr>
          <w:rFonts w:ascii="Arial" w:cs="Arial" w:eastAsia="Arial" w:hAnsi="Arial"/>
          <w:sz w:val="18"/>
          <w:szCs w:val="18"/>
          <w:color w:val="000000"/>
        </w:rPr>
        <w:t>based upon</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the Adjusted LIBO</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Rate</w:t>
      </w:r>
      <w:r>
        <w:rPr>
          <w:rFonts w:ascii="Arial" w:cs="Arial" w:eastAsia="Arial" w:hAnsi="Arial"/>
          <w:sz w:val="18"/>
          <w:szCs w:val="18"/>
          <w:b w:val="1"/>
          <w:bCs w:val="1"/>
          <w:u w:val="single" w:color="auto"/>
          <w:color w:val="0000FF"/>
        </w:rPr>
        <w:t>SOFR, the Term SOFR Reference Rate, Adjusted Term SOFR or Term SOFR</w:t>
      </w:r>
      <w:r>
        <w:rPr>
          <w:rFonts w:ascii="Arial" w:cs="Arial" w:eastAsia="Arial" w:hAnsi="Arial"/>
          <w:sz w:val="18"/>
          <w:szCs w:val="18"/>
          <w:color w:val="000000"/>
        </w:rPr>
        <w:t>, then,</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on</w:t>
      </w:r>
      <w:r>
        <w:rPr>
          <w:rFonts w:ascii="Arial" w:cs="Arial" w:eastAsia="Arial" w:hAnsi="Arial"/>
          <w:sz w:val="18"/>
          <w:szCs w:val="18"/>
          <w:b w:val="1"/>
          <w:bCs w:val="1"/>
          <w:u w:val="single" w:color="auto"/>
          <w:color w:val="0000FF"/>
        </w:rPr>
        <w:t>upon</w:t>
      </w:r>
      <w:r>
        <w:rPr>
          <w:rFonts w:ascii="Arial" w:cs="Arial" w:eastAsia="Arial" w:hAnsi="Arial"/>
          <w:sz w:val="18"/>
          <w:szCs w:val="18"/>
          <w:b w:val="1"/>
          <w:bCs w:val="1"/>
          <w:color w:val="FF0000"/>
        </w:rPr>
        <w:t xml:space="preserve"> </w:t>
      </w:r>
      <w:r>
        <w:rPr>
          <w:rFonts w:ascii="Arial" w:cs="Arial" w:eastAsia="Arial" w:hAnsi="Arial"/>
          <w:sz w:val="18"/>
          <w:szCs w:val="18"/>
          <w:color w:val="000000"/>
        </w:rPr>
        <w:t>notice thereof by such Lender to</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the</w:t>
      </w:r>
      <w:r>
        <w:rPr>
          <w:rFonts w:ascii="Arial" w:cs="Arial" w:eastAsia="Arial" w:hAnsi="Arial"/>
          <w:sz w:val="18"/>
          <w:szCs w:val="18"/>
          <w:b w:val="1"/>
          <w:bCs w:val="1"/>
          <w:color w:val="0000FF"/>
        </w:rPr>
        <w:t xml:space="preserve"> </w:t>
      </w:r>
      <w:r>
        <w:rPr>
          <w:rFonts w:ascii="Arial" w:cs="Arial" w:eastAsia="Arial" w:hAnsi="Arial"/>
          <w:sz w:val="18"/>
          <w:szCs w:val="18"/>
          <w:color w:val="000000"/>
        </w:rPr>
        <w:t>Borrower</w:t>
      </w:r>
      <w:r>
        <w:rPr>
          <w:rFonts w:ascii="Arial" w:cs="Arial" w:eastAsia="Arial" w:hAnsi="Arial"/>
          <w:sz w:val="18"/>
          <w:szCs w:val="18"/>
          <w:b w:val="1"/>
          <w:bCs w:val="1"/>
          <w:color w:val="0000FF"/>
        </w:rPr>
        <w:t xml:space="preserve"> (</w:t>
      </w:r>
      <w:r>
        <w:rPr>
          <w:rFonts w:ascii="Arial" w:cs="Arial" w:eastAsia="Arial" w:hAnsi="Arial"/>
          <w:sz w:val="18"/>
          <w:szCs w:val="18"/>
          <w:color w:val="000000"/>
        </w:rPr>
        <w:t>through the Administrative Agent</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(an “Illegality Notice”)</w:t>
      </w:r>
      <w:r>
        <w:rPr>
          <w:rFonts w:ascii="Arial" w:cs="Arial" w:eastAsia="Arial" w:hAnsi="Arial"/>
          <w:sz w:val="18"/>
          <w:szCs w:val="18"/>
          <w:color w:val="000000"/>
        </w:rPr>
        <w:t>, (</w:t>
      </w:r>
      <w:r>
        <w:rPr>
          <w:rFonts w:ascii="Arial" w:cs="Arial" w:eastAsia="Arial" w:hAnsi="Arial"/>
          <w:sz w:val="18"/>
          <w:szCs w:val="18"/>
          <w:b w:val="1"/>
          <w:bCs w:val="1"/>
          <w:color w:val="FF0000"/>
        </w:rPr>
        <w:t>i</w:t>
      </w:r>
      <w:r>
        <w:rPr>
          <w:rFonts w:ascii="Arial" w:cs="Arial" w:eastAsia="Arial" w:hAnsi="Arial"/>
          <w:sz w:val="18"/>
          <w:szCs w:val="18"/>
          <w:b w:val="1"/>
          <w:bCs w:val="1"/>
          <w:u w:val="single" w:color="auto"/>
          <w:color w:val="0000FF"/>
        </w:rPr>
        <w:t>a</w:t>
      </w:r>
      <w:r>
        <w:rPr>
          <w:rFonts w:ascii="Arial" w:cs="Arial" w:eastAsia="Arial" w:hAnsi="Arial"/>
          <w:sz w:val="18"/>
          <w:szCs w:val="18"/>
          <w:color w:val="000000"/>
        </w:rPr>
        <w:t>) any obligation of</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such Lender to make or continue</w:t>
      </w:r>
    </w:p>
    <w:p>
      <w:pPr>
        <w:jc w:val="both"/>
        <w:spacing w:after="0" w:line="267" w:lineRule="auto"/>
        <w:rPr>
          <w:sz w:val="20"/>
          <w:szCs w:val="20"/>
          <w:color w:val="auto"/>
        </w:rPr>
      </w:pPr>
      <w:r>
        <w:rPr>
          <w:rFonts w:ascii="Arial" w:cs="Arial" w:eastAsia="Arial" w:hAnsi="Arial"/>
          <w:sz w:val="18"/>
          <w:szCs w:val="18"/>
          <w:b w:val="1"/>
          <w:bCs w:val="1"/>
          <w:color w:val="FF0000"/>
          <w:strike w:val="1"/>
        </w:rPr>
        <w:t>Eurodollar Loans in the affected currency or currencies</w:t>
      </w:r>
      <w:r>
        <w:rPr>
          <w:rFonts w:ascii="Arial" w:cs="Arial" w:eastAsia="Arial" w:hAnsi="Arial"/>
          <w:sz w:val="18"/>
          <w:szCs w:val="18"/>
          <w:b w:val="1"/>
          <w:bCs w:val="1"/>
          <w:u w:val="single" w:color="auto"/>
          <w:color w:val="0000FF"/>
          <w:strike w:val="1"/>
        </w:rPr>
        <w:t>the Lenders to make SOFR Loans, and any right of the Borrower to</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continue SOFR Loans</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or to convert ABR Loans to</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strike w:val="1"/>
        </w:rPr>
        <w:t>SOFR</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Loans</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color w:val="FF0000"/>
          <w:strike w:val="1"/>
        </w:rPr>
        <w:t>in the</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color w:val="FF0000"/>
          <w:strike w:val="1"/>
        </w:rPr>
        <w:t>affected currency or currencies</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shall be</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suspended, and (</w:t>
      </w:r>
      <w:r>
        <w:rPr>
          <w:rFonts w:ascii="Arial" w:cs="Arial" w:eastAsia="Arial" w:hAnsi="Arial"/>
          <w:sz w:val="18"/>
          <w:szCs w:val="18"/>
          <w:b w:val="1"/>
          <w:bCs w:val="1"/>
          <w:color w:val="FF0000"/>
          <w:strike w:val="1"/>
        </w:rPr>
        <w:t>ii</w:t>
      </w:r>
      <w:r>
        <w:rPr>
          <w:rFonts w:ascii="Arial" w:cs="Arial" w:eastAsia="Arial" w:hAnsi="Arial"/>
          <w:sz w:val="18"/>
          <w:szCs w:val="18"/>
          <w:b w:val="1"/>
          <w:bCs w:val="1"/>
          <w:u w:val="single" w:color="auto"/>
          <w:color w:val="0000FF"/>
          <w:strike w:val="1"/>
        </w:rPr>
        <w:t>b</w:t>
      </w:r>
      <w:r>
        <w:rPr>
          <w:rFonts w:ascii="Arial" w:cs="Arial" w:eastAsia="Arial" w:hAnsi="Arial"/>
          <w:sz w:val="18"/>
          <w:szCs w:val="18"/>
          <w:color w:val="000000"/>
          <w:strike w:val="1"/>
        </w:rPr>
        <w:t xml:space="preserve">) </w:t>
      </w:r>
      <w:r>
        <w:rPr>
          <w:rFonts w:ascii="Arial" w:cs="Arial" w:eastAsia="Arial" w:hAnsi="Arial"/>
          <w:sz w:val="18"/>
          <w:szCs w:val="18"/>
          <w:b w:val="1"/>
          <w:bCs w:val="1"/>
          <w:color w:val="FF0000"/>
          <w:strike w:val="1"/>
        </w:rPr>
        <w:t>if such notice asserts the illegality of such Lender making or maintaining ABR Loans</w:t>
      </w:r>
      <w:r>
        <w:rPr>
          <w:rFonts w:ascii="Arial" w:cs="Arial" w:eastAsia="Arial" w:hAnsi="Arial"/>
          <w:sz w:val="18"/>
          <w:szCs w:val="18"/>
          <w:color w:val="000000"/>
          <w:strike w:val="1"/>
        </w:rPr>
        <w:t xml:space="preserve"> the interest rate on which </w:t>
      </w:r>
      <w:r>
        <w:rPr>
          <w:rFonts w:ascii="Arial" w:cs="Arial" w:eastAsia="Arial" w:hAnsi="Arial"/>
          <w:sz w:val="18"/>
          <w:szCs w:val="18"/>
          <w:b w:val="1"/>
          <w:bCs w:val="1"/>
          <w:color w:val="FF0000"/>
          <w:strike w:val="1"/>
        </w:rPr>
        <w:t>is determined by reference to the Adjusted LIBO Rate component of the Alternate Base Rate, the interest rate on such ABR Loans of such Lender</w:t>
      </w:r>
      <w:r>
        <w:rPr>
          <w:rFonts w:ascii="Arial" w:cs="Arial" w:eastAsia="Arial" w:hAnsi="Arial"/>
          <w:sz w:val="18"/>
          <w:szCs w:val="18"/>
          <w:b w:val="1"/>
          <w:bCs w:val="1"/>
          <w:u w:val="single" w:color="auto"/>
          <w:color w:val="0000FF"/>
          <w:strike w:val="1"/>
        </w:rPr>
        <w:t>ABR Loans is determined</w:t>
      </w:r>
      <w:r>
        <w:rPr>
          <w:rFonts w:ascii="Arial" w:cs="Arial" w:eastAsia="Arial" w:hAnsi="Arial"/>
          <w:sz w:val="18"/>
          <w:szCs w:val="18"/>
          <w:b w:val="1"/>
          <w:bCs w:val="1"/>
          <w:color w:val="FF0000"/>
          <w:strike w:val="1"/>
        </w:rPr>
        <w:t xml:space="preserve"> </w:t>
      </w:r>
      <w:r>
        <w:rPr>
          <w:rFonts w:ascii="Arial" w:cs="Arial" w:eastAsia="Arial" w:hAnsi="Arial"/>
          <w:sz w:val="18"/>
          <w:szCs w:val="18"/>
          <w:color w:val="000000"/>
          <w:strike w:val="1"/>
        </w:rPr>
        <w:t>shall, if necessary to avoid such illegality, be determined by the Administrative Agent</w:t>
      </w:r>
      <w:r>
        <w:rPr>
          <w:rFonts w:ascii="Arial" w:cs="Arial" w:eastAsia="Arial" w:hAnsi="Arial"/>
          <w:sz w:val="18"/>
          <w:szCs w:val="18"/>
          <w:b w:val="1"/>
          <w:bCs w:val="1"/>
          <w:color w:val="FF0000"/>
          <w:strike w:val="1"/>
        </w:rPr>
        <w:t xml:space="preserve"> </w:t>
      </w:r>
      <w:r>
        <w:rPr>
          <w:rFonts w:ascii="Arial" w:cs="Arial" w:eastAsia="Arial" w:hAnsi="Arial"/>
          <w:sz w:val="18"/>
          <w:szCs w:val="18"/>
          <w:color w:val="000000"/>
          <w:strike w:val="1"/>
        </w:rPr>
        <w:t xml:space="preserve">without reference to </w:t>
      </w:r>
      <w:r>
        <w:rPr>
          <w:rFonts w:ascii="Arial" w:cs="Arial" w:eastAsia="Arial" w:hAnsi="Arial"/>
          <w:sz w:val="18"/>
          <w:szCs w:val="18"/>
          <w:b w:val="1"/>
          <w:bCs w:val="1"/>
          <w:color w:val="FF0000"/>
          <w:strike w:val="1"/>
        </w:rPr>
        <w:t>the Adjusted LIBO Rate component of the</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strike w:val="1"/>
        </w:rPr>
        <w:t>clause (c) of the definition of “</w:t>
      </w:r>
      <w:r>
        <w:rPr>
          <w:rFonts w:ascii="Arial" w:cs="Arial" w:eastAsia="Arial" w:hAnsi="Arial"/>
          <w:sz w:val="18"/>
          <w:szCs w:val="18"/>
          <w:color w:val="000000"/>
          <w:strike w:val="1"/>
        </w:rPr>
        <w:t>Alternate Base Rate</w:t>
      </w:r>
      <w:r>
        <w:rPr>
          <w:rFonts w:ascii="Arial" w:cs="Arial" w:eastAsia="Arial" w:hAnsi="Arial"/>
          <w:sz w:val="18"/>
          <w:szCs w:val="18"/>
          <w:b w:val="1"/>
          <w:bCs w:val="1"/>
          <w:u w:val="single" w:color="auto"/>
          <w:color w:val="0000FF"/>
          <w:strike w:val="1"/>
        </w:rPr>
        <w:t>”,</w:t>
      </w:r>
      <w:r>
        <w:rPr>
          <w:rFonts w:ascii="Arial" w:cs="Arial" w:eastAsia="Arial" w:hAnsi="Arial"/>
          <w:sz w:val="18"/>
          <w:szCs w:val="18"/>
          <w:color w:val="000000"/>
          <w:strike w:val="1"/>
        </w:rPr>
        <w:t xml:space="preserve"> in each case until </w:t>
      </w:r>
      <w:r>
        <w:rPr>
          <w:rFonts w:ascii="Arial" w:cs="Arial" w:eastAsia="Arial" w:hAnsi="Arial"/>
          <w:sz w:val="18"/>
          <w:szCs w:val="18"/>
          <w:b w:val="1"/>
          <w:bCs w:val="1"/>
          <w:color w:val="FF0000"/>
          <w:strike w:val="1"/>
        </w:rPr>
        <w:t>such</w:t>
      </w:r>
      <w:r>
        <w:rPr>
          <w:rFonts w:ascii="Arial" w:cs="Arial" w:eastAsia="Arial" w:hAnsi="Arial"/>
          <w:sz w:val="18"/>
          <w:szCs w:val="18"/>
          <w:b w:val="1"/>
          <w:bCs w:val="1"/>
          <w:u w:val="single" w:color="auto"/>
          <w:color w:val="0000FF"/>
          <w:strike w:val="1"/>
        </w:rPr>
        <w:t>each affected</w:t>
      </w:r>
      <w:r>
        <w:rPr>
          <w:rFonts w:ascii="Arial" w:cs="Arial" w:eastAsia="Arial" w:hAnsi="Arial"/>
          <w:sz w:val="18"/>
          <w:szCs w:val="18"/>
          <w:color w:val="000000"/>
          <w:strike w:val="1"/>
        </w:rPr>
        <w:t xml:space="preserve"> Lender notifies the Administrative Agent and the Borrower that the circumstances giving rise to such determination no longer exist. Upon receipt of </w:t>
      </w:r>
      <w:r>
        <w:rPr>
          <w:rFonts w:ascii="Arial" w:cs="Arial" w:eastAsia="Arial" w:hAnsi="Arial"/>
          <w:sz w:val="18"/>
          <w:szCs w:val="18"/>
          <w:b w:val="1"/>
          <w:bCs w:val="1"/>
          <w:color w:val="FF0000"/>
          <w:strike w:val="1"/>
        </w:rPr>
        <w:t>such notice, (x)</w:t>
      </w:r>
      <w:r>
        <w:rPr>
          <w:rFonts w:ascii="Arial" w:cs="Arial" w:eastAsia="Arial" w:hAnsi="Arial"/>
          <w:sz w:val="18"/>
          <w:szCs w:val="18"/>
          <w:b w:val="1"/>
          <w:bCs w:val="1"/>
          <w:u w:val="single" w:color="auto"/>
          <w:color w:val="0000FF"/>
          <w:strike w:val="1"/>
        </w:rPr>
        <w:t>an Illegality Notice,</w:t>
      </w:r>
      <w:r>
        <w:rPr>
          <w:rFonts w:ascii="Arial" w:cs="Arial" w:eastAsia="Arial" w:hAnsi="Arial"/>
          <w:sz w:val="18"/>
          <w:szCs w:val="18"/>
          <w:color w:val="000000"/>
          <w:strike w:val="1"/>
        </w:rPr>
        <w:t xml:space="preserve"> the Borrower shall, </w:t>
      </w:r>
      <w:r>
        <w:rPr>
          <w:rFonts w:ascii="Arial" w:cs="Arial" w:eastAsia="Arial" w:hAnsi="Arial"/>
          <w:sz w:val="18"/>
          <w:szCs w:val="18"/>
          <w:b w:val="1"/>
          <w:bCs w:val="1"/>
          <w:u w:val="single" w:color="auto"/>
          <w:color w:val="0000FF"/>
          <w:strike w:val="1"/>
        </w:rPr>
        <w:t>if necessary to avoid such</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strike w:val="1"/>
        </w:rPr>
        <w:t>illegality,</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upon three Business Days’ notice from</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color w:val="FF0000"/>
          <w:strike w:val="1"/>
        </w:rPr>
        <w:t>such</w:t>
      </w:r>
      <w:r>
        <w:rPr>
          <w:rFonts w:ascii="Arial" w:cs="Arial" w:eastAsia="Arial" w:hAnsi="Arial"/>
          <w:sz w:val="18"/>
          <w:szCs w:val="18"/>
          <w:b w:val="1"/>
          <w:bCs w:val="1"/>
          <w:u w:val="single" w:color="auto"/>
          <w:color w:val="0000FF"/>
          <w:strike w:val="1"/>
        </w:rPr>
        <w:t>any</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Lender (with a copy to the Administrative Agent), prepay or (I) if applicable</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 xml:space="preserve">and such Loans are denominated in Dollars, convert all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strike w:val="1"/>
        </w:rPr>
        <w:t>SOFR</w:t>
      </w:r>
      <w:r>
        <w:rPr>
          <w:rFonts w:ascii="Arial" w:cs="Arial" w:eastAsia="Arial" w:hAnsi="Arial"/>
          <w:sz w:val="18"/>
          <w:szCs w:val="18"/>
          <w:color w:val="000000"/>
          <w:strike w:val="1"/>
        </w:rPr>
        <w:t xml:space="preserve"> Loans </w:t>
      </w:r>
      <w:r>
        <w:rPr>
          <w:rFonts w:ascii="Arial" w:cs="Arial" w:eastAsia="Arial" w:hAnsi="Arial"/>
          <w:sz w:val="18"/>
          <w:szCs w:val="18"/>
          <w:b w:val="1"/>
          <w:bCs w:val="1"/>
          <w:color w:val="FF0000"/>
          <w:strike w:val="1"/>
        </w:rPr>
        <w:t>of such Lender</w:t>
      </w:r>
      <w:r>
        <w:rPr>
          <w:rFonts w:ascii="Arial" w:cs="Arial" w:eastAsia="Arial" w:hAnsi="Arial"/>
          <w:sz w:val="18"/>
          <w:szCs w:val="18"/>
          <w:color w:val="000000"/>
          <w:strike w:val="1"/>
        </w:rPr>
        <w:t xml:space="preserve"> to ABR Loans (the interest rate on which ABR Loans </w:t>
      </w:r>
      <w:r>
        <w:rPr>
          <w:rFonts w:ascii="Arial" w:cs="Arial" w:eastAsia="Arial" w:hAnsi="Arial"/>
          <w:sz w:val="18"/>
          <w:szCs w:val="18"/>
          <w:b w:val="1"/>
          <w:bCs w:val="1"/>
          <w:color w:val="FF0000"/>
          <w:strike w:val="1"/>
        </w:rPr>
        <w:t>of such Lender</w:t>
      </w:r>
      <w:r>
        <w:rPr>
          <w:rFonts w:ascii="Arial" w:cs="Arial" w:eastAsia="Arial" w:hAnsi="Arial"/>
          <w:sz w:val="18"/>
          <w:szCs w:val="18"/>
          <w:color w:val="000000"/>
          <w:strike w:val="1"/>
        </w:rPr>
        <w:t xml:space="preserve"> shall, if necessary to avoid such illegality, be determined by the Administrative Agent without reference to </w:t>
      </w:r>
      <w:r>
        <w:rPr>
          <w:rFonts w:ascii="Arial" w:cs="Arial" w:eastAsia="Arial" w:hAnsi="Arial"/>
          <w:sz w:val="18"/>
          <w:szCs w:val="18"/>
          <w:b w:val="1"/>
          <w:bCs w:val="1"/>
          <w:color w:val="FF0000"/>
          <w:strike w:val="1"/>
        </w:rPr>
        <w:t>the Adjusted LIBO Rate component of the</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strike w:val="1"/>
        </w:rPr>
        <w:t>clause (c) of the definition of “</w:t>
      </w:r>
      <w:r>
        <w:rPr>
          <w:rFonts w:ascii="Arial" w:cs="Arial" w:eastAsia="Arial" w:hAnsi="Arial"/>
          <w:sz w:val="18"/>
          <w:szCs w:val="18"/>
          <w:color w:val="000000"/>
          <w:strike w:val="1"/>
        </w:rPr>
        <w:t>Alternate Base Rate</w:t>
      </w:r>
      <w:r>
        <w:rPr>
          <w:rFonts w:ascii="Arial" w:cs="Arial" w:eastAsia="Arial" w:hAnsi="Arial"/>
          <w:sz w:val="18"/>
          <w:szCs w:val="18"/>
          <w:b w:val="1"/>
          <w:bCs w:val="1"/>
          <w:u w:val="single" w:color="auto"/>
          <w:color w:val="0000FF"/>
          <w:strike w:val="1"/>
        </w:rPr>
        <w:t>”</w:t>
      </w:r>
      <w:r>
        <w:rPr>
          <w:rFonts w:ascii="Arial" w:cs="Arial" w:eastAsia="Arial" w:hAnsi="Arial"/>
          <w:sz w:val="18"/>
          <w:szCs w:val="18"/>
          <w:color w:val="000000"/>
          <w:strike w:val="1"/>
        </w:rPr>
        <w:t xml:space="preserve">), </w:t>
      </w:r>
      <w:r>
        <w:rPr>
          <w:rFonts w:ascii="Arial" w:cs="Arial" w:eastAsia="Arial" w:hAnsi="Arial"/>
          <w:sz w:val="18"/>
          <w:szCs w:val="18"/>
          <w:b w:val="1"/>
          <w:bCs w:val="1"/>
          <w:color w:val="FF0000"/>
          <w:strike w:val="1"/>
        </w:rPr>
        <w:t>either</w:t>
      </w:r>
      <w:r>
        <w:rPr>
          <w:rFonts w:ascii="Arial" w:cs="Arial" w:eastAsia="Arial" w:hAnsi="Arial"/>
          <w:sz w:val="18"/>
          <w:szCs w:val="18"/>
          <w:color w:val="000000"/>
          <w:strike w:val="1"/>
        </w:rPr>
        <w:t xml:space="preserve"> on the last day of the Interest Period therefor, if </w:t>
      </w:r>
      <w:r>
        <w:rPr>
          <w:rFonts w:ascii="Arial" w:cs="Arial" w:eastAsia="Arial" w:hAnsi="Arial"/>
          <w:sz w:val="18"/>
          <w:szCs w:val="18"/>
          <w:b w:val="1"/>
          <w:bCs w:val="1"/>
          <w:color w:val="FF0000"/>
          <w:strike w:val="1"/>
        </w:rPr>
        <w:t>such Lender</w:t>
      </w:r>
      <w:r>
        <w:rPr>
          <w:rFonts w:ascii="Arial" w:cs="Arial" w:eastAsia="Arial" w:hAnsi="Arial"/>
          <w:sz w:val="18"/>
          <w:szCs w:val="18"/>
          <w:b w:val="1"/>
          <w:bCs w:val="1"/>
          <w:u w:val="single" w:color="auto"/>
          <w:color w:val="0000FF"/>
          <w:strike w:val="1"/>
        </w:rPr>
        <w:t>all affected Lenders</w:t>
      </w:r>
      <w:r>
        <w:rPr>
          <w:rFonts w:ascii="Arial" w:cs="Arial" w:eastAsia="Arial" w:hAnsi="Arial"/>
          <w:sz w:val="18"/>
          <w:szCs w:val="18"/>
          <w:color w:val="000000"/>
          <w:strike w:val="1"/>
        </w:rPr>
        <w:t xml:space="preserve"> may lawfully continue to maintain such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strike w:val="1"/>
        </w:rPr>
        <w:t>SOFR</w:t>
      </w:r>
      <w:r>
        <w:rPr>
          <w:rFonts w:ascii="Arial" w:cs="Arial" w:eastAsia="Arial" w:hAnsi="Arial"/>
          <w:sz w:val="18"/>
          <w:szCs w:val="18"/>
          <w:color w:val="000000"/>
          <w:strike w:val="1"/>
        </w:rPr>
        <w:t xml:space="preserve"> Loans to such day, or immediately, if </w:t>
      </w:r>
      <w:r>
        <w:rPr>
          <w:rFonts w:ascii="Arial" w:cs="Arial" w:eastAsia="Arial" w:hAnsi="Arial"/>
          <w:sz w:val="18"/>
          <w:szCs w:val="18"/>
          <w:b w:val="1"/>
          <w:bCs w:val="1"/>
          <w:color w:val="FF0000"/>
          <w:strike w:val="1"/>
        </w:rPr>
        <w:t>such</w:t>
      </w:r>
      <w:r>
        <w:rPr>
          <w:rFonts w:ascii="Arial" w:cs="Arial" w:eastAsia="Arial" w:hAnsi="Arial"/>
          <w:sz w:val="18"/>
          <w:szCs w:val="18"/>
          <w:b w:val="1"/>
          <w:bCs w:val="1"/>
          <w:u w:val="single" w:color="auto"/>
          <w:color w:val="0000FF"/>
          <w:strike w:val="1"/>
        </w:rPr>
        <w:t>any</w:t>
      </w:r>
      <w:r>
        <w:rPr>
          <w:rFonts w:ascii="Arial" w:cs="Arial" w:eastAsia="Arial" w:hAnsi="Arial"/>
          <w:sz w:val="18"/>
          <w:szCs w:val="18"/>
          <w:color w:val="000000"/>
          <w:strike w:val="1"/>
        </w:rPr>
        <w:t xml:space="preserve"> Lender may not lawfully continue to maintain such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strike w:val="1"/>
        </w:rPr>
        <w:t>SOFR</w:t>
      </w:r>
      <w:r>
        <w:rPr>
          <w:rFonts w:ascii="Arial" w:cs="Arial" w:eastAsia="Arial" w:hAnsi="Arial"/>
          <w:sz w:val="18"/>
          <w:szCs w:val="18"/>
          <w:color w:val="000000"/>
          <w:strike w:val="1"/>
        </w:rPr>
        <w:t xml:space="preserve"> Loans</w:t>
      </w:r>
      <w:r>
        <w:rPr>
          <w:rFonts w:ascii="Arial" w:cs="Arial" w:eastAsia="Arial" w:hAnsi="Arial"/>
          <w:sz w:val="18"/>
          <w:szCs w:val="18"/>
          <w:b w:val="1"/>
          <w:bCs w:val="1"/>
          <w:color w:val="FF0000"/>
          <w:strike w:val="1"/>
        </w:rPr>
        <w:t>,</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strike w:val="1"/>
        </w:rPr>
        <w:t>to such day</w:t>
      </w:r>
      <w:r>
        <w:rPr>
          <w:rFonts w:ascii="Arial" w:cs="Arial" w:eastAsia="Arial" w:hAnsi="Arial"/>
          <w:sz w:val="18"/>
          <w:szCs w:val="18"/>
          <w:color w:val="000000"/>
          <w:strike w:val="1"/>
        </w:rPr>
        <w:t xml:space="preserve"> or (II) if applicable and such Loans are denominated in an Alternative Currency, to the extent the Borrower and the applicable Lenders agree, convert such Loans to Loans bearing interest at an alternative rate mutually acceptable to the Borrower and all of the applicable Lenders, in each case, either on the last day of the Interest Period therefor, if such Lender may lawfully continue to maintain such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strike w:val="1"/>
        </w:rPr>
        <w:t>SOFR</w:t>
      </w:r>
      <w:r>
        <w:rPr>
          <w:rFonts w:ascii="Arial" w:cs="Arial" w:eastAsia="Arial" w:hAnsi="Arial"/>
          <w:sz w:val="18"/>
          <w:szCs w:val="18"/>
          <w:b w:val="1"/>
          <w:bCs w:val="1"/>
          <w:color w:val="FF0000"/>
          <w:strike w:val="1"/>
        </w:rPr>
        <w:t xml:space="preserve"> </w:t>
      </w:r>
      <w:r>
        <w:rPr>
          <w:rFonts w:ascii="Arial" w:cs="Arial" w:eastAsia="Arial" w:hAnsi="Arial"/>
          <w:sz w:val="18"/>
          <w:szCs w:val="18"/>
          <w:color w:val="000000"/>
          <w:strike w:val="1"/>
        </w:rPr>
        <w:t>Loans to such day, or immediately, if such Lender may not lawfully continue to maintain such</w:t>
      </w:r>
      <w:r>
        <w:rPr>
          <w:rFonts w:ascii="Arial" w:cs="Arial" w:eastAsia="Arial" w:hAnsi="Arial"/>
          <w:sz w:val="18"/>
          <w:szCs w:val="18"/>
          <w:b w:val="1"/>
          <w:bCs w:val="1"/>
          <w:color w:val="FF0000"/>
          <w:strike w:val="1"/>
        </w:rPr>
        <w:t xml:space="preserve"> Eurodollar</w:t>
      </w:r>
      <w:r>
        <w:rPr>
          <w:rFonts w:ascii="Arial" w:cs="Arial" w:eastAsia="Arial" w:hAnsi="Arial"/>
          <w:sz w:val="18"/>
          <w:szCs w:val="18"/>
          <w:b w:val="1"/>
          <w:bCs w:val="1"/>
          <w:u w:val="single" w:color="auto"/>
          <w:color w:val="0000FF"/>
          <w:strike w:val="1"/>
        </w:rPr>
        <w:t>SOFR</w:t>
      </w:r>
      <w:r>
        <w:rPr>
          <w:rFonts w:ascii="Arial" w:cs="Arial" w:eastAsia="Arial" w:hAnsi="Arial"/>
          <w:sz w:val="18"/>
          <w:szCs w:val="18"/>
          <w:b w:val="1"/>
          <w:bCs w:val="1"/>
          <w:color w:val="FF0000"/>
          <w:strike w:val="1"/>
        </w:rPr>
        <w:t xml:space="preserve"> </w:t>
      </w:r>
      <w:r>
        <w:rPr>
          <w:rFonts w:ascii="Arial" w:cs="Arial" w:eastAsia="Arial" w:hAnsi="Arial"/>
          <w:sz w:val="18"/>
          <w:szCs w:val="18"/>
          <w:color w:val="000000"/>
          <w:strike w:val="1"/>
        </w:rPr>
        <w:t>Loans; provided, however, that if the Borrower and the applicable Lender cannot agree within a reasonable time on an alternative rate for such Loans denominated in an Alternative Currency, the Borrower may, at its discretion, either (i) prepay such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-2708910</wp:posOffset>
            </wp:positionV>
            <wp:extent cx="3860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23">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52" w:right="499" w:bottom="1440" w:gutter="0" w:footer="0" w:header="0"/>
        </w:sectPr>
      </w:pPr>
    </w:p>
    <w:bookmarkStart w:id="280" w:name="page281"/>
    <w:bookmarkEnd w:id="280"/>
    <w:p>
      <w:pPr>
        <w:jc w:val="both"/>
        <w:spacing w:after="0" w:line="254" w:lineRule="auto"/>
        <w:rPr>
          <w:sz w:val="20"/>
          <w:szCs w:val="20"/>
          <w:color w:val="auto"/>
        </w:rPr>
      </w:pPr>
      <w:r>
        <w:rPr>
          <w:rFonts w:ascii="Arial" w:cs="Arial" w:eastAsia="Arial" w:hAnsi="Arial"/>
          <w:sz w:val="19"/>
          <w:szCs w:val="19"/>
          <w:color w:val="auto"/>
        </w:rPr>
        <w:t xml:space="preserve">or (ii) maintain such Loans outstanding, in which case, the interest rate payable to the applicable Lender on such Loans will be the rate determined by such Lender as its cost of funds to fund a Borrowing of such Loans with maturities comparable to the Interest Period applicable thereto plus the Applicable Rate unless the maintenance of such Loans outstanding on such basis would not stop the conditions described in the first sentence of this Section 2.23 from existing (in which case the Borrower shall be required to prepay such Loans), and (y) if such notice asserts the illegality of such Lender determining or charging interest rates based upon the Adjusted </w:t>
      </w:r>
      <w:r>
        <w:rPr>
          <w:rFonts w:ascii="Arial" w:cs="Arial" w:eastAsia="Arial" w:hAnsi="Arial"/>
          <w:sz w:val="19"/>
          <w:szCs w:val="19"/>
          <w:b w:val="1"/>
          <w:bCs w:val="1"/>
          <w:color w:val="FF0000"/>
          <w:strike w:val="1"/>
        </w:rPr>
        <w:t>LIBO</w:t>
      </w:r>
      <w:r>
        <w:rPr>
          <w:rFonts w:ascii="Arial" w:cs="Arial" w:eastAsia="Arial" w:hAnsi="Arial"/>
          <w:sz w:val="19"/>
          <w:szCs w:val="19"/>
          <w:b w:val="1"/>
          <w:bCs w:val="1"/>
          <w:u w:val="single" w:color="auto"/>
          <w:color w:val="0000FF"/>
        </w:rPr>
        <w:t>Term SOFR</w:t>
      </w:r>
      <w:r>
        <w:rPr>
          <w:rFonts w:ascii="Arial" w:cs="Arial" w:eastAsia="Arial" w:hAnsi="Arial"/>
          <w:sz w:val="19"/>
          <w:szCs w:val="19"/>
          <w:b w:val="1"/>
          <w:bCs w:val="1"/>
          <w:color w:val="FF0000"/>
        </w:rPr>
        <w:t xml:space="preserve"> </w:t>
      </w:r>
      <w:r>
        <w:rPr>
          <w:rFonts w:ascii="Arial" w:cs="Arial" w:eastAsia="Arial" w:hAnsi="Arial"/>
          <w:sz w:val="19"/>
          <w:szCs w:val="19"/>
          <w:color w:val="000000"/>
        </w:rPr>
        <w:t>Rate, the Administrative Agent shall during the period of such suspension compute the Alternate Base Rate,</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applicable to such Lender without reference to the Adjusted </w:t>
      </w:r>
      <w:r>
        <w:rPr>
          <w:rFonts w:ascii="Arial" w:cs="Arial" w:eastAsia="Arial" w:hAnsi="Arial"/>
          <w:sz w:val="19"/>
          <w:szCs w:val="19"/>
          <w:b w:val="1"/>
          <w:bCs w:val="1"/>
          <w:color w:val="FF0000"/>
          <w:strike w:val="1"/>
        </w:rPr>
        <w:t>LIBO</w:t>
      </w:r>
      <w:r>
        <w:rPr>
          <w:rFonts w:ascii="Arial" w:cs="Arial" w:eastAsia="Arial" w:hAnsi="Arial"/>
          <w:sz w:val="19"/>
          <w:szCs w:val="19"/>
          <w:b w:val="1"/>
          <w:bCs w:val="1"/>
          <w:u w:val="single" w:color="auto"/>
          <w:color w:val="0000FF"/>
        </w:rPr>
        <w:t>Term SOFR</w:t>
      </w:r>
      <w:r>
        <w:rPr>
          <w:rFonts w:ascii="Arial" w:cs="Arial" w:eastAsia="Arial" w:hAnsi="Arial"/>
          <w:sz w:val="19"/>
          <w:szCs w:val="19"/>
          <w:color w:val="000000"/>
        </w:rPr>
        <w:t xml:space="preserve"> Rate component thereof</w:t>
      </w:r>
      <w:r>
        <w:rPr>
          <w:rFonts w:ascii="Arial" w:cs="Arial" w:eastAsia="Arial" w:hAnsi="Arial"/>
          <w:sz w:val="19"/>
          <w:szCs w:val="19"/>
          <w:b w:val="1"/>
          <w:bCs w:val="1"/>
          <w:u w:val="single" w:color="auto"/>
          <w:color w:val="0000FF"/>
        </w:rPr>
        <w:t>, in each case</w:t>
      </w:r>
      <w:r>
        <w:rPr>
          <w:rFonts w:ascii="Arial" w:cs="Arial" w:eastAsia="Arial" w:hAnsi="Arial"/>
          <w:sz w:val="19"/>
          <w:szCs w:val="19"/>
          <w:color w:val="000000"/>
        </w:rPr>
        <w:t xml:space="preserve"> until the Administrative Agent is advised in writing by </w:t>
      </w:r>
      <w:r>
        <w:rPr>
          <w:rFonts w:ascii="Arial" w:cs="Arial" w:eastAsia="Arial" w:hAnsi="Arial"/>
          <w:sz w:val="19"/>
          <w:szCs w:val="19"/>
          <w:b w:val="1"/>
          <w:bCs w:val="1"/>
          <w:color w:val="FF0000"/>
          <w:strike w:val="1"/>
        </w:rPr>
        <w:t>such</w:t>
      </w:r>
      <w:r>
        <w:rPr>
          <w:rFonts w:ascii="Arial" w:cs="Arial" w:eastAsia="Arial" w:hAnsi="Arial"/>
          <w:sz w:val="19"/>
          <w:szCs w:val="19"/>
          <w:b w:val="1"/>
          <w:bCs w:val="1"/>
          <w:u w:val="single" w:color="auto"/>
          <w:color w:val="0000FF"/>
        </w:rPr>
        <w:t>each affected</w:t>
      </w:r>
      <w:r>
        <w:rPr>
          <w:rFonts w:ascii="Arial" w:cs="Arial" w:eastAsia="Arial" w:hAnsi="Arial"/>
          <w:sz w:val="19"/>
          <w:szCs w:val="19"/>
          <w:color w:val="000000"/>
        </w:rPr>
        <w:t xml:space="preserve"> Lender that it is no longer illegal for such Lender to determine or charge interest rates based upon </w:t>
      </w:r>
      <w:r>
        <w:rPr>
          <w:rFonts w:ascii="Arial" w:cs="Arial" w:eastAsia="Arial" w:hAnsi="Arial"/>
          <w:sz w:val="19"/>
          <w:szCs w:val="19"/>
          <w:b w:val="1"/>
          <w:bCs w:val="1"/>
          <w:color w:val="FF0000"/>
          <w:strike w:val="1"/>
        </w:rPr>
        <w:t>the Adjusted LIBO Rate</w:t>
      </w:r>
      <w:r>
        <w:rPr>
          <w:rFonts w:ascii="Arial" w:cs="Arial" w:eastAsia="Arial" w:hAnsi="Arial"/>
          <w:sz w:val="19"/>
          <w:szCs w:val="19"/>
          <w:b w:val="1"/>
          <w:bCs w:val="1"/>
          <w:u w:val="single" w:color="auto"/>
          <w:color w:val="0000FF"/>
        </w:rPr>
        <w:t>SOFR, the Term SOFR Reference Rate, Adjusted Term SOFR or Term</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SOFR</w:t>
      </w:r>
      <w:r>
        <w:rPr>
          <w:rFonts w:ascii="Arial" w:cs="Arial" w:eastAsia="Arial" w:hAnsi="Arial"/>
          <w:sz w:val="19"/>
          <w:szCs w:val="19"/>
          <w:color w:val="000000"/>
        </w:rPr>
        <w:t>. Each Lender agrees to notify the Administrative Agent and the Borrower in writing promptly upon becoming aware that it is no</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longer illegal for such Lender to determine or charge interest rates based upon the Adjusted </w:t>
      </w:r>
      <w:r>
        <w:rPr>
          <w:rFonts w:ascii="Arial" w:cs="Arial" w:eastAsia="Arial" w:hAnsi="Arial"/>
          <w:sz w:val="19"/>
          <w:szCs w:val="19"/>
          <w:b w:val="1"/>
          <w:bCs w:val="1"/>
          <w:color w:val="FF0000"/>
          <w:strike w:val="1"/>
        </w:rPr>
        <w:t>LIBO</w:t>
      </w:r>
      <w:r>
        <w:rPr>
          <w:rFonts w:ascii="Arial" w:cs="Arial" w:eastAsia="Arial" w:hAnsi="Arial"/>
          <w:sz w:val="19"/>
          <w:szCs w:val="19"/>
          <w:b w:val="1"/>
          <w:bCs w:val="1"/>
          <w:u w:val="single" w:color="auto"/>
          <w:color w:val="0000FF"/>
        </w:rPr>
        <w:t>Term SOFR</w:t>
      </w:r>
      <w:r>
        <w:rPr>
          <w:rFonts w:ascii="Arial" w:cs="Arial" w:eastAsia="Arial" w:hAnsi="Arial"/>
          <w:sz w:val="19"/>
          <w:szCs w:val="19"/>
          <w:color w:val="000000"/>
        </w:rPr>
        <w:t xml:space="preserve"> Rate. Upon any such prepayment or conversion, the Borrower shall also pay accrued interest on the amount so prepaid or converted</w:t>
      </w:r>
      <w:r>
        <w:rPr>
          <w:rFonts w:ascii="Arial" w:cs="Arial" w:eastAsia="Arial" w:hAnsi="Arial"/>
          <w:sz w:val="19"/>
          <w:szCs w:val="19"/>
          <w:b w:val="1"/>
          <w:bCs w:val="1"/>
          <w:u w:val="single" w:color="auto"/>
          <w:color w:val="0000FF"/>
        </w:rPr>
        <w:t>, together with any</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additional amounts required pursuant to Section 2.16</w:t>
      </w:r>
      <w:r>
        <w:rPr>
          <w:rFonts w:ascii="Arial" w:cs="Arial" w:eastAsia="Arial" w:hAnsi="Arial"/>
          <w:sz w:val="19"/>
          <w:szCs w:val="19"/>
          <w:color w:val="000000"/>
        </w:rPr>
        <w:t>.</w:t>
      </w:r>
    </w:p>
    <w:p>
      <w:pPr>
        <w:spacing w:after="0" w:line="204"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2.24</w:t>
      </w:r>
      <w:r>
        <w:rPr>
          <w:sz w:val="20"/>
          <w:szCs w:val="20"/>
          <w:color w:val="auto"/>
        </w:rPr>
        <w:tab/>
      </w:r>
      <w:r>
        <w:rPr>
          <w:rFonts w:ascii="Arial" w:cs="Arial" w:eastAsia="Arial" w:hAnsi="Arial"/>
          <w:sz w:val="18"/>
          <w:szCs w:val="18"/>
          <w:u w:val="single" w:color="auto"/>
          <w:color w:val="auto"/>
        </w:rPr>
        <w:t>Loan Modification Offers</w:t>
      </w:r>
      <w:r>
        <w:rPr>
          <w:rFonts w:ascii="Arial" w:cs="Arial" w:eastAsia="Arial" w:hAnsi="Arial"/>
          <w:sz w:val="18"/>
          <w:szCs w:val="18"/>
          <w:color w:val="auto"/>
        </w:rPr>
        <w:t>.</w:t>
      </w:r>
    </w:p>
    <w:p>
      <w:pPr>
        <w:spacing w:after="0" w:line="228" w:lineRule="exact"/>
        <w:rPr>
          <w:sz w:val="20"/>
          <w:szCs w:val="20"/>
          <w:color w:val="auto"/>
        </w:rPr>
      </w:pPr>
    </w:p>
    <w:p>
      <w:pPr>
        <w:jc w:val="both"/>
        <w:ind w:firstLine="1467"/>
        <w:spacing w:after="0" w:line="272" w:lineRule="auto"/>
        <w:tabs>
          <w:tab w:leader="none" w:pos="221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At any time after the Effective Date, the Borrower may on one or more occasions, by written notice to the Administrative Agent, make one or more offers (each, a “</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to all the Lenders of one or more Classes (each Class subject to such a Loan Modification Offer, an “</w:t>
      </w:r>
      <w:r>
        <w:rPr>
          <w:rFonts w:ascii="Arial" w:cs="Arial" w:eastAsia="Arial" w:hAnsi="Arial"/>
          <w:sz w:val="18"/>
          <w:szCs w:val="18"/>
          <w:u w:val="single" w:color="auto"/>
          <w:color w:val="auto"/>
        </w:rPr>
        <w:t>Affected Class</w:t>
      </w:r>
      <w:r>
        <w:rPr>
          <w:rFonts w:ascii="Arial" w:cs="Arial" w:eastAsia="Arial" w:hAnsi="Arial"/>
          <w:sz w:val="18"/>
          <w:szCs w:val="18"/>
          <w:color w:val="auto"/>
        </w:rPr>
        <w:t>”) to effect one or more Permitted Amendments relating to such Affected Class pursuant to procedures reasonably specified by the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Arial" w:cs="Arial" w:eastAsia="Arial" w:hAnsi="Arial"/>
          <w:sz w:val="18"/>
          <w:szCs w:val="18"/>
          <w:u w:val="single" w:color="auto"/>
          <w:color w:val="auto"/>
        </w:rPr>
        <w:t>Accepting Lenders</w:t>
      </w:r>
      <w:r>
        <w:rPr>
          <w:rFonts w:ascii="Arial" w:cs="Arial" w:eastAsia="Arial" w:hAnsi="Arial"/>
          <w:sz w:val="18"/>
          <w:szCs w:val="18"/>
          <w:color w:val="auto"/>
        </w:rPr>
        <w:t>”) and, in the case of any Accepting Lender, only with respect to such Lender’s Loans and Commitments of such Affected Class as to which such Lender’s acceptance has been made.</w:t>
      </w:r>
    </w:p>
    <w:p>
      <w:pPr>
        <w:spacing w:after="0" w:line="181" w:lineRule="exact"/>
        <w:rPr>
          <w:rFonts w:ascii="Arial" w:cs="Arial" w:eastAsia="Arial" w:hAnsi="Arial"/>
          <w:sz w:val="18"/>
          <w:szCs w:val="18"/>
          <w:color w:val="auto"/>
        </w:rPr>
      </w:pPr>
    </w:p>
    <w:p>
      <w:pPr>
        <w:jc w:val="both"/>
        <w:ind w:firstLine="1467"/>
        <w:spacing w:after="0" w:line="272" w:lineRule="auto"/>
        <w:tabs>
          <w:tab w:leader="none" w:pos="221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Permitted Amendment shall be effected pursuant to a Loan Modification Agreement executed and delivered by Holdings, Borrower, each applicable Accepting Lender and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amendment does not affect the rights, duties, privileges or obligations of the Administrative Agent, the Administrative Agent shall only be required to acknowledge such amendment).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Section 2.24, including any amendments necessary to treat the applicable Loans and/or Commitments of the Accepting Lenders as a new “Class” of loans and/or commitments hereunder.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81" w:name="page282"/>
    <w:bookmarkEnd w:id="281"/>
    <w:p>
      <w:pPr>
        <w:jc w:val="both"/>
        <w:ind w:firstLine="1490"/>
        <w:spacing w:after="0" w:line="269" w:lineRule="auto"/>
        <w:tabs>
          <w:tab w:leader="none" w:pos="223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in connection with any proposed Loan Modification Offer, any Lender declines to consent to such Loan Modification Offer on the terms and by the deadline set forth in such Loan Modification Offer (each such Lender, a “</w:t>
      </w:r>
      <w:r>
        <w:rPr>
          <w:rFonts w:ascii="Arial" w:cs="Arial" w:eastAsia="Arial" w:hAnsi="Arial"/>
          <w:sz w:val="18"/>
          <w:szCs w:val="18"/>
          <w:u w:val="single" w:color="auto"/>
          <w:color w:val="auto"/>
        </w:rPr>
        <w:t>Non-Accepting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then the Borrower may, on notice to the Administrative Agent and the Non-Accepting Lender, (i) replace such Non-Accepting Lender in whole or in part by causing such Lender to (and such Lender shall be obligated to) assign and delegate, without recourse (in accordance with and subject to the restrictions contained in Section 9.04) all or any part of its interests, rights and obligations under this Agreement in respect of the Loans and Commitments of the Affected Class to one or more Eligible Assignees (which Eligible Assignee may be another Lender, if a Lender accepts such assignment); provided that neither the Administrative Agent nor any Lender shall have any obligation to the Borrower to find a replacement Lender;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Section 2.24(c), accrued interest thereon, accrued fees and all other amounts (including any amounts under Section 2.11) payable to it hereunder from the Eligible Assignee (to the extent of such outstanding principal and accrued interest and fees) and (c) the processing and recordation fee specified in Section 9.04(b) shall be payable or (ii) terminate the Commitment of such Lender and in the case of a Lender, repay all Loan Document Obligations of the Borrower owing to such Lender relating to the Loans held by such Lender as of such termination date (including in the case of a Repricing Transaction, any “prepayment premium” pursuant to Section 2.11 that would otherwise be owed in connection therewith).</w:t>
      </w:r>
    </w:p>
    <w:p>
      <w:pPr>
        <w:spacing w:after="0" w:line="184" w:lineRule="exact"/>
        <w:rPr>
          <w:rFonts w:ascii="Arial" w:cs="Arial" w:eastAsia="Arial" w:hAnsi="Arial"/>
          <w:sz w:val="18"/>
          <w:szCs w:val="18"/>
          <w:color w:val="auto"/>
        </w:rPr>
      </w:pPr>
    </w:p>
    <w:p>
      <w:pPr>
        <w:ind w:left="2220" w:hanging="730"/>
        <w:spacing w:after="0"/>
        <w:tabs>
          <w:tab w:leader="none" w:pos="22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Notwithstanding anything to the contrary, this Section 2.24 shall supersede any provisions in Section 2.18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Section 9.02 to the contrary.</w:t>
      </w:r>
    </w:p>
    <w:p>
      <w:pPr>
        <w:spacing w:after="0" w:line="206"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b w:val="1"/>
          <w:bCs w:val="1"/>
          <w:color w:val="0000FF"/>
        </w:rPr>
        <w:t>SECTION 2.25</w:t>
      </w:r>
      <w:r>
        <w:rPr>
          <w:sz w:val="20"/>
          <w:szCs w:val="20"/>
          <w:color w:val="auto"/>
        </w:rPr>
        <w:tab/>
      </w:r>
      <w:r>
        <w:rPr>
          <w:rFonts w:ascii="Arial" w:cs="Arial" w:eastAsia="Arial" w:hAnsi="Arial"/>
          <w:sz w:val="16"/>
          <w:szCs w:val="16"/>
          <w:b w:val="1"/>
          <w:bCs w:val="1"/>
          <w:u w:val="single" w:color="auto"/>
          <w:color w:val="0000FF"/>
        </w:rPr>
        <w:t>Benchmark Replacement Setting.</w:t>
      </w:r>
    </w:p>
    <w:p>
      <w:pPr>
        <w:spacing w:after="0" w:line="228" w:lineRule="exact"/>
        <w:rPr>
          <w:sz w:val="20"/>
          <w:szCs w:val="20"/>
          <w:color w:val="auto"/>
        </w:rPr>
      </w:pPr>
    </w:p>
    <w:p>
      <w:pPr>
        <w:jc w:val="both"/>
        <w:ind w:right="80" w:firstLine="1490"/>
        <w:spacing w:after="0" w:line="270" w:lineRule="auto"/>
        <w:tabs>
          <w:tab w:leader="none" w:pos="2286" w:val="left"/>
        </w:tabs>
        <w:numPr>
          <w:ilvl w:val="0"/>
          <w:numId w:val="231"/>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Benchmark Replacement.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Arial" w:cs="Arial" w:eastAsia="Arial" w:hAnsi="Arial"/>
          <w:sz w:val="12"/>
          <w:szCs w:val="12"/>
          <w:b w:val="1"/>
          <w:bCs w:val="1"/>
          <w:color w:val="0000FF"/>
        </w:rPr>
        <w:t>th</w:t>
      </w:r>
      <w:r>
        <w:rPr>
          <w:rFonts w:ascii="Arial" w:cs="Arial" w:eastAsia="Arial" w:hAnsi="Arial"/>
          <w:sz w:val="18"/>
          <w:szCs w:val="18"/>
          <w:b w:val="1"/>
          <w:bCs w:val="1"/>
          <w:u w:val="single" w:color="auto"/>
          <w:color w:val="0000FF"/>
        </w:rPr>
        <w:t>) Business Day after the date notice of such Benchmark Replacement is provided to the Lenders without any</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00" w:top="325" w:right="479" w:bottom="1440" w:gutter="0" w:footer="0" w:header="0"/>
        </w:sectPr>
      </w:pPr>
    </w:p>
    <w:bookmarkStart w:id="282" w:name="page283"/>
    <w:bookmarkEnd w:id="282"/>
    <w:p>
      <w:pPr>
        <w:jc w:val="both"/>
        <w:ind w:left="-40" w:firstLine="1490"/>
        <w:spacing w:after="0" w:line="257" w:lineRule="auto"/>
        <w:tabs>
          <w:tab w:leader="none" w:pos="2246" w:val="left"/>
        </w:tabs>
        <w:numPr>
          <w:ilvl w:val="0"/>
          <w:numId w:val="232"/>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Benchmark Replacement Conforming Changes. In connection with the use, administration, adoption or implementation of a Benchmark Replacement, the Administrative Agent will have the right to make Conforming Changes from time to time with the consent of the Borrower (except such consent shall not be required with respect to any Conforming Changes that the Administrative Agent determines are required or advisable due to (i) the adoption of or any change in any Requirement of Law or in the interpretation or application thereof, (ii) compliance with any request or directive (whether or not having the force of law) from any supervisory authority or Governmental Authority or (iii) any administrative or operational changes)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7" w:lineRule="exact"/>
        <w:rPr>
          <w:rFonts w:ascii="Arial" w:cs="Arial" w:eastAsia="Arial" w:hAnsi="Arial"/>
          <w:sz w:val="19"/>
          <w:szCs w:val="19"/>
          <w:b w:val="1"/>
          <w:bCs w:val="1"/>
          <w:u w:val="single" w:color="auto"/>
          <w:color w:val="0000FF"/>
        </w:rPr>
      </w:pPr>
    </w:p>
    <w:p>
      <w:pPr>
        <w:jc w:val="both"/>
        <w:ind w:left="-40" w:right="20" w:firstLine="1490"/>
        <w:spacing w:after="0" w:line="272" w:lineRule="auto"/>
        <w:tabs>
          <w:tab w:leader="none" w:pos="2246" w:val="left"/>
        </w:tabs>
        <w:numPr>
          <w:ilvl w:val="0"/>
          <w:numId w:val="232"/>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Notices; Standards for Decisions and Determinations.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2.25(d) and (y) the commencement of any Benchmark Unavailability Period. Any determination, decision or election that may be made by the Administrative Agent or, if applicable, any Lender (or group of Lenders) pursuant to this Section 2.25,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2.25.</w:t>
      </w:r>
    </w:p>
    <w:p>
      <w:pPr>
        <w:spacing w:after="0" w:line="175" w:lineRule="exact"/>
        <w:rPr>
          <w:rFonts w:ascii="Arial" w:cs="Arial" w:eastAsia="Arial" w:hAnsi="Arial"/>
          <w:sz w:val="18"/>
          <w:szCs w:val="18"/>
          <w:b w:val="1"/>
          <w:bCs w:val="1"/>
          <w:u w:val="single" w:color="auto"/>
          <w:color w:val="0000FF"/>
        </w:rPr>
      </w:pPr>
    </w:p>
    <w:p>
      <w:pPr>
        <w:jc w:val="both"/>
        <w:ind w:left="-40" w:right="20" w:firstLine="1490"/>
        <w:spacing w:after="0" w:line="270" w:lineRule="auto"/>
        <w:tabs>
          <w:tab w:leader="none" w:pos="2246" w:val="left"/>
        </w:tabs>
        <w:numPr>
          <w:ilvl w:val="0"/>
          <w:numId w:val="232"/>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Unavailability of Tenor of Benchmark.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2" w:lineRule="exact"/>
        <w:rPr>
          <w:rFonts w:ascii="Arial" w:cs="Arial" w:eastAsia="Arial" w:hAnsi="Arial"/>
          <w:sz w:val="18"/>
          <w:szCs w:val="18"/>
          <w:b w:val="1"/>
          <w:bCs w:val="1"/>
          <w:u w:val="single" w:color="auto"/>
          <w:color w:val="0000FF"/>
        </w:rPr>
      </w:pPr>
    </w:p>
    <w:p>
      <w:pPr>
        <w:jc w:val="both"/>
        <w:ind w:left="-40" w:right="20" w:firstLine="1490"/>
        <w:spacing w:after="0" w:line="258" w:lineRule="auto"/>
        <w:tabs>
          <w:tab w:leader="none" w:pos="2246" w:val="left"/>
        </w:tabs>
        <w:numPr>
          <w:ilvl w:val="0"/>
          <w:numId w:val="232"/>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Benchmark Unavailability Period.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116" w:right="539" w:bottom="1440" w:gutter="0" w:footer="0" w:header="0"/>
        </w:sectPr>
      </w:pPr>
    </w:p>
    <w:bookmarkStart w:id="283" w:name="page284"/>
    <w:bookmarkEnd w:id="283"/>
    <w:p>
      <w:pPr>
        <w:jc w:val="center"/>
        <w:ind w:right="-19"/>
        <w:spacing w:after="0"/>
        <w:rPr>
          <w:sz w:val="20"/>
          <w:szCs w:val="20"/>
          <w:color w:val="auto"/>
        </w:rPr>
      </w:pPr>
      <w:r>
        <w:rPr>
          <w:rFonts w:ascii="Arial" w:cs="Arial" w:eastAsia="Arial" w:hAnsi="Arial"/>
          <w:sz w:val="20"/>
          <w:szCs w:val="20"/>
          <w:color w:val="auto"/>
        </w:rPr>
        <w:t>ARTICLE III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REPRESENTATIONS AND WARRANTIES</w:t>
      </w:r>
    </w:p>
    <w:p>
      <w:pPr>
        <w:spacing w:after="0" w:line="202" w:lineRule="exact"/>
        <w:rPr>
          <w:sz w:val="20"/>
          <w:szCs w:val="20"/>
          <w:color w:val="auto"/>
        </w:rPr>
      </w:pPr>
    </w:p>
    <w:p>
      <w:pPr>
        <w:jc w:val="both"/>
        <w:ind w:right="60" w:firstLine="1498"/>
        <w:spacing w:after="0" w:line="290" w:lineRule="auto"/>
        <w:rPr>
          <w:sz w:val="20"/>
          <w:szCs w:val="20"/>
          <w:color w:val="auto"/>
        </w:rPr>
      </w:pPr>
      <w:r>
        <w:rPr>
          <w:rFonts w:ascii="Arial" w:cs="Arial" w:eastAsia="Arial" w:hAnsi="Arial"/>
          <w:sz w:val="18"/>
          <w:szCs w:val="18"/>
          <w:color w:val="auto"/>
        </w:rPr>
        <w:t>Each of Holdings and the Borrower represents and warrants to the Lenders that as of the Effective Date and following the Effective Date, as of the date of any Borrowing or the date of issuance, amendment that increases the amount available to be drawn thereunder, renewal or extension of any Letter of Credit solely as and when required pursuant to Section 4.02:</w:t>
      </w:r>
    </w:p>
    <w:p>
      <w:pPr>
        <w:spacing w:after="0" w:line="140"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3.01</w:t>
      </w:r>
      <w:r>
        <w:rPr>
          <w:sz w:val="20"/>
          <w:szCs w:val="20"/>
          <w:color w:val="auto"/>
        </w:rPr>
        <w:tab/>
      </w:r>
      <w:r>
        <w:rPr>
          <w:rFonts w:ascii="Arial" w:cs="Arial" w:eastAsia="Arial" w:hAnsi="Arial"/>
          <w:sz w:val="16"/>
          <w:szCs w:val="16"/>
          <w:u w:val="single" w:color="auto"/>
          <w:color w:val="auto"/>
        </w:rPr>
        <w:t>Organization; Powers</w:t>
      </w:r>
      <w:r>
        <w:rPr>
          <w:rFonts w:ascii="Arial" w:cs="Arial" w:eastAsia="Arial" w:hAnsi="Arial"/>
          <w:sz w:val="16"/>
          <w:szCs w:val="16"/>
          <w:color w:val="auto"/>
        </w:rPr>
        <w:t>.</w:t>
      </w:r>
    </w:p>
    <w:p>
      <w:pPr>
        <w:spacing w:after="0" w:line="188" w:lineRule="exact"/>
        <w:rPr>
          <w:sz w:val="20"/>
          <w:szCs w:val="20"/>
          <w:color w:val="auto"/>
        </w:rPr>
      </w:pPr>
    </w:p>
    <w:p>
      <w:pPr>
        <w:jc w:val="both"/>
        <w:ind w:firstLine="1499"/>
        <w:spacing w:after="0" w:line="257" w:lineRule="auto"/>
        <w:rPr>
          <w:sz w:val="20"/>
          <w:szCs w:val="20"/>
          <w:color w:val="auto"/>
        </w:rPr>
      </w:pPr>
      <w:r>
        <w:rPr>
          <w:rFonts w:ascii="Arial" w:cs="Arial" w:eastAsia="Arial" w:hAnsi="Arial"/>
          <w:sz w:val="19"/>
          <w:szCs w:val="19"/>
          <w:color w:val="auto"/>
        </w:rPr>
        <w:t>Each of Holdings, the Borrower and the Restricted Subsidiaries is (a) duly organized or incorporated, validly existing and in good standing (to the extent such concept exists in the jurisdiction of organization of such Person) under the laws of the jurisdiction of its organization or incorporation, (b) has the corporate or other organizational power and authority to carry on its business as now conducted and to execute, deliver and perform its obligations under each Loan Document to which it is a party and (c) is qualified to do business in, and is in good standing in, every jurisdiction where such qualification is required, except in the cases of clause (a) (other than with respect to the Borrower), clause (b) and clause (c), where the failure to do so, individually or in the aggregate, could not reasonably be expected to result in a Material Adverse Effect.</w:t>
      </w:r>
    </w:p>
    <w:p>
      <w:pPr>
        <w:spacing w:after="0" w:line="169" w:lineRule="exact"/>
        <w:rPr>
          <w:sz w:val="20"/>
          <w:szCs w:val="20"/>
          <w:color w:val="auto"/>
        </w:rPr>
      </w:pPr>
    </w:p>
    <w:p>
      <w:pPr>
        <w:jc w:val="center"/>
        <w:ind w:left="1300"/>
        <w:spacing w:after="0"/>
        <w:tabs>
          <w:tab w:leader="none" w:pos="340" w:val="left"/>
        </w:tabs>
        <w:rPr>
          <w:sz w:val="20"/>
          <w:szCs w:val="20"/>
          <w:color w:val="auto"/>
        </w:rPr>
      </w:pPr>
      <w:r>
        <w:rPr>
          <w:rFonts w:ascii="Arial" w:cs="Arial" w:eastAsia="Arial" w:hAnsi="Arial"/>
          <w:sz w:val="20"/>
          <w:szCs w:val="20"/>
          <w:color w:val="010000"/>
        </w:rPr>
        <w:t>SECTION 3.02</w:t>
      </w:r>
      <w:r>
        <w:rPr>
          <w:sz w:val="20"/>
          <w:szCs w:val="20"/>
          <w:color w:val="auto"/>
        </w:rPr>
        <w:tab/>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w:t>
      </w:r>
    </w:p>
    <w:p>
      <w:pPr>
        <w:spacing w:after="0" w:line="202" w:lineRule="exact"/>
        <w:rPr>
          <w:sz w:val="20"/>
          <w:szCs w:val="20"/>
          <w:color w:val="auto"/>
        </w:rPr>
      </w:pPr>
    </w:p>
    <w:p>
      <w:pPr>
        <w:jc w:val="both"/>
        <w:ind w:right="60" w:firstLine="1498"/>
        <w:spacing w:after="0" w:line="243" w:lineRule="auto"/>
        <w:rPr>
          <w:sz w:val="20"/>
          <w:szCs w:val="20"/>
          <w:color w:val="auto"/>
        </w:rPr>
      </w:pPr>
      <w:r>
        <w:rPr>
          <w:rFonts w:ascii="Arial" w:cs="Arial" w:eastAsia="Arial" w:hAnsi="Arial"/>
          <w:sz w:val="20"/>
          <w:szCs w:val="20"/>
          <w:color w:val="auto"/>
        </w:rPr>
        <w:t>This Agreement has been duly authorized,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Debtor Relief Laws and any other applicable bankruptcy, insolvency, reorganization, moratorium, examinership or other laws affecting creditors’ rights generally and subject to general principles of equity, regardless of whether considered in a proceeding in equity or at law.</w:t>
      </w:r>
    </w:p>
    <w:p>
      <w:pPr>
        <w:spacing w:after="0" w:line="167"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3.03</w:t>
      </w:r>
      <w:r>
        <w:rPr>
          <w:sz w:val="20"/>
          <w:szCs w:val="20"/>
          <w:color w:val="auto"/>
        </w:rPr>
        <w:tab/>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w:t>
      </w:r>
    </w:p>
    <w:p>
      <w:pPr>
        <w:spacing w:after="0" w:line="202" w:lineRule="exact"/>
        <w:rPr>
          <w:sz w:val="20"/>
          <w:szCs w:val="20"/>
          <w:color w:val="auto"/>
        </w:rPr>
      </w:pPr>
    </w:p>
    <w:p>
      <w:pPr>
        <w:jc w:val="both"/>
        <w:ind w:right="20" w:firstLine="1499"/>
        <w:spacing w:after="0" w:line="254" w:lineRule="auto"/>
        <w:rPr>
          <w:sz w:val="20"/>
          <w:szCs w:val="20"/>
          <w:color w:val="auto"/>
        </w:rPr>
      </w:pPr>
      <w:r>
        <w:rPr>
          <w:rFonts w:ascii="Arial" w:cs="Arial" w:eastAsia="Arial" w:hAnsi="Arial"/>
          <w:sz w:val="19"/>
          <w:szCs w:val="19"/>
          <w:color w:val="auto"/>
        </w:rPr>
        <w:t>Except as set forth on Schedule 3.03, the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(i) the Organizational Documents of, or (ii) any Requirements of Law applicable to, Holdings, the Borrower or any Restricted Subsidiary, (c) will not violate or result in a default under any indenture or other agreement or instrument that constitutes Material Indebtedness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(other than Liens created under the Loan Documents) except (in the case of each of clauses (a), (b)(ii) and (c)) to the extent that the failure to obtain or make such consent, approval, registration, filing or action, or such violation, default or right, as the case may be, individually or in the aggregate, could not reasonably be expected to have a Material Adverse Effect.</w:t>
      </w:r>
    </w:p>
    <w:p>
      <w:pPr>
        <w:spacing w:after="0" w:line="178" w:lineRule="exact"/>
        <w:rPr>
          <w:sz w:val="20"/>
          <w:szCs w:val="20"/>
          <w:color w:val="auto"/>
        </w:rPr>
      </w:pPr>
    </w:p>
    <w:p>
      <w:pPr>
        <w:ind w:left="4120"/>
        <w:spacing w:after="0"/>
        <w:tabs>
          <w:tab w:leader="none" w:pos="5680" w:val="left"/>
          <w:tab w:leader="none" w:pos="7640" w:val="left"/>
          <w:tab w:leader="none" w:pos="8040" w:val="left"/>
        </w:tabs>
        <w:rPr>
          <w:sz w:val="20"/>
          <w:szCs w:val="20"/>
          <w:color w:val="auto"/>
        </w:rPr>
      </w:pPr>
      <w:r>
        <w:rPr>
          <w:rFonts w:ascii="Arial" w:cs="Arial" w:eastAsia="Arial" w:hAnsi="Arial"/>
          <w:sz w:val="20"/>
          <w:szCs w:val="20"/>
          <w:color w:val="010000"/>
        </w:rPr>
        <w:t>SECTION 3.04</w:t>
      </w:r>
      <w:r>
        <w:rPr>
          <w:sz w:val="20"/>
          <w:szCs w:val="20"/>
          <w:color w:val="auto"/>
        </w:rPr>
        <w:tab/>
      </w:r>
      <w:r>
        <w:rPr>
          <w:rFonts w:ascii="Arial" w:cs="Arial" w:eastAsia="Arial" w:hAnsi="Arial"/>
          <w:sz w:val="20"/>
          <w:szCs w:val="20"/>
          <w:u w:val="single" w:color="auto"/>
          <w:color w:val="auto"/>
        </w:rPr>
        <w:t>Financial Condition;</w:t>
      </w:r>
      <w:r>
        <w:rPr>
          <w:sz w:val="20"/>
          <w:szCs w:val="20"/>
          <w:color w:val="auto"/>
        </w:rPr>
        <w:tab/>
      </w:r>
      <w:r>
        <w:rPr>
          <w:rFonts w:ascii="Arial" w:cs="Arial" w:eastAsia="Arial" w:hAnsi="Arial"/>
          <w:sz w:val="20"/>
          <w:szCs w:val="20"/>
          <w:u w:val="single" w:color="auto"/>
          <w:color w:val="auto"/>
        </w:rPr>
        <w:t>No</w:t>
      </w:r>
      <w:r>
        <w:rPr>
          <w:sz w:val="20"/>
          <w:szCs w:val="20"/>
          <w:color w:val="auto"/>
        </w:rPr>
        <w:tab/>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188" w:lineRule="exact"/>
        <w:rPr>
          <w:sz w:val="20"/>
          <w:szCs w:val="20"/>
          <w:color w:val="auto"/>
        </w:rPr>
      </w:pPr>
    </w:p>
    <w:p>
      <w:pPr>
        <w:ind w:left="2280" w:hanging="790"/>
        <w:spacing w:after="0"/>
        <w:tabs>
          <w:tab w:leader="none" w:pos="228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Pro Forma Financial Statements have been prepared in good faith, based on</w:t>
      </w:r>
    </w:p>
    <w:p>
      <w:pPr>
        <w:spacing w:after="0" w:line="214" w:lineRule="exact"/>
        <w:rPr>
          <w:rFonts w:ascii="Arial" w:cs="Arial" w:eastAsia="Arial" w:hAnsi="Arial"/>
          <w:sz w:val="20"/>
          <w:szCs w:val="20"/>
          <w:color w:val="auto"/>
        </w:rPr>
      </w:pPr>
    </w:p>
    <w:p>
      <w:pPr>
        <w:ind w:left="5300"/>
        <w:spacing w:after="0"/>
        <w:rPr>
          <w:rFonts w:ascii="Arial" w:cs="Arial" w:eastAsia="Arial" w:hAnsi="Arial"/>
          <w:sz w:val="20"/>
          <w:szCs w:val="20"/>
          <w:color w:val="auto"/>
        </w:rPr>
      </w:pPr>
      <w:r>
        <w:rPr>
          <w:rFonts w:ascii="Arial" w:cs="Arial" w:eastAsia="Arial" w:hAnsi="Arial"/>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25" w:right="499" w:bottom="1440" w:gutter="0" w:footer="0" w:header="0"/>
        </w:sectPr>
      </w:pPr>
    </w:p>
    <w:bookmarkStart w:id="284" w:name="page285"/>
    <w:bookmarkEnd w:id="284"/>
    <w:p>
      <w:pPr>
        <w:jc w:val="both"/>
        <w:ind w:right="20"/>
        <w:spacing w:after="0" w:line="263" w:lineRule="auto"/>
        <w:rPr>
          <w:sz w:val="20"/>
          <w:szCs w:val="20"/>
          <w:color w:val="auto"/>
        </w:rPr>
      </w:pPr>
      <w:r>
        <w:rPr>
          <w:rFonts w:ascii="Arial" w:cs="Arial" w:eastAsia="Arial" w:hAnsi="Arial"/>
          <w:sz w:val="19"/>
          <w:szCs w:val="19"/>
          <w:color w:val="auto"/>
        </w:rPr>
        <w:t>assumptions and adjustments believed by the Borrower to be reasonable as of the date of delivery thereof, and, to the knowledge of Holdings and the Borrower, present fairly in all material respects on a pro forma basis the estimated unaudited financial position of Holdings and its Subsidiaries as at December 31 , 2020 and their estimated unaudited results of operations for the period covered thereby, in each case after giving effect to the Transactions, subject to audit adjustments.</w:t>
      </w:r>
    </w:p>
    <w:p>
      <w:pPr>
        <w:spacing w:after="0" w:line="148" w:lineRule="exact"/>
        <w:rPr>
          <w:sz w:val="20"/>
          <w:szCs w:val="20"/>
          <w:color w:val="auto"/>
        </w:rPr>
      </w:pPr>
    </w:p>
    <w:p>
      <w:pPr>
        <w:ind w:left="2280" w:hanging="790"/>
        <w:spacing w:after="0"/>
        <w:tabs>
          <w:tab w:leader="none" w:pos="228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Since the December 31, 2020, there has been no Material Adverse Effect.</w:t>
      </w:r>
    </w:p>
    <w:p>
      <w:pPr>
        <w:spacing w:after="0" w:line="202" w:lineRule="exact"/>
        <w:rPr>
          <w:sz w:val="20"/>
          <w:szCs w:val="20"/>
          <w:color w:val="auto"/>
        </w:rPr>
      </w:pPr>
    </w:p>
    <w:p>
      <w:pPr>
        <w:jc w:val="center"/>
        <w:ind w:right="200"/>
        <w:spacing w:after="0"/>
        <w:tabs>
          <w:tab w:leader="none" w:pos="340" w:val="left"/>
        </w:tabs>
        <w:rPr>
          <w:sz w:val="20"/>
          <w:szCs w:val="20"/>
          <w:color w:val="auto"/>
        </w:rPr>
      </w:pPr>
      <w:r>
        <w:rPr>
          <w:rFonts w:ascii="Arial" w:cs="Arial" w:eastAsia="Arial" w:hAnsi="Arial"/>
          <w:sz w:val="20"/>
          <w:szCs w:val="20"/>
          <w:color w:val="010000"/>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02" w:lineRule="exact"/>
        <w:rPr>
          <w:sz w:val="20"/>
          <w:szCs w:val="20"/>
          <w:color w:val="auto"/>
        </w:rPr>
      </w:pPr>
    </w:p>
    <w:p>
      <w:pPr>
        <w:jc w:val="both"/>
        <w:ind w:right="20" w:firstLine="1498"/>
        <w:spacing w:after="0" w:line="243" w:lineRule="auto"/>
        <w:rPr>
          <w:sz w:val="20"/>
          <w:szCs w:val="20"/>
          <w:color w:val="auto"/>
        </w:rPr>
      </w:pPr>
      <w:r>
        <w:rPr>
          <w:rFonts w:ascii="Arial" w:cs="Arial" w:eastAsia="Arial" w:hAnsi="Arial"/>
          <w:sz w:val="20"/>
          <w:szCs w:val="20"/>
          <w:color w:val="auto"/>
        </w:rPr>
        <w:t>Each of Holdings, the Borrower and the Restricted Subsidiaries has good and marketable title to, or valid leashold interests in, all its real and personal property material to its business, if any (including all of the Mortgaged Properties, if any), (i) free and clear of all Liens except for Liens permitted by Section 6.02 and (ii) except for minor defects in title that do not interfere with its ability to conduct its business as currently conducted or as proposed to be conducted or to utilize such properties for their intended purposes, in each case, except where the failure to do so could not reasonably be expected to have, individually or in the aggregate, a Material Adverse Effect.</w:t>
      </w:r>
    </w:p>
    <w:p>
      <w:pPr>
        <w:spacing w:after="0" w:line="167"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3.06</w:t>
      </w:r>
      <w:r>
        <w:rPr>
          <w:sz w:val="20"/>
          <w:szCs w:val="20"/>
          <w:color w:val="auto"/>
        </w:rPr>
        <w:tab/>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w:t>
      </w:r>
    </w:p>
    <w:p>
      <w:pPr>
        <w:spacing w:after="0" w:line="202" w:lineRule="exact"/>
        <w:rPr>
          <w:sz w:val="20"/>
          <w:szCs w:val="20"/>
          <w:color w:val="auto"/>
        </w:rPr>
      </w:pPr>
    </w:p>
    <w:p>
      <w:pPr>
        <w:jc w:val="both"/>
        <w:ind w:right="20" w:firstLine="1490"/>
        <w:spacing w:after="0" w:line="246" w:lineRule="auto"/>
        <w:tabs>
          <w:tab w:leader="none" w:pos="2286" w:val="left"/>
        </w:tabs>
        <w:numPr>
          <w:ilvl w:val="0"/>
          <w:numId w:val="235"/>
        </w:numPr>
        <w:rPr>
          <w:rFonts w:ascii="Arial" w:cs="Arial" w:eastAsia="Arial" w:hAnsi="Arial"/>
          <w:sz w:val="20"/>
          <w:szCs w:val="20"/>
          <w:color w:val="auto"/>
        </w:rPr>
      </w:pPr>
      <w:r>
        <w:rPr>
          <w:rFonts w:ascii="Arial" w:cs="Arial" w:eastAsia="Arial" w:hAnsi="Arial"/>
          <w:sz w:val="20"/>
          <w:szCs w:val="20"/>
          <w:color w:val="auto"/>
        </w:rPr>
        <w:t>Except as set forth on Schedule 3.06, there are no actions, suits or proceedings by or before any arbitrator or Governmental Authority pending against or, to the knowledge of Holdings or the Borrower, threatened in writing against or affecting Holdings, the Borrower or any Restricted Subsidiary that could reasonably be expected, individually or in the aggregate, to result in a Material Adverse Effect.</w:t>
      </w:r>
    </w:p>
    <w:p>
      <w:pPr>
        <w:spacing w:after="0" w:line="176" w:lineRule="exact"/>
        <w:rPr>
          <w:rFonts w:ascii="Arial" w:cs="Arial" w:eastAsia="Arial" w:hAnsi="Arial"/>
          <w:sz w:val="20"/>
          <w:szCs w:val="20"/>
          <w:color w:val="auto"/>
        </w:rPr>
      </w:pPr>
    </w:p>
    <w:p>
      <w:pPr>
        <w:jc w:val="both"/>
        <w:ind w:firstLine="1490"/>
        <w:spacing w:after="0" w:line="260" w:lineRule="auto"/>
        <w:tabs>
          <w:tab w:leader="none" w:pos="2286" w:val="left"/>
        </w:tabs>
        <w:numPr>
          <w:ilvl w:val="0"/>
          <w:numId w:val="235"/>
        </w:numPr>
        <w:rPr>
          <w:rFonts w:ascii="Arial" w:cs="Arial" w:eastAsia="Arial" w:hAnsi="Arial"/>
          <w:sz w:val="19"/>
          <w:szCs w:val="19"/>
          <w:color w:val="auto"/>
        </w:rPr>
      </w:pPr>
      <w:r>
        <w:rPr>
          <w:rFonts w:ascii="Arial" w:cs="Arial" w:eastAsia="Arial" w:hAnsi="Arial"/>
          <w:sz w:val="19"/>
          <w:szCs w:val="19"/>
          <w:color w:val="auto"/>
        </w:rPr>
        <w:t>Except as set forth on Schedule 3.06, and except with respect to any other matters that, individually or in the aggregate, could not reasonably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Holdings or the Borrower, become subject to any Environmental Liability or (iii) has received written notice of any claim with respect to any Environmental Liability.</w:t>
      </w:r>
    </w:p>
    <w:p>
      <w:pPr>
        <w:spacing w:after="0" w:line="151"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3.07</w:t>
      </w:r>
      <w:r>
        <w:rPr>
          <w:sz w:val="20"/>
          <w:szCs w:val="20"/>
          <w:color w:val="auto"/>
        </w:rPr>
        <w:tab/>
      </w:r>
      <w:r>
        <w:rPr>
          <w:rFonts w:ascii="Arial" w:cs="Arial" w:eastAsia="Arial" w:hAnsi="Arial"/>
          <w:sz w:val="18"/>
          <w:szCs w:val="18"/>
          <w:u w:val="single" w:color="auto"/>
          <w:color w:val="auto"/>
        </w:rPr>
        <w:t>Compliance with Laws; No Default.</w:t>
      </w:r>
    </w:p>
    <w:p>
      <w:pPr>
        <w:spacing w:after="0" w:line="202" w:lineRule="exact"/>
        <w:rPr>
          <w:sz w:val="20"/>
          <w:szCs w:val="20"/>
          <w:color w:val="auto"/>
        </w:rPr>
      </w:pPr>
    </w:p>
    <w:p>
      <w:pPr>
        <w:jc w:val="both"/>
        <w:ind w:firstLine="1499"/>
        <w:spacing w:after="0" w:line="249" w:lineRule="auto"/>
        <w:rPr>
          <w:sz w:val="20"/>
          <w:szCs w:val="20"/>
          <w:color w:val="auto"/>
        </w:rPr>
      </w:pPr>
      <w:r>
        <w:rPr>
          <w:rFonts w:ascii="Arial" w:cs="Arial" w:eastAsia="Arial" w:hAnsi="Arial"/>
          <w:sz w:val="20"/>
          <w:szCs w:val="20"/>
          <w:color w:val="auto"/>
        </w:rPr>
        <w:t>Each of Holdings, the Borrower and the Restricted Subsidiaries is in compliance with all Requirements of Law applicable to it or its property except where the failure to do so, individually or in the aggregate, could not reasonably be expected to result in a Material Adverse Effect. No Default has occurred and is continuing.</w:t>
      </w:r>
    </w:p>
    <w:p>
      <w:pPr>
        <w:spacing w:after="0" w:line="174" w:lineRule="exact"/>
        <w:rPr>
          <w:sz w:val="20"/>
          <w:szCs w:val="20"/>
          <w:color w:val="auto"/>
        </w:rPr>
      </w:pPr>
    </w:p>
    <w:p>
      <w:pPr>
        <w:jc w:val="center"/>
        <w:ind w:left="1200"/>
        <w:spacing w:after="0"/>
        <w:tabs>
          <w:tab w:leader="none" w:pos="340" w:val="left"/>
        </w:tabs>
        <w:rPr>
          <w:sz w:val="20"/>
          <w:szCs w:val="20"/>
          <w:color w:val="auto"/>
        </w:rPr>
      </w:pPr>
      <w:r>
        <w:rPr>
          <w:rFonts w:ascii="Arial" w:cs="Arial" w:eastAsia="Arial" w:hAnsi="Arial"/>
          <w:sz w:val="20"/>
          <w:szCs w:val="20"/>
          <w:color w:val="010000"/>
        </w:rPr>
        <w:t>SECTION 3.08</w:t>
      </w:r>
      <w:r>
        <w:rPr>
          <w:sz w:val="20"/>
          <w:szCs w:val="20"/>
          <w:color w:val="auto"/>
        </w:rPr>
        <w:tab/>
      </w:r>
      <w:r>
        <w:rPr>
          <w:rFonts w:ascii="Arial" w:cs="Arial" w:eastAsia="Arial" w:hAnsi="Arial"/>
          <w:sz w:val="16"/>
          <w:szCs w:val="16"/>
          <w:u w:val="single" w:color="auto"/>
          <w:color w:val="auto"/>
        </w:rPr>
        <w:t>Investment Company Status</w:t>
      </w:r>
      <w:r>
        <w:rPr>
          <w:rFonts w:ascii="Arial" w:cs="Arial" w:eastAsia="Arial" w:hAnsi="Arial"/>
          <w:sz w:val="16"/>
          <w:szCs w:val="16"/>
          <w:color w:val="auto"/>
        </w:rPr>
        <w:t>.</w:t>
      </w:r>
    </w:p>
    <w:p>
      <w:pPr>
        <w:spacing w:after="0" w:line="188"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None of the Loan Parties is required to register as an “investment company” under the Investment Company Act of 1940, as amended from time to time.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325" w:right="539" w:bottom="1440" w:gutter="0" w:footer="0" w:header="0"/>
        </w:sectPr>
      </w:pPr>
    </w:p>
    <w:bookmarkStart w:id="285" w:name="page286"/>
    <w:bookmarkEnd w:id="285"/>
    <w:p>
      <w:pPr>
        <w:ind w:left="4120"/>
        <w:spacing w:after="0"/>
        <w:tabs>
          <w:tab w:leader="none" w:pos="5680" w:val="left"/>
        </w:tabs>
        <w:rPr>
          <w:sz w:val="20"/>
          <w:szCs w:val="20"/>
          <w:color w:val="auto"/>
        </w:rPr>
      </w:pPr>
      <w:r>
        <w:rPr>
          <w:rFonts w:ascii="Arial" w:cs="Arial" w:eastAsia="Arial" w:hAnsi="Arial"/>
          <w:sz w:val="20"/>
          <w:szCs w:val="20"/>
          <w:color w:val="010000"/>
        </w:rPr>
        <w:t>SECTION 3.09</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188" w:lineRule="exact"/>
        <w:rPr>
          <w:sz w:val="20"/>
          <w:szCs w:val="20"/>
          <w:color w:val="auto"/>
        </w:rPr>
      </w:pPr>
    </w:p>
    <w:p>
      <w:pPr>
        <w:jc w:val="both"/>
        <w:ind w:firstLine="1499"/>
        <w:spacing w:after="0" w:line="258" w:lineRule="auto"/>
        <w:rPr>
          <w:sz w:val="20"/>
          <w:szCs w:val="20"/>
          <w:color w:val="auto"/>
        </w:rPr>
      </w:pPr>
      <w:r>
        <w:rPr>
          <w:rFonts w:ascii="Arial" w:cs="Arial" w:eastAsia="Arial" w:hAnsi="Arial"/>
          <w:sz w:val="19"/>
          <w:szCs w:val="19"/>
          <w:color w:val="auto"/>
        </w:rPr>
        <w:t xml:space="preserve">Except as could not, individually or in the aggregate, reasonably be expected to have a Material Adverse Effect, Holdings, the Borrower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Holdings, the Borrower or Restricted Subsidiary, as the case may be, has set aside on its books adequate reserves therefor in accordance with GAAP.</w:t>
      </w:r>
    </w:p>
    <w:p>
      <w:pPr>
        <w:spacing w:after="0" w:line="168" w:lineRule="exact"/>
        <w:rPr>
          <w:sz w:val="20"/>
          <w:szCs w:val="20"/>
          <w:color w:val="auto"/>
        </w:rPr>
      </w:pPr>
    </w:p>
    <w:p>
      <w:pPr>
        <w:jc w:val="center"/>
        <w:ind w:right="420"/>
        <w:spacing w:after="0"/>
        <w:tabs>
          <w:tab w:leader="none" w:pos="340" w:val="left"/>
        </w:tabs>
        <w:rPr>
          <w:sz w:val="20"/>
          <w:szCs w:val="20"/>
          <w:color w:val="auto"/>
        </w:rPr>
      </w:pPr>
      <w:r>
        <w:rPr>
          <w:rFonts w:ascii="Arial" w:cs="Arial" w:eastAsia="Arial" w:hAnsi="Arial"/>
          <w:sz w:val="20"/>
          <w:szCs w:val="20"/>
          <w:color w:val="010000"/>
        </w:rPr>
        <w:t>SECTION 3.10</w:t>
      </w:r>
      <w:r>
        <w:rPr>
          <w:sz w:val="20"/>
          <w:szCs w:val="20"/>
          <w:color w:val="auto"/>
        </w:rPr>
        <w:tab/>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202" w:lineRule="exact"/>
        <w:rPr>
          <w:sz w:val="20"/>
          <w:szCs w:val="20"/>
          <w:color w:val="auto"/>
        </w:rPr>
      </w:pPr>
    </w:p>
    <w:p>
      <w:pPr>
        <w:jc w:val="both"/>
        <w:ind w:right="20" w:firstLine="1490"/>
        <w:spacing w:after="0" w:line="249" w:lineRule="auto"/>
        <w:tabs>
          <w:tab w:leader="none" w:pos="2286" w:val="left"/>
        </w:tabs>
        <w:numPr>
          <w:ilvl w:val="0"/>
          <w:numId w:val="236"/>
        </w:numPr>
        <w:rPr>
          <w:rFonts w:ascii="Arial" w:cs="Arial" w:eastAsia="Arial" w:hAnsi="Arial"/>
          <w:sz w:val="20"/>
          <w:szCs w:val="20"/>
          <w:color w:val="auto"/>
        </w:rPr>
      </w:pPr>
      <w:r>
        <w:rPr>
          <w:rFonts w:ascii="Arial" w:cs="Arial" w:eastAsia="Arial" w:hAnsi="Arial"/>
          <w:sz w:val="20"/>
          <w:szCs w:val="20"/>
          <w:color w:val="auto"/>
        </w:rPr>
        <w:t>Except as would not, individually or in the aggregate, reasonably be expected to result in a Material Adverse Effect, each Pension Plan sponsored by a Loan Party is in compliance with the applicable provisions of ERISA, the Code and other federal or state laws.</w:t>
      </w:r>
    </w:p>
    <w:p>
      <w:pPr>
        <w:spacing w:after="0" w:line="160" w:lineRule="exact"/>
        <w:rPr>
          <w:rFonts w:ascii="Arial" w:cs="Arial" w:eastAsia="Arial" w:hAnsi="Arial"/>
          <w:sz w:val="20"/>
          <w:szCs w:val="20"/>
          <w:color w:val="auto"/>
        </w:rPr>
      </w:pPr>
    </w:p>
    <w:p>
      <w:pPr>
        <w:jc w:val="both"/>
        <w:ind w:right="20" w:firstLine="1490"/>
        <w:spacing w:after="0" w:line="263" w:lineRule="auto"/>
        <w:tabs>
          <w:tab w:leader="none" w:pos="2286" w:val="left"/>
        </w:tabs>
        <w:numPr>
          <w:ilvl w:val="0"/>
          <w:numId w:val="236"/>
        </w:numPr>
        <w:rPr>
          <w:rFonts w:ascii="Arial" w:cs="Arial" w:eastAsia="Arial" w:hAnsi="Arial"/>
          <w:sz w:val="19"/>
          <w:szCs w:val="19"/>
          <w:color w:val="auto"/>
        </w:rPr>
      </w:pPr>
      <w:r>
        <w:rPr>
          <w:rFonts w:ascii="Arial" w:cs="Arial" w:eastAsia="Arial" w:hAnsi="Arial"/>
          <w:sz w:val="19"/>
          <w:szCs w:val="19"/>
          <w:color w:val="auto"/>
        </w:rPr>
        <w:t>Except as could not reasonably be expected, individually or in the aggregate, to result in a Material Adverse Effect, (i) no ERISA Event has occurred during the six year period prior to the date on which this representation is made or deemed made or is reasonably expected to occur, and (ii) neither any Loan Party nor any ERISA Affiliate has engaged in a transaction that would reasonably be expected to be subject to Section 4069 or 4212(c) of ERISA.</w:t>
      </w:r>
    </w:p>
    <w:p>
      <w:pPr>
        <w:spacing w:after="0" w:line="161" w:lineRule="exact"/>
        <w:rPr>
          <w:rFonts w:ascii="Arial" w:cs="Arial" w:eastAsia="Arial" w:hAnsi="Arial"/>
          <w:sz w:val="19"/>
          <w:szCs w:val="19"/>
          <w:color w:val="auto"/>
        </w:rPr>
      </w:pPr>
    </w:p>
    <w:p>
      <w:pPr>
        <w:jc w:val="both"/>
        <w:ind w:right="20" w:firstLine="1490"/>
        <w:spacing w:after="0" w:line="272" w:lineRule="auto"/>
        <w:tabs>
          <w:tab w:leader="none" w:pos="228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Except as could not reasonably be expected, individually or in the aggregate to result in a Material Adverse Effect: (i) each employee benefit plan (as defined in Section 3(2) of ERISA) sponsored by Holdings or the Borrower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nothing has occurred that would prevent or cause the loss of such tax-qualified status; and (iii) there are no pending or, to the knowledge of Holdings and the Borrower, threatened claims, actions or lawsuits, or action by any Governmental Authority, with respect to any such plan.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325" w:right="539" w:bottom="1440" w:gutter="0" w:footer="0" w:header="0"/>
        </w:sectPr>
      </w:pPr>
    </w:p>
    <w:bookmarkStart w:id="286" w:name="page287"/>
    <w:bookmarkEnd w:id="286"/>
    <w:p>
      <w:pPr>
        <w:jc w:val="center"/>
        <w:ind w:right="120"/>
        <w:spacing w:after="0"/>
        <w:tabs>
          <w:tab w:leader="none" w:pos="340" w:val="left"/>
        </w:tabs>
        <w:rPr>
          <w:sz w:val="20"/>
          <w:szCs w:val="20"/>
          <w:color w:val="auto"/>
        </w:rPr>
      </w:pPr>
      <w:r>
        <w:rPr>
          <w:rFonts w:ascii="Arial" w:cs="Arial" w:eastAsia="Arial" w:hAnsi="Arial"/>
          <w:sz w:val="20"/>
          <w:szCs w:val="20"/>
          <w:color w:val="010000"/>
        </w:rPr>
        <w:t>SECTION 3.11</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188" w:lineRule="exact"/>
        <w:rPr>
          <w:sz w:val="20"/>
          <w:szCs w:val="20"/>
          <w:color w:val="auto"/>
        </w:rPr>
      </w:pPr>
    </w:p>
    <w:p>
      <w:pPr>
        <w:jc w:val="both"/>
        <w:ind w:firstLine="1498"/>
        <w:spacing w:after="0" w:line="269" w:lineRule="auto"/>
        <w:rPr>
          <w:sz w:val="20"/>
          <w:szCs w:val="20"/>
          <w:color w:val="auto"/>
        </w:rPr>
      </w:pPr>
      <w:r>
        <w:rPr>
          <w:rFonts w:ascii="Arial" w:cs="Arial" w:eastAsia="Arial" w:hAnsi="Arial"/>
          <w:sz w:val="18"/>
          <w:szCs w:val="18"/>
          <w:color w:val="auto"/>
        </w:rPr>
        <w:t xml:space="preserve">As of the Effective Date, (in the case of any of the following relating to Gogo), all written factual information and written factual data (other than projections, any pro forma financial information (including the Pro Forma Financial Statements), budgets, other forward-looking information or information consisting of statements, estimates or forecasts regarding the future condition of the industries in which the Loan Parties operate and information of a general economic or industry specific nature) made available to the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projections of Holdings and its Subsidiaries included in the Information Memorandum, Holdings and the Borrower represent that such projections, when taken as a whole, were prepared in good faith based upon assumptions believed by them to be reasonable at the time furnished, it being understood that (i) such projections are merely a prediction as to future events and are not to be viewed as facts, (ii) such projections are subject to significant uncertainties and contingencies, many of which are beyond the control of Holdings and (iii) no assurance can be given that any particular projections will be realized and that actual results during the period or periods covered by any such projections may differ significantly from the projected results and such differences may be material.</w:t>
      </w:r>
    </w:p>
    <w:p>
      <w:pPr>
        <w:spacing w:after="0" w:line="164"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010000"/>
        </w:rPr>
        <w:t xml:space="preserve">SECTION 3.12 </w:t>
      </w:r>
      <w:r>
        <w:rPr>
          <w:rFonts w:ascii="Arial" w:cs="Arial" w:eastAsia="Arial" w:hAnsi="Arial"/>
          <w:sz w:val="20"/>
          <w:szCs w:val="20"/>
          <w:u w:val="single" w:color="auto"/>
          <w:color w:val="000000"/>
        </w:rPr>
        <w:t>Subsidiaries</w:t>
      </w:r>
      <w:r>
        <w:rPr>
          <w:rFonts w:ascii="Arial" w:cs="Arial" w:eastAsia="Arial" w:hAnsi="Arial"/>
          <w:sz w:val="20"/>
          <w:szCs w:val="20"/>
          <w:color w:val="000000"/>
        </w:rPr>
        <w:t>.</w:t>
      </w:r>
    </w:p>
    <w:p>
      <w:pPr>
        <w:spacing w:after="0" w:line="202"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As of the Effective Date, immediately after giving effect to the Transactions to occur on the Effective Date, Schedule 3.12 sets forth the name of, and the ownership interest of each Restricted Subsidiary of Holdings.</w:t>
      </w:r>
    </w:p>
    <w:p>
      <w:pPr>
        <w:spacing w:after="0" w:line="149"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3.13</w:t>
      </w:r>
      <w:r>
        <w:rPr>
          <w:sz w:val="20"/>
          <w:szCs w:val="20"/>
          <w:color w:val="auto"/>
        </w:rPr>
        <w:tab/>
      </w:r>
      <w:r>
        <w:rPr>
          <w:rFonts w:ascii="Arial" w:cs="Arial" w:eastAsia="Arial" w:hAnsi="Arial"/>
          <w:sz w:val="18"/>
          <w:szCs w:val="18"/>
          <w:u w:val="single" w:color="auto"/>
          <w:color w:val="auto"/>
        </w:rPr>
        <w:t>Intellectual Property; Licenses, Etc.</w:t>
      </w:r>
    </w:p>
    <w:p>
      <w:pPr>
        <w:spacing w:after="0" w:line="202" w:lineRule="exact"/>
        <w:rPr>
          <w:sz w:val="20"/>
          <w:szCs w:val="20"/>
          <w:color w:val="auto"/>
        </w:rPr>
      </w:pPr>
    </w:p>
    <w:p>
      <w:pPr>
        <w:jc w:val="both"/>
        <w:ind w:firstLine="1498"/>
        <w:spacing w:after="0" w:line="272" w:lineRule="auto"/>
        <w:rPr>
          <w:sz w:val="20"/>
          <w:szCs w:val="20"/>
          <w:color w:val="auto"/>
        </w:rPr>
      </w:pPr>
      <w:r>
        <w:rPr>
          <w:rFonts w:ascii="Arial" w:cs="Arial" w:eastAsia="Arial" w:hAnsi="Arial"/>
          <w:sz w:val="18"/>
          <w:szCs w:val="18"/>
          <w:color w:val="auto"/>
        </w:rPr>
        <w:t>Except as could not reasonably be expected to have a Material Adverse Effect, each of Holdings, the Borrower and the Restricted Subsidiaries owns, licenses or possesses the right to use all Intellectual Property that is reasonably necessary for the operation of its business substantially as currently conducted. To the knowledge of Holdings and the Borrower, no Intellectual Property used by Holdings, the Borrower or any Restricted Subsidiary in the operation of its business as currently conducted infringes upon the Intellectual Property of any Person except for such infringements that could not reasonably be expected to have, individually or in the aggregate, a Material Adverse Effect. No claim or litigation regarding any of the Intellectual Property is pending or, to the knowledge of Holdings and the Borrower, threatened in writing against Holdings, the Borrower or any Restricted Subsidiary, which, individually or in the aggregate, could reasonably be expected to have a Material Adverse Effect.</w:t>
      </w:r>
    </w:p>
    <w:p>
      <w:pPr>
        <w:spacing w:after="0" w:line="159" w:lineRule="exact"/>
        <w:rPr>
          <w:sz w:val="20"/>
          <w:szCs w:val="20"/>
          <w:color w:val="auto"/>
        </w:rPr>
      </w:pPr>
    </w:p>
    <w:p>
      <w:pPr>
        <w:jc w:val="center"/>
        <w:ind w:right="240"/>
        <w:spacing w:after="0"/>
        <w:tabs>
          <w:tab w:leader="none" w:pos="340" w:val="left"/>
        </w:tabs>
        <w:rPr>
          <w:sz w:val="20"/>
          <w:szCs w:val="20"/>
          <w:color w:val="auto"/>
        </w:rPr>
      </w:pPr>
      <w:r>
        <w:rPr>
          <w:rFonts w:ascii="Arial" w:cs="Arial" w:eastAsia="Arial" w:hAnsi="Arial"/>
          <w:sz w:val="20"/>
          <w:szCs w:val="20"/>
          <w:color w:val="010000"/>
        </w:rPr>
        <w:t>SECTION 3.14</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188" w:lineRule="exact"/>
        <w:rPr>
          <w:sz w:val="20"/>
          <w:szCs w:val="20"/>
          <w:color w:val="auto"/>
        </w:rPr>
      </w:pPr>
    </w:p>
    <w:p>
      <w:pPr>
        <w:jc w:val="both"/>
        <w:ind w:firstLine="1499"/>
        <w:spacing w:after="0" w:line="249" w:lineRule="auto"/>
        <w:rPr>
          <w:sz w:val="20"/>
          <w:szCs w:val="20"/>
          <w:color w:val="auto"/>
        </w:rPr>
      </w:pPr>
      <w:r>
        <w:rPr>
          <w:rFonts w:ascii="Arial" w:cs="Arial" w:eastAsia="Arial" w:hAnsi="Arial"/>
          <w:sz w:val="20"/>
          <w:szCs w:val="20"/>
          <w:color w:val="auto"/>
        </w:rPr>
        <w:t xml:space="preserve">On the Effective Date, immediately after giving effect to the Transactions, the Borrower and its Subsidiaries, on a consolidated basis, are solvent (determined in accordance with the Solvency Certificate delivered on the Effective Date in the form of </w:t>
      </w:r>
      <w:r>
        <w:rPr>
          <w:rFonts w:ascii="Arial" w:cs="Arial" w:eastAsia="Arial" w:hAnsi="Arial"/>
          <w:sz w:val="20"/>
          <w:szCs w:val="20"/>
          <w:u w:val="single" w:color="auto"/>
          <w:color w:val="auto"/>
        </w:rPr>
        <w:t>Exhibit P</w:t>
      </w:r>
      <w:r>
        <w:rPr>
          <w:rFonts w:ascii="Arial" w:cs="Arial" w:eastAsia="Arial" w:hAnsi="Arial"/>
          <w:sz w:val="20"/>
          <w:szCs w:val="20"/>
          <w:color w:val="auto"/>
        </w:rPr>
        <w:t xml:space="preserve"> attached hereto).</w:t>
      </w:r>
    </w:p>
    <w:p>
      <w:pPr>
        <w:spacing w:after="0" w:line="174" w:lineRule="exact"/>
        <w:rPr>
          <w:sz w:val="20"/>
          <w:szCs w:val="20"/>
          <w:color w:val="auto"/>
        </w:rPr>
      </w:pPr>
    </w:p>
    <w:p>
      <w:pPr>
        <w:jc w:val="center"/>
        <w:ind w:left="1240"/>
        <w:spacing w:after="0"/>
        <w:tabs>
          <w:tab w:leader="none" w:pos="340" w:val="left"/>
        </w:tabs>
        <w:rPr>
          <w:sz w:val="20"/>
          <w:szCs w:val="20"/>
          <w:color w:val="auto"/>
        </w:rPr>
      </w:pPr>
      <w:r>
        <w:rPr>
          <w:rFonts w:ascii="Arial" w:cs="Arial" w:eastAsia="Arial" w:hAnsi="Arial"/>
          <w:sz w:val="20"/>
          <w:szCs w:val="20"/>
          <w:color w:val="010000"/>
        </w:rPr>
        <w:t>SECTION 3.15</w:t>
      </w:r>
      <w:r>
        <w:rPr>
          <w:sz w:val="20"/>
          <w:szCs w:val="20"/>
          <w:color w:val="auto"/>
        </w:rPr>
        <w:tab/>
      </w:r>
      <w:r>
        <w:rPr>
          <w:rFonts w:ascii="Arial" w:cs="Arial" w:eastAsia="Arial" w:hAnsi="Arial"/>
          <w:sz w:val="16"/>
          <w:szCs w:val="16"/>
          <w:u w:val="single" w:color="auto"/>
          <w:color w:val="auto"/>
        </w:rPr>
        <w:t>Federal Reserve Regulations</w:t>
      </w:r>
      <w:r>
        <w:rPr>
          <w:rFonts w:ascii="Arial" w:cs="Arial" w:eastAsia="Arial" w:hAnsi="Arial"/>
          <w:sz w:val="16"/>
          <w:szCs w:val="16"/>
          <w:color w:val="auto"/>
        </w:rPr>
        <w:t>.</w:t>
      </w:r>
    </w:p>
    <w:p>
      <w:pPr>
        <w:spacing w:after="0" w:line="202" w:lineRule="exact"/>
        <w:rPr>
          <w:sz w:val="20"/>
          <w:szCs w:val="20"/>
          <w:color w:val="auto"/>
        </w:rPr>
      </w:pPr>
    </w:p>
    <w:p>
      <w:pPr>
        <w:jc w:val="both"/>
        <w:ind w:firstLine="1499"/>
        <w:spacing w:after="0" w:line="246" w:lineRule="auto"/>
        <w:rPr>
          <w:sz w:val="20"/>
          <w:szCs w:val="20"/>
          <w:color w:val="auto"/>
        </w:rPr>
      </w:pPr>
      <w:r>
        <w:rPr>
          <w:rFonts w:ascii="Arial" w:cs="Arial" w:eastAsia="Arial" w:hAnsi="Arial"/>
          <w:sz w:val="20"/>
          <w:szCs w:val="20"/>
          <w:color w:val="auto"/>
        </w:rPr>
        <w:t>No part of the proceeds of the Loans will be used, directly or indirectly, to purchase or carry any margin stock (within the meaning of Regulation U of the Board of Governors) or to refinance any Indebtedness originally incurred for such purpose, or for any other purpose that entails a violation (including on the part of any Lender) of the provisions of Regulations U or X of the Board of Governors.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00" w:top="325" w:right="559" w:bottom="1440" w:gutter="0" w:footer="0" w:header="0"/>
        </w:sectPr>
      </w:pPr>
    </w:p>
    <w:bookmarkStart w:id="287" w:name="page288"/>
    <w:bookmarkEnd w:id="287"/>
    <w:p>
      <w:pPr>
        <w:ind w:left="4120"/>
        <w:spacing w:after="0"/>
        <w:tabs>
          <w:tab w:leader="none" w:pos="5680" w:val="left"/>
        </w:tabs>
        <w:rPr>
          <w:sz w:val="20"/>
          <w:szCs w:val="20"/>
          <w:color w:val="auto"/>
        </w:rPr>
      </w:pPr>
      <w:r>
        <w:rPr>
          <w:rFonts w:ascii="Arial" w:cs="Arial" w:eastAsia="Arial" w:hAnsi="Arial"/>
          <w:sz w:val="20"/>
          <w:szCs w:val="20"/>
          <w:color w:val="010000"/>
        </w:rPr>
        <w:t>SECTION 3.16</w:t>
      </w:r>
      <w:r>
        <w:rPr>
          <w:sz w:val="20"/>
          <w:szCs w:val="20"/>
          <w:color w:val="auto"/>
        </w:rPr>
        <w:tab/>
      </w:r>
      <w:r>
        <w:rPr>
          <w:rFonts w:ascii="Arial" w:cs="Arial" w:eastAsia="Arial" w:hAnsi="Arial"/>
          <w:sz w:val="18"/>
          <w:szCs w:val="18"/>
          <w:u w:val="single" w:color="auto"/>
          <w:color w:val="auto"/>
        </w:rPr>
        <w:t>USA PATRIOT Act; OFAC and FCPA</w:t>
      </w:r>
      <w:r>
        <w:rPr>
          <w:rFonts w:ascii="Arial" w:cs="Arial" w:eastAsia="Arial" w:hAnsi="Arial"/>
          <w:sz w:val="18"/>
          <w:szCs w:val="18"/>
          <w:color w:val="auto"/>
        </w:rPr>
        <w:t>.</w:t>
      </w:r>
    </w:p>
    <w:p>
      <w:pPr>
        <w:spacing w:after="0" w:line="188" w:lineRule="exact"/>
        <w:rPr>
          <w:sz w:val="20"/>
          <w:szCs w:val="20"/>
          <w:color w:val="auto"/>
        </w:rPr>
      </w:pPr>
    </w:p>
    <w:p>
      <w:pPr>
        <w:jc w:val="both"/>
        <w:ind w:right="40" w:firstLine="1490"/>
        <w:spacing w:after="0" w:line="242" w:lineRule="auto"/>
        <w:tabs>
          <w:tab w:leader="none" w:pos="2286"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Borrower will not directly or, knowingly, indirectly use the proceeds of the Loans or otherwise make available such proceeds to any Person for the purpose of funding activities or business of or with any Person that is the subject of Sanctions, or in any Sanctioned Country, in each case, in violation of applicable Sanctions, or in any other manner that would result in a violation by any party to this Agreement of Sanctions applicable to such party. The Borrower will not use the proceeds of the Loans for any payments to any governmental official or employee, political party, official of a political party, candidate for political office, or anyone else acting in an official capacity on behalf of a government, in order to obtain, retain or direct business or obtain any improper advantage, in each case in violation of the United States Foreign Corrupt Practices Act of 1977, as amended (the “</w:t>
      </w:r>
      <w:r>
        <w:rPr>
          <w:rFonts w:ascii="Arial" w:cs="Arial" w:eastAsia="Arial" w:hAnsi="Arial"/>
          <w:sz w:val="20"/>
          <w:szCs w:val="20"/>
          <w:u w:val="single" w:color="auto"/>
          <w:color w:val="auto"/>
        </w:rPr>
        <w:t>FCPA</w:t>
      </w:r>
      <w:r>
        <w:rPr>
          <w:rFonts w:ascii="Arial" w:cs="Arial" w:eastAsia="Arial" w:hAnsi="Arial"/>
          <w:sz w:val="20"/>
          <w:szCs w:val="20"/>
          <w:color w:val="auto"/>
        </w:rPr>
        <w:t>”) or any other applicable anti-corruption law.</w:t>
      </w:r>
    </w:p>
    <w:p>
      <w:pPr>
        <w:spacing w:after="0" w:line="180" w:lineRule="exact"/>
        <w:rPr>
          <w:rFonts w:ascii="Arial" w:cs="Arial" w:eastAsia="Arial" w:hAnsi="Arial"/>
          <w:sz w:val="20"/>
          <w:szCs w:val="20"/>
          <w:color w:val="auto"/>
        </w:rPr>
      </w:pPr>
    </w:p>
    <w:p>
      <w:pPr>
        <w:ind w:right="40" w:firstLine="1490"/>
        <w:spacing w:after="0" w:line="315" w:lineRule="auto"/>
        <w:tabs>
          <w:tab w:leader="none" w:pos="228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of Holdings, the Borrower and the Restricted Subsidiaries is in compliance in all material respects with (i) applicable regulations and other Sanctions administered by OFAC, (ii) Title III of the USA Patriot Act and (iii) the FCPA.</w:t>
      </w:r>
    </w:p>
    <w:p>
      <w:pPr>
        <w:spacing w:after="0" w:line="117" w:lineRule="exact"/>
        <w:rPr>
          <w:sz w:val="20"/>
          <w:szCs w:val="20"/>
          <w:color w:val="auto"/>
        </w:rPr>
      </w:pPr>
    </w:p>
    <w:p>
      <w:pPr>
        <w:jc w:val="both"/>
        <w:ind w:firstLine="1467"/>
        <w:spacing w:after="0" w:line="246" w:lineRule="auto"/>
        <w:tabs>
          <w:tab w:leader="none" w:pos="2266" w:val="left"/>
        </w:tabs>
        <w:numPr>
          <w:ilvl w:val="0"/>
          <w:numId w:val="238"/>
        </w:numPr>
        <w:rPr>
          <w:rFonts w:ascii="Arial" w:cs="Arial" w:eastAsia="Arial" w:hAnsi="Arial"/>
          <w:sz w:val="20"/>
          <w:szCs w:val="20"/>
          <w:color w:val="auto"/>
        </w:rPr>
      </w:pPr>
      <w:r>
        <w:rPr>
          <w:rFonts w:ascii="Arial" w:cs="Arial" w:eastAsia="Arial" w:hAnsi="Arial"/>
          <w:sz w:val="20"/>
          <w:szCs w:val="20"/>
          <w:color w:val="auto"/>
        </w:rPr>
        <w:t>None of Holdings, the Borrower, any of the Restricted Subsidiaries or, to the knowledge of the Borrower, any director or officer thereof, are individuals or entities currently on OFAC’s list of Specially Designated Nationals and Blocked Persons and/or any similar list maintained by OFAC, nor is Holdings, the Borrower or any Restricted Subsidiary located, organized or resident in a Sanctioned Country.</w:t>
      </w:r>
    </w:p>
    <w:p>
      <w:pPr>
        <w:spacing w:after="0" w:line="163" w:lineRule="exact"/>
        <w:rPr>
          <w:sz w:val="20"/>
          <w:szCs w:val="20"/>
          <w:color w:val="auto"/>
        </w:rPr>
      </w:pPr>
    </w:p>
    <w:p>
      <w:pPr>
        <w:jc w:val="center"/>
        <w:ind w:right="-219"/>
        <w:spacing w:after="0"/>
        <w:tabs>
          <w:tab w:leader="none" w:pos="340" w:val="left"/>
        </w:tabs>
        <w:rPr>
          <w:sz w:val="20"/>
          <w:szCs w:val="20"/>
          <w:color w:val="auto"/>
        </w:rPr>
      </w:pPr>
      <w:r>
        <w:rPr>
          <w:rFonts w:ascii="Arial" w:cs="Arial" w:eastAsia="Arial" w:hAnsi="Arial"/>
          <w:sz w:val="20"/>
          <w:szCs w:val="20"/>
          <w:color w:val="010000"/>
        </w:rPr>
        <w:t>SECTION 3.17</w:t>
      </w:r>
      <w:r>
        <w:rPr>
          <w:sz w:val="20"/>
          <w:szCs w:val="20"/>
          <w:color w:val="auto"/>
        </w:rPr>
        <w:tab/>
      </w:r>
      <w:r>
        <w:rPr>
          <w:rFonts w:ascii="Arial" w:cs="Arial" w:eastAsia="Arial" w:hAnsi="Arial"/>
          <w:sz w:val="16"/>
          <w:szCs w:val="16"/>
          <w:u w:val="single" w:color="auto"/>
          <w:color w:val="auto"/>
        </w:rPr>
        <w:t>Use of Proceeds</w:t>
      </w:r>
    </w:p>
    <w:p>
      <w:pPr>
        <w:spacing w:after="0" w:line="202" w:lineRule="exact"/>
        <w:rPr>
          <w:sz w:val="20"/>
          <w:szCs w:val="20"/>
          <w:color w:val="auto"/>
        </w:rPr>
      </w:pPr>
    </w:p>
    <w:p>
      <w:pPr>
        <w:ind w:right="100" w:firstLine="1498"/>
        <w:spacing w:after="0" w:line="260" w:lineRule="auto"/>
        <w:rPr>
          <w:sz w:val="20"/>
          <w:szCs w:val="20"/>
          <w:color w:val="auto"/>
        </w:rPr>
      </w:pPr>
      <w:r>
        <w:rPr>
          <w:rFonts w:ascii="Arial" w:cs="Arial" w:eastAsia="Arial" w:hAnsi="Arial"/>
          <w:sz w:val="20"/>
          <w:szCs w:val="20"/>
          <w:color w:val="auto"/>
        </w:rPr>
        <w:t>The Borrower has used and will only use the proceeds of the Loans and the Letters of Credit issued hereunder only in compliance with (and not in contravention of) Section 5.10.</w:t>
      </w:r>
    </w:p>
    <w:p>
      <w:pPr>
        <w:spacing w:after="0" w:line="162"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3.18</w:t>
      </w:r>
      <w:r>
        <w:rPr>
          <w:sz w:val="20"/>
          <w:szCs w:val="20"/>
          <w:color w:val="auto"/>
        </w:rPr>
        <w:tab/>
      </w:r>
      <w:r>
        <w:rPr>
          <w:rFonts w:ascii="Arial" w:cs="Arial" w:eastAsia="Arial" w:hAnsi="Arial"/>
          <w:sz w:val="18"/>
          <w:szCs w:val="18"/>
          <w:u w:val="single" w:color="auto"/>
          <w:color w:val="auto"/>
        </w:rPr>
        <w:t>Regulatory Matters.</w:t>
      </w:r>
    </w:p>
    <w:p>
      <w:pPr>
        <w:spacing w:after="0" w:line="188" w:lineRule="exact"/>
        <w:rPr>
          <w:sz w:val="20"/>
          <w:szCs w:val="20"/>
          <w:color w:val="auto"/>
        </w:rPr>
      </w:pPr>
    </w:p>
    <w:p>
      <w:pPr>
        <w:jc w:val="both"/>
        <w:ind w:right="40" w:firstLine="1499"/>
        <w:spacing w:after="0" w:line="244" w:lineRule="auto"/>
        <w:rPr>
          <w:sz w:val="20"/>
          <w:szCs w:val="20"/>
          <w:color w:val="auto"/>
        </w:rPr>
      </w:pPr>
      <w:r>
        <w:rPr>
          <w:rFonts w:ascii="Arial" w:cs="Arial" w:eastAsia="Arial" w:hAnsi="Arial"/>
          <w:sz w:val="20"/>
          <w:szCs w:val="20"/>
          <w:color w:val="auto"/>
        </w:rPr>
        <w:t>The Loan Parties have all material FCC Licenses and FAA Approvals necessary to operate the Loan Parties’ business in all material respects as required under applicable Communication Laws, and all such FCC Licenses and FAA Approvals have been validly issued in the name of a Loan Party. There are no applications, proceedings or complaints pending or, to the best of the Loan Parties’ knowledge, threatened regarding the Loan Parties’ FCC Licenses and FAA Approvals that could reasonably be expected to have a Material Adverse Effect.</w:t>
      </w:r>
    </w:p>
    <w:p>
      <w:pPr>
        <w:spacing w:after="0" w:line="179"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3.19</w:t>
      </w:r>
      <w:r>
        <w:rPr>
          <w:sz w:val="20"/>
          <w:szCs w:val="20"/>
          <w:color w:val="auto"/>
        </w:rPr>
        <w:tab/>
      </w:r>
      <w:r>
        <w:rPr>
          <w:rFonts w:ascii="Arial" w:cs="Arial" w:eastAsia="Arial" w:hAnsi="Arial"/>
          <w:sz w:val="18"/>
          <w:szCs w:val="18"/>
          <w:u w:val="single" w:color="auto"/>
          <w:color w:val="auto"/>
        </w:rPr>
        <w:t>Collateral Matters.</w:t>
      </w:r>
    </w:p>
    <w:p>
      <w:pPr>
        <w:spacing w:after="0" w:line="202" w:lineRule="exact"/>
        <w:rPr>
          <w:sz w:val="20"/>
          <w:szCs w:val="20"/>
          <w:color w:val="auto"/>
        </w:rPr>
      </w:pPr>
    </w:p>
    <w:p>
      <w:pPr>
        <w:jc w:val="both"/>
        <w:ind w:right="40" w:firstLine="1490"/>
        <w:spacing w:after="0" w:line="255" w:lineRule="auto"/>
        <w:tabs>
          <w:tab w:leader="none" w:pos="2286"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The Collateral Agreement, upon execution and delivery thereof by the parties thereto, will be effective to create in favor of the Collateral Agent, for the benefit of the Secured Parties, a valid and enforceable security interest in the Collateral (as defined therein) and (i) when the Collateral (as defined therein) constituting certificated securities (as defined in the Uniform Commercial Code), solely to the extent required by the Collateral and Guarantee Requirement, is delivered to the Collateral Agent, together with instruments of transfer duly endorsed in blank, the security interest created under the Collateral Agreement will constitute a fully perfected security interest in all right, title and interest of the pledgors thereunder in such Collateral, prior and superior in right to any other Person other than any Liens permitted under Section 6.02, and (ii) when financing statements in appropriate form are filed in the applicable filing offices, the security interest created under the Collateral Agreement will constitute a fully perfected security interest in all right, title and interest of the Loan Parties in the remaining Collateral (as defined therein) to the extent perfection can be obtained by filing Uniform Commercial Code financing statements, prior and superior to the rights of any other Person, but subject to Liens permitted under Section 6.02.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325" w:right="519" w:bottom="1440" w:gutter="0" w:footer="0" w:header="0"/>
        </w:sectPr>
      </w:pPr>
    </w:p>
    <w:bookmarkStart w:id="288" w:name="page289"/>
    <w:bookmarkEnd w:id="288"/>
    <w:p>
      <w:pPr>
        <w:jc w:val="both"/>
        <w:ind w:left="8" w:right="60" w:firstLine="1490"/>
        <w:spacing w:after="0" w:line="243" w:lineRule="auto"/>
        <w:tabs>
          <w:tab w:leader="none" w:pos="2294" w:val="left"/>
        </w:tabs>
        <w:numPr>
          <w:ilvl w:val="1"/>
          <w:numId w:val="240"/>
        </w:numPr>
        <w:rPr>
          <w:rFonts w:ascii="Arial" w:cs="Arial" w:eastAsia="Arial" w:hAnsi="Arial"/>
          <w:sz w:val="20"/>
          <w:szCs w:val="20"/>
          <w:color w:val="auto"/>
        </w:rPr>
      </w:pPr>
      <w:r>
        <w:rPr>
          <w:rFonts w:ascii="Arial" w:cs="Arial" w:eastAsia="Arial" w:hAnsi="Arial"/>
          <w:sz w:val="20"/>
          <w:szCs w:val="20"/>
          <w:color w:val="auto"/>
        </w:rPr>
        <w:t>Each Mortgage, upon execution and delivery thereof by the parties thereto, will create in favor of the Collateral Agent, for the benefit of the Secured Parties, a valid and enforceable security interest in all the applicable mortgagor’s right, title and interest in and to the Mortgaged Properties subject thereto and the proceeds thereof, and when the Mortgages have been filed in the jurisdictions specified therein, the Mortgages will constitute a fully perfected security interest in all right, title and interest of the mortgagors in the Mortgaged Properties and the proceeds thereof, prior and superior in right to any other Person, but subject to Liens permitted under Section 6.02.</w:t>
      </w:r>
    </w:p>
    <w:p>
      <w:pPr>
        <w:spacing w:after="0" w:line="167" w:lineRule="exact"/>
        <w:rPr>
          <w:rFonts w:ascii="Arial" w:cs="Arial" w:eastAsia="Arial" w:hAnsi="Arial"/>
          <w:sz w:val="20"/>
          <w:szCs w:val="20"/>
          <w:color w:val="auto"/>
        </w:rPr>
      </w:pPr>
    </w:p>
    <w:p>
      <w:pPr>
        <w:jc w:val="both"/>
        <w:ind w:left="8" w:right="80" w:firstLine="1490"/>
        <w:spacing w:after="0" w:line="275" w:lineRule="auto"/>
        <w:tabs>
          <w:tab w:leader="none" w:pos="229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Upon the recordation of the Intellectual Property Security Agreements with the United States Patent and Trademark Office or the United States Copyright Office, as applicable, and the filing of the financing statements referred to in paragraph</w:t>
      </w:r>
    </w:p>
    <w:p>
      <w:pPr>
        <w:jc w:val="both"/>
        <w:ind w:left="8" w:right="80" w:hanging="8"/>
        <w:spacing w:after="0"/>
        <w:tabs>
          <w:tab w:leader="none" w:pos="294" w:val="left"/>
        </w:tabs>
        <w:numPr>
          <w:ilvl w:val="0"/>
          <w:numId w:val="241"/>
        </w:numPr>
        <w:rPr>
          <w:rFonts w:ascii="Arial" w:cs="Arial" w:eastAsia="Arial" w:hAnsi="Arial"/>
          <w:sz w:val="20"/>
          <w:szCs w:val="20"/>
          <w:color w:val="auto"/>
        </w:rPr>
      </w:pPr>
      <w:r>
        <w:rPr>
          <w:rFonts w:ascii="Arial" w:cs="Arial" w:eastAsia="Arial" w:hAnsi="Arial"/>
          <w:sz w:val="20"/>
          <w:szCs w:val="20"/>
          <w:color w:val="auto"/>
        </w:rPr>
        <w:t>of this Section, the security interest created under the Collateral Agreement will constitute a fully perfected security interest in all right, title and interest of the Loan Parties in the Intellectual Property (as defined in the Collateral Agreement) in which a security interest may be perfected by filing in the United States of America, in each case prior and superior in right to any other Person, but subject to Liens permitted under Section 6.02</w:t>
      </w:r>
    </w:p>
    <w:p>
      <w:pPr>
        <w:spacing w:after="0" w:line="179" w:lineRule="exact"/>
        <w:rPr>
          <w:sz w:val="20"/>
          <w:szCs w:val="20"/>
          <w:color w:val="auto"/>
        </w:rPr>
      </w:pPr>
    </w:p>
    <w:p>
      <w:pPr>
        <w:jc w:val="center"/>
        <w:ind w:right="-27"/>
        <w:spacing w:after="0"/>
        <w:rPr>
          <w:sz w:val="20"/>
          <w:szCs w:val="20"/>
          <w:color w:val="auto"/>
        </w:rPr>
      </w:pPr>
      <w:r>
        <w:rPr>
          <w:rFonts w:ascii="Arial" w:cs="Arial" w:eastAsia="Arial" w:hAnsi="Arial"/>
          <w:sz w:val="22"/>
          <w:szCs w:val="22"/>
          <w:color w:val="auto"/>
        </w:rPr>
        <w:t>ARTICLE IV</w:t>
      </w:r>
    </w:p>
    <w:p>
      <w:pPr>
        <w:spacing w:after="0" w:line="197" w:lineRule="exact"/>
        <w:rPr>
          <w:sz w:val="20"/>
          <w:szCs w:val="20"/>
          <w:color w:val="auto"/>
        </w:rPr>
      </w:pPr>
    </w:p>
    <w:p>
      <w:pPr>
        <w:ind w:left="4848"/>
        <w:spacing w:after="0"/>
        <w:rPr>
          <w:sz w:val="20"/>
          <w:szCs w:val="20"/>
          <w:color w:val="auto"/>
        </w:rPr>
      </w:pPr>
      <w:r>
        <w:rPr>
          <w:rFonts w:ascii="Arial" w:cs="Arial" w:eastAsia="Arial" w:hAnsi="Arial"/>
          <w:sz w:val="20"/>
          <w:szCs w:val="20"/>
          <w:u w:val="single" w:color="auto"/>
          <w:color w:val="auto"/>
        </w:rPr>
        <w:t>CONDITIONS</w:t>
      </w:r>
    </w:p>
    <w:p>
      <w:pPr>
        <w:spacing w:after="0" w:line="188" w:lineRule="exact"/>
        <w:rPr>
          <w:sz w:val="20"/>
          <w:szCs w:val="20"/>
          <w:color w:val="auto"/>
        </w:rPr>
      </w:pPr>
    </w:p>
    <w:p>
      <w:pPr>
        <w:ind w:left="4128"/>
        <w:spacing w:after="0"/>
        <w:tabs>
          <w:tab w:leader="none" w:pos="5688" w:val="left"/>
        </w:tabs>
        <w:rPr>
          <w:sz w:val="20"/>
          <w:szCs w:val="20"/>
          <w:color w:val="auto"/>
        </w:rPr>
      </w:pPr>
      <w:r>
        <w:rPr>
          <w:rFonts w:ascii="Arial" w:cs="Arial" w:eastAsia="Arial" w:hAnsi="Arial"/>
          <w:sz w:val="20"/>
          <w:szCs w:val="20"/>
          <w:color w:val="010000"/>
        </w:rPr>
        <w:t>SECTION 4.01</w:t>
      </w:r>
      <w:r>
        <w:rPr>
          <w:sz w:val="20"/>
          <w:szCs w:val="20"/>
          <w:color w:val="auto"/>
        </w:rPr>
        <w:tab/>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02" w:lineRule="exact"/>
        <w:rPr>
          <w:sz w:val="20"/>
          <w:szCs w:val="20"/>
          <w:color w:val="auto"/>
        </w:rPr>
      </w:pPr>
    </w:p>
    <w:p>
      <w:pPr>
        <w:jc w:val="both"/>
        <w:ind w:left="8" w:right="20" w:firstLine="1499"/>
        <w:spacing w:after="0" w:line="249" w:lineRule="auto"/>
        <w:rPr>
          <w:sz w:val="20"/>
          <w:szCs w:val="20"/>
          <w:color w:val="auto"/>
        </w:rPr>
      </w:pPr>
      <w:r>
        <w:rPr>
          <w:rFonts w:ascii="Arial" w:cs="Arial" w:eastAsia="Arial" w:hAnsi="Arial"/>
          <w:sz w:val="20"/>
          <w:szCs w:val="20"/>
          <w:color w:val="auto"/>
        </w:rPr>
        <w:t>The obligation of each Lender to make Loans and the obligations of each Issuing Bank to issue Letters of Credit hereunder on the Effective Date shall be subject to satisfaction of the following conditions (or waiver thereof in accordance with Section 9.02):</w:t>
      </w:r>
    </w:p>
    <w:p>
      <w:pPr>
        <w:spacing w:after="0" w:line="174" w:lineRule="exact"/>
        <w:rPr>
          <w:sz w:val="20"/>
          <w:szCs w:val="20"/>
          <w:color w:val="auto"/>
        </w:rPr>
      </w:pPr>
    </w:p>
    <w:p>
      <w:pPr>
        <w:jc w:val="both"/>
        <w:ind w:left="8" w:right="60" w:firstLine="1490"/>
        <w:spacing w:after="0" w:line="246" w:lineRule="auto"/>
        <w:tabs>
          <w:tab w:leader="none" w:pos="2295"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from the Borrower and Holdings either (i) a counterpart of this Agreement signed on behalf of such party or (ii) written evidence satisfactory to the Administrative Agent (which may include facsimile or other electronic transmission of a signed counterpart of this Agreement) that such party has signed a counterpart of this Agreement.</w:t>
      </w:r>
    </w:p>
    <w:p>
      <w:pPr>
        <w:spacing w:after="0" w:line="162" w:lineRule="exact"/>
        <w:rPr>
          <w:rFonts w:ascii="Arial" w:cs="Arial" w:eastAsia="Arial" w:hAnsi="Arial"/>
          <w:sz w:val="20"/>
          <w:szCs w:val="20"/>
          <w:color w:val="auto"/>
        </w:rPr>
      </w:pPr>
    </w:p>
    <w:p>
      <w:pPr>
        <w:jc w:val="both"/>
        <w:ind w:left="8" w:firstLine="1490"/>
        <w:spacing w:after="0" w:line="249" w:lineRule="auto"/>
        <w:tabs>
          <w:tab w:leader="none" w:pos="2298"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Administrative Agent shall have received a written opinion (addressed to the Administrative Agent, the Lenders and the Issuing Banks and dated the Effective Date) of Kirkland &amp; Ellis LLP, New York counsel for the Loan Parties. Each of Holdings and the Borrower hereby requests such counsel to deliver such opinion.</w:t>
      </w:r>
    </w:p>
    <w:p>
      <w:pPr>
        <w:spacing w:after="0" w:line="174" w:lineRule="exact"/>
        <w:rPr>
          <w:rFonts w:ascii="Arial" w:cs="Arial" w:eastAsia="Arial" w:hAnsi="Arial"/>
          <w:sz w:val="20"/>
          <w:szCs w:val="20"/>
          <w:color w:val="auto"/>
        </w:rPr>
      </w:pPr>
    </w:p>
    <w:p>
      <w:pPr>
        <w:jc w:val="both"/>
        <w:ind w:left="8" w:right="80" w:firstLine="1490"/>
        <w:spacing w:after="0" w:line="244" w:lineRule="auto"/>
        <w:tabs>
          <w:tab w:leader="none" w:pos="2294"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Administrative Agent shall have received (a) a customary certificate of each Loan Party, dated the Effective Date, executed by any Responsible Officer of such Loan Party including or attaching only those documents referred to in paragraph (d) of this Section 4.01 and confirming that such documents are correct, complete and in full force and effect and have not been amended or superseded as of the Effective Date and (b) a certificate of a Responsible Officer of the Borrower certifying that the condition set forth in Section 4.01(h) has been satisfied.</w:t>
      </w:r>
    </w:p>
    <w:p>
      <w:pPr>
        <w:spacing w:after="0" w:line="193" w:lineRule="exact"/>
        <w:rPr>
          <w:sz w:val="20"/>
          <w:szCs w:val="20"/>
          <w:color w:val="auto"/>
        </w:rPr>
      </w:pPr>
    </w:p>
    <w:p>
      <w:pPr>
        <w:jc w:val="center"/>
        <w:ind w:right="12"/>
        <w:spacing w:after="0"/>
        <w:rPr>
          <w:sz w:val="20"/>
          <w:szCs w:val="20"/>
          <w:color w:val="auto"/>
        </w:rPr>
      </w:pPr>
      <w:r>
        <w:rPr>
          <w:rFonts w:ascii="Arial" w:cs="Arial" w:eastAsia="Arial" w:hAnsi="Arial"/>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8"/>
          </w:cols>
          <w:pgMar w:left="492" w:top="325" w:right="479" w:bottom="1440" w:gutter="0" w:footer="0" w:header="0"/>
        </w:sectPr>
      </w:pPr>
    </w:p>
    <w:bookmarkStart w:id="289" w:name="page290"/>
    <w:bookmarkEnd w:id="289"/>
    <w:p>
      <w:pPr>
        <w:jc w:val="both"/>
        <w:ind w:right="40" w:firstLine="1490"/>
        <w:spacing w:after="0" w:line="256" w:lineRule="auto"/>
        <w:tabs>
          <w:tab w:leader="none" w:pos="2287" w:val="left"/>
        </w:tabs>
        <w:numPr>
          <w:ilvl w:val="1"/>
          <w:numId w:val="243"/>
        </w:numPr>
        <w:rPr>
          <w:rFonts w:ascii="Arial" w:cs="Arial" w:eastAsia="Arial" w:hAnsi="Arial"/>
          <w:sz w:val="19"/>
          <w:szCs w:val="19"/>
          <w:color w:val="auto"/>
        </w:rPr>
      </w:pPr>
      <w:r>
        <w:rPr>
          <w:rFonts w:ascii="Arial" w:cs="Arial" w:eastAsia="Arial" w:hAnsi="Arial"/>
          <w:sz w:val="19"/>
          <w:szCs w:val="19"/>
          <w:color w:val="auto"/>
        </w:rPr>
        <w:t>The Administrative Agent shall have received a copy of (i) each Organizational Document of each Loan Party certified as of a recent date by the applicable Governmental Authority, (ii) signature and incumbency certificates of the Responsible Officers of each Loan Party executing the Loan Documents to which it is a party, (iii) copies of resolutions of the Board of Directors of each Loan Party approving and authorizing the execution, delivery and performance of Loan Documents to which it is a party, certified as of the Effective Date by a secretary, an assistant secretary or a Responsible Officer of such Loan Party as being in full force and effect without modification or amendment and (iv) a good standing certificate (to the extent such concept exists in the jurisdiction of incorporation, organization or formation of such Loan Party) from the applicable Governmental Authority of each Loan Party’s jurisdiction of incorporation, organization or formation.</w:t>
      </w:r>
    </w:p>
    <w:p>
      <w:pPr>
        <w:spacing w:after="0" w:line="158" w:lineRule="exact"/>
        <w:rPr>
          <w:rFonts w:ascii="Arial" w:cs="Arial" w:eastAsia="Arial" w:hAnsi="Arial"/>
          <w:sz w:val="19"/>
          <w:szCs w:val="19"/>
          <w:color w:val="auto"/>
        </w:rPr>
      </w:pPr>
    </w:p>
    <w:p>
      <w:pPr>
        <w:jc w:val="both"/>
        <w:ind w:firstLine="1467"/>
        <w:spacing w:after="0" w:line="242" w:lineRule="auto"/>
        <w:tabs>
          <w:tab w:leader="none" w:pos="2266"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Administrative Agent shall have received (or shall receive substantially contemporaneously with funding on the initial Loans hereunder) (which amounts may be funded from the proceeds of the initial Loans hereunder) all fees and other amounts previously agreed in writing by the Joint Lead Arrangers and the Borrower to be due and payable on or prior to the Effective Date and reimbursement or payment of all reasonable and documented out-of-pocket expenses (including reasonable fees, charges and disbursements of counsel to the extent required to be reimbursed pursuant to the Commitment Letter) required to be reimbursed or paid by any Loan Party under any Loan Document in the case of such expenses, to the extent invoiced at least three (3) Business Days prior to the Effective Date.</w:t>
      </w:r>
    </w:p>
    <w:p>
      <w:pPr>
        <w:spacing w:after="0" w:line="183" w:lineRule="exact"/>
        <w:rPr>
          <w:rFonts w:ascii="Arial" w:cs="Arial" w:eastAsia="Arial" w:hAnsi="Arial"/>
          <w:sz w:val="20"/>
          <w:szCs w:val="20"/>
          <w:color w:val="auto"/>
        </w:rPr>
      </w:pPr>
    </w:p>
    <w:p>
      <w:pPr>
        <w:ind w:right="60" w:firstLine="1490"/>
        <w:spacing w:after="0" w:line="260" w:lineRule="auto"/>
        <w:tabs>
          <w:tab w:leader="none" w:pos="2286" w:val="left"/>
        </w:tabs>
        <w:numPr>
          <w:ilvl w:val="0"/>
          <w:numId w:val="244"/>
        </w:numPr>
        <w:rPr>
          <w:rFonts w:ascii="Arial" w:cs="Arial" w:eastAsia="Arial" w:hAnsi="Arial"/>
          <w:sz w:val="20"/>
          <w:szCs w:val="20"/>
          <w:color w:val="auto"/>
        </w:rPr>
      </w:pPr>
      <w:r>
        <w:rPr>
          <w:rFonts w:ascii="Arial" w:cs="Arial" w:eastAsia="Arial" w:hAnsi="Arial"/>
          <w:sz w:val="20"/>
          <w:szCs w:val="20"/>
          <w:color w:val="auto"/>
        </w:rPr>
        <w:t>Holdings, the Borrower and the Subsidiary Loan Parties shall have satisfied the Collateral and Guarantee Requirement (in each case other than in accordance with Section 5.14), subject to the Funds Certain Provision.</w:t>
      </w:r>
    </w:p>
    <w:p>
      <w:pPr>
        <w:spacing w:after="0" w:line="162" w:lineRule="exact"/>
        <w:rPr>
          <w:rFonts w:ascii="Arial" w:cs="Arial" w:eastAsia="Arial" w:hAnsi="Arial"/>
          <w:sz w:val="20"/>
          <w:szCs w:val="20"/>
          <w:color w:val="auto"/>
        </w:rPr>
      </w:pPr>
    </w:p>
    <w:p>
      <w:pPr>
        <w:ind w:left="2280" w:hanging="790"/>
        <w:spacing w:after="0"/>
        <w:tabs>
          <w:tab w:leader="none" w:pos="228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Joint Lead Arrangers shall have received the Audited Financial Statements and the Pro Forma Financial</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Statements.</w:t>
      </w:r>
    </w:p>
    <w:p>
      <w:pPr>
        <w:spacing w:after="0" w:line="172" w:lineRule="exact"/>
        <w:rPr>
          <w:rFonts w:ascii="Arial" w:cs="Arial" w:eastAsia="Arial" w:hAnsi="Arial"/>
          <w:sz w:val="16"/>
          <w:szCs w:val="16"/>
          <w:color w:val="auto"/>
        </w:rPr>
      </w:pPr>
    </w:p>
    <w:p>
      <w:pPr>
        <w:ind w:right="60" w:firstLine="1490"/>
        <w:spacing w:after="0" w:line="260" w:lineRule="auto"/>
        <w:tabs>
          <w:tab w:leader="none" w:pos="2286" w:val="left"/>
        </w:tabs>
        <w:numPr>
          <w:ilvl w:val="1"/>
          <w:numId w:val="244"/>
        </w:numPr>
        <w:rPr>
          <w:rFonts w:ascii="Arial" w:cs="Arial" w:eastAsia="Arial" w:hAnsi="Arial"/>
          <w:sz w:val="20"/>
          <w:szCs w:val="20"/>
          <w:color w:val="auto"/>
        </w:rPr>
      </w:pPr>
      <w:r>
        <w:rPr>
          <w:rFonts w:ascii="Arial" w:cs="Arial" w:eastAsia="Arial" w:hAnsi="Arial"/>
          <w:sz w:val="20"/>
          <w:szCs w:val="20"/>
          <w:color w:val="auto"/>
        </w:rPr>
        <w:t>The representations and warranties of each Loan Party set forth in the Loan Documents shall be true and correct in all material respects (without duplication of any materiality qualifier therein).</w:t>
      </w:r>
    </w:p>
    <w:p>
      <w:pPr>
        <w:spacing w:after="0" w:line="162" w:lineRule="exact"/>
        <w:rPr>
          <w:rFonts w:ascii="Arial" w:cs="Arial" w:eastAsia="Arial" w:hAnsi="Arial"/>
          <w:sz w:val="20"/>
          <w:szCs w:val="20"/>
          <w:color w:val="auto"/>
        </w:rPr>
      </w:pPr>
    </w:p>
    <w:p>
      <w:pPr>
        <w:ind w:right="60" w:firstLine="1490"/>
        <w:spacing w:after="0" w:line="260" w:lineRule="auto"/>
        <w:tabs>
          <w:tab w:leader="none" w:pos="2286" w:val="left"/>
        </w:tabs>
        <w:numPr>
          <w:ilvl w:val="1"/>
          <w:numId w:val="244"/>
        </w:numPr>
        <w:rPr>
          <w:rFonts w:ascii="Arial" w:cs="Arial" w:eastAsia="Arial" w:hAnsi="Arial"/>
          <w:sz w:val="20"/>
          <w:szCs w:val="20"/>
          <w:color w:val="auto"/>
        </w:rPr>
      </w:pPr>
      <w:r>
        <w:rPr>
          <w:rFonts w:ascii="Arial" w:cs="Arial" w:eastAsia="Arial" w:hAnsi="Arial"/>
          <w:sz w:val="20"/>
          <w:szCs w:val="20"/>
          <w:color w:val="auto"/>
        </w:rPr>
        <w:t>The Debt Repayment shall have been consummated, or substantially concurrently with the initial funding of Loans on the Effective Date, shall be consummated.</w:t>
      </w:r>
    </w:p>
    <w:p>
      <w:pPr>
        <w:spacing w:after="0" w:line="162" w:lineRule="exact"/>
        <w:rPr>
          <w:rFonts w:ascii="Arial" w:cs="Arial" w:eastAsia="Arial" w:hAnsi="Arial"/>
          <w:sz w:val="20"/>
          <w:szCs w:val="20"/>
          <w:color w:val="auto"/>
        </w:rPr>
      </w:pPr>
    </w:p>
    <w:p>
      <w:pPr>
        <w:jc w:val="both"/>
        <w:ind w:right="60" w:firstLine="1490"/>
        <w:spacing w:after="0" w:line="249" w:lineRule="auto"/>
        <w:tabs>
          <w:tab w:leader="none" w:pos="2286" w:val="left"/>
        </w:tabs>
        <w:numPr>
          <w:ilvl w:val="1"/>
          <w:numId w:val="244"/>
        </w:numPr>
        <w:rPr>
          <w:rFonts w:ascii="Arial" w:cs="Arial" w:eastAsia="Arial" w:hAnsi="Arial"/>
          <w:sz w:val="20"/>
          <w:szCs w:val="20"/>
          <w:color w:val="auto"/>
        </w:rPr>
      </w:pPr>
      <w:r>
        <w:rPr>
          <w:rFonts w:ascii="Arial" w:cs="Arial" w:eastAsia="Arial" w:hAnsi="Arial"/>
          <w:sz w:val="20"/>
          <w:szCs w:val="20"/>
          <w:color w:val="auto"/>
        </w:rPr>
        <w:t>The Joint Lead Arrangers and the Lenders shall have received a certificate from a Financial Officer or other similar officer of the Borrower certifying as to the solvency of the Borrower and its Subsidiaries on a consolidated basis after giving effect to the Transactions, substantially the form of Exhibit P.</w:t>
      </w:r>
    </w:p>
    <w:p>
      <w:pPr>
        <w:spacing w:after="0" w:line="160" w:lineRule="exact"/>
        <w:rPr>
          <w:rFonts w:ascii="Arial" w:cs="Arial" w:eastAsia="Arial" w:hAnsi="Arial"/>
          <w:sz w:val="20"/>
          <w:szCs w:val="20"/>
          <w:color w:val="auto"/>
        </w:rPr>
      </w:pPr>
    </w:p>
    <w:p>
      <w:pPr>
        <w:jc w:val="both"/>
        <w:ind w:right="60" w:firstLine="1490"/>
        <w:spacing w:after="0" w:line="242" w:lineRule="auto"/>
        <w:tabs>
          <w:tab w:leader="none" w:pos="2286" w:val="left"/>
        </w:tabs>
        <w:numPr>
          <w:ilvl w:val="1"/>
          <w:numId w:val="244"/>
        </w:numPr>
        <w:rPr>
          <w:rFonts w:ascii="Arial" w:cs="Arial" w:eastAsia="Arial" w:hAnsi="Arial"/>
          <w:sz w:val="20"/>
          <w:szCs w:val="20"/>
          <w:color w:val="auto"/>
        </w:rPr>
      </w:pPr>
      <w:r>
        <w:rPr>
          <w:rFonts w:ascii="Arial" w:cs="Arial" w:eastAsia="Arial" w:hAnsi="Arial"/>
          <w:sz w:val="20"/>
          <w:szCs w:val="20"/>
          <w:color w:val="auto"/>
        </w:rPr>
        <w:t>The Administrative Agent and the Joint Lead Arrangers shall have received (x) at least three (3) Business Days prior to the Effective Date, all documentation and other information about Holdings, the Borrower and the other Effective Date Loan Parties as shall have been reasonably requested in writing at least ten (10) Business Days prior to the Effective Date by the Administrative Agent or the Joint Lead Arrangers that they reasonably determine is required by regulatory authorities under applicable “know your customer” and anti-money laundering rules and regulations, including without limitation the USA PATRIOT Act and (y) at least three business days prior to the Closing Date, to the extent the Borrower qualifies as a “legal entity customer” under 31 C.F.R. § 1010.230 (the “</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a certificate regarding beneficial ownership as required by the Beneficial Ownership Regulation with respect to the Borrower.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26" w:right="499" w:bottom="1440" w:gutter="0" w:footer="0" w:header="0"/>
        </w:sectPr>
      </w:pPr>
    </w:p>
    <w:bookmarkStart w:id="290" w:name="page291"/>
    <w:bookmarkEnd w:id="290"/>
    <w:p>
      <w:pPr>
        <w:jc w:val="both"/>
        <w:ind w:left="5" w:right="20" w:firstLine="1490"/>
        <w:spacing w:after="0" w:line="269" w:lineRule="auto"/>
        <w:tabs>
          <w:tab w:leader="none" w:pos="229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Prior to, or substantially concurrently with the initial funding of Loans on the Effective Date, not less than $105,000,000 of the Existing Convertible Notes shall have been, or shall have been irrevocably committed to be, converted to equity of Holdings in accordance with the terms of the definitive documentation with respect to the Existing Convertible Notes.</w:t>
      </w:r>
    </w:p>
    <w:p>
      <w:pPr>
        <w:spacing w:after="0" w:line="142" w:lineRule="exact"/>
        <w:rPr>
          <w:sz w:val="20"/>
          <w:szCs w:val="20"/>
          <w:color w:val="auto"/>
        </w:rPr>
      </w:pPr>
    </w:p>
    <w:p>
      <w:pPr>
        <w:jc w:val="both"/>
        <w:ind w:left="5" w:firstLine="749"/>
        <w:spacing w:after="0" w:line="254" w:lineRule="auto"/>
        <w:rPr>
          <w:sz w:val="20"/>
          <w:szCs w:val="20"/>
          <w:color w:val="auto"/>
        </w:rPr>
      </w:pPr>
      <w:r>
        <w:rPr>
          <w:rFonts w:ascii="Arial" w:cs="Arial" w:eastAsia="Arial" w:hAnsi="Arial"/>
          <w:sz w:val="19"/>
          <w:szCs w:val="19"/>
          <w:color w:val="auto"/>
        </w:rPr>
        <w:t>Notwithstanding anything herein to the contrary, it is understood that, to the extent any lien search, insurance certificate or endorsement or security interest in any Collateral is not or cannot be provided and/or perfected on the Effective Date (other than the pledge and perfection of the security interests in equity securities of the Borrower and its material, wholly owned domestic Restricted Subsidiaries (to the extent required under the terms hereof) and assets with respect to which a lien may be perfected by the filing of a financing statement under the Uniform Commercial Code)) after your use of commercially reasonable efforts to do so or without undue burden or expense, then the provision and/or delivery of any lien search, insurance certificate or endorsement or the provision and/or perfection of a security interest in such Collateral shall not constitute a condition for purposes of this Section 4.01, but instead shall be required to be provided and/or delivered within ninety (90) days after the Effective Date (or such later date as agreed by the Administrative Agent) pursuant to arrangements and timing to be mutually agreed by the Administrative Agent and the Borrower acting reasonably (or, in the case of any possessory collateral, within ninety (90) days after the Effective Date (or such later date as reasonably agreed by the Administrative Agent) giving due regard to stay at home, social distancing and other COVID-19 related measures limiting physical interaction (including any quarantine, “shelter in place,” “stay at home,” workforce reduction, facility capacity limitation, social distancing, shut down, closure, sequester, safety or similar applicable law, directive, guidelines or recommendations promulgated by any governmental authority, including the Centers for Disease Control and Prevention and the World Health Organization, in each case, in connection with or in response to the disease known as “COVID-19,” including the CARES Act and Families First Act) (the “</w:t>
      </w:r>
      <w:r>
        <w:rPr>
          <w:rFonts w:ascii="Arial" w:cs="Arial" w:eastAsia="Arial" w:hAnsi="Arial"/>
          <w:sz w:val="19"/>
          <w:szCs w:val="19"/>
          <w:u w:val="single" w:color="auto"/>
          <w:color w:val="auto"/>
        </w:rPr>
        <w:t>Funds</w:t>
      </w:r>
      <w:r>
        <w:rPr>
          <w:rFonts w:ascii="Arial" w:cs="Arial" w:eastAsia="Arial" w:hAnsi="Arial"/>
          <w:sz w:val="19"/>
          <w:szCs w:val="19"/>
          <w:color w:val="auto"/>
        </w:rPr>
        <w:t xml:space="preserve"> </w:t>
      </w:r>
      <w:r>
        <w:rPr>
          <w:rFonts w:ascii="Arial" w:cs="Arial" w:eastAsia="Arial" w:hAnsi="Arial"/>
          <w:sz w:val="19"/>
          <w:szCs w:val="19"/>
          <w:u w:val="single" w:color="auto"/>
          <w:color w:val="auto"/>
        </w:rPr>
        <w:t>Certain Provision</w:t>
      </w:r>
      <w:r>
        <w:rPr>
          <w:rFonts w:ascii="Arial" w:cs="Arial" w:eastAsia="Arial" w:hAnsi="Arial"/>
          <w:sz w:val="19"/>
          <w:szCs w:val="19"/>
          <w:color w:val="auto"/>
        </w:rPr>
        <w:t>”).</w:t>
      </w:r>
    </w:p>
    <w:p>
      <w:pPr>
        <w:spacing w:after="0" w:line="170" w:lineRule="exact"/>
        <w:rPr>
          <w:sz w:val="20"/>
          <w:szCs w:val="20"/>
          <w:color w:val="auto"/>
        </w:rPr>
      </w:pPr>
    </w:p>
    <w:p>
      <w:pPr>
        <w:ind w:left="4125"/>
        <w:spacing w:after="0"/>
        <w:tabs>
          <w:tab w:leader="none" w:pos="5684" w:val="left"/>
        </w:tabs>
        <w:rPr>
          <w:sz w:val="20"/>
          <w:szCs w:val="20"/>
          <w:color w:val="auto"/>
        </w:rPr>
      </w:pPr>
      <w:r>
        <w:rPr>
          <w:rFonts w:ascii="Arial" w:cs="Arial" w:eastAsia="Arial" w:hAnsi="Arial"/>
          <w:sz w:val="20"/>
          <w:szCs w:val="20"/>
          <w:color w:val="010000"/>
        </w:rPr>
        <w:t>SECTION 4.02</w:t>
      </w:r>
      <w:r>
        <w:rPr>
          <w:sz w:val="20"/>
          <w:szCs w:val="20"/>
          <w:color w:val="auto"/>
        </w:rPr>
        <w:tab/>
      </w:r>
      <w:r>
        <w:rPr>
          <w:rFonts w:ascii="Arial" w:cs="Arial" w:eastAsia="Arial" w:hAnsi="Arial"/>
          <w:sz w:val="16"/>
          <w:szCs w:val="16"/>
          <w:u w:val="single" w:color="auto"/>
          <w:color w:val="auto"/>
        </w:rPr>
        <w:t>Each Credit Event</w:t>
      </w:r>
      <w:r>
        <w:rPr>
          <w:rFonts w:ascii="Arial" w:cs="Arial" w:eastAsia="Arial" w:hAnsi="Arial"/>
          <w:sz w:val="16"/>
          <w:szCs w:val="16"/>
          <w:color w:val="auto"/>
        </w:rPr>
        <w:t>.</w:t>
      </w:r>
    </w:p>
    <w:p>
      <w:pPr>
        <w:spacing w:after="0" w:line="202" w:lineRule="exact"/>
        <w:rPr>
          <w:sz w:val="20"/>
          <w:szCs w:val="20"/>
          <w:color w:val="auto"/>
        </w:rPr>
      </w:pPr>
    </w:p>
    <w:p>
      <w:pPr>
        <w:jc w:val="both"/>
        <w:ind w:left="5" w:firstLine="1499"/>
        <w:spacing w:after="0" w:line="278" w:lineRule="auto"/>
        <w:rPr>
          <w:sz w:val="20"/>
          <w:szCs w:val="20"/>
          <w:color w:val="auto"/>
        </w:rPr>
      </w:pPr>
      <w:r>
        <w:rPr>
          <w:rFonts w:ascii="Arial" w:cs="Arial" w:eastAsia="Arial" w:hAnsi="Arial"/>
          <w:sz w:val="18"/>
          <w:szCs w:val="18"/>
          <w:color w:val="auto"/>
        </w:rPr>
        <w:t>After the Effective Date, subject to the provision in the last paragraph hereof, the obligation of each Lender to make a Loan on the occasion of any Borrowing, and of each Issuing Bank to issue, amend, renew or extend any Letter of Credit (other than (x) any Borrowing or issuance, amendment that increases the amount available to be drawn thereunder, renewal or extension of a Letter of Credit on the Effective Date, and (y) any Borrowing or issuance of a Letter of Credit under any Incremental Facility), is subject to receipt of the request therefor in accordance herewith and to the satisfaction of the following conditions:</w:t>
      </w:r>
    </w:p>
    <w:p>
      <w:pPr>
        <w:spacing w:after="0" w:line="136" w:lineRule="exact"/>
        <w:rPr>
          <w:sz w:val="20"/>
          <w:szCs w:val="20"/>
          <w:color w:val="auto"/>
        </w:rPr>
      </w:pPr>
    </w:p>
    <w:p>
      <w:pPr>
        <w:jc w:val="both"/>
        <w:ind w:left="5" w:right="20" w:firstLine="1490"/>
        <w:spacing w:after="0" w:line="263" w:lineRule="auto"/>
        <w:tabs>
          <w:tab w:leader="none" w:pos="2290" w:val="left"/>
        </w:tabs>
        <w:numPr>
          <w:ilvl w:val="1"/>
          <w:numId w:val="246"/>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each Loan Party set forth in the Loan Documents shall be true and correct in all material respects on and as of the date of such Borrowing or the date of issuance, amendment, renewal or extension of such Letter of Credit,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to the extent that such representations and warranties specifically refer to an earlier date, they shall be true and correct in all material respects as of such earlier date.</w:t>
      </w:r>
    </w:p>
    <w:p>
      <w:pPr>
        <w:spacing w:after="0" w:line="161" w:lineRule="exact"/>
        <w:rPr>
          <w:rFonts w:ascii="Arial" w:cs="Arial" w:eastAsia="Arial" w:hAnsi="Arial"/>
          <w:sz w:val="19"/>
          <w:szCs w:val="19"/>
          <w:color w:val="auto"/>
        </w:rPr>
      </w:pPr>
    </w:p>
    <w:p>
      <w:pPr>
        <w:ind w:left="5" w:right="20" w:firstLine="1490"/>
        <w:spacing w:after="0" w:line="315" w:lineRule="auto"/>
        <w:tabs>
          <w:tab w:leader="none" w:pos="229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the case may be, no Default or Event of Default shall have occurred and be continuing.</w:t>
      </w:r>
    </w:p>
    <w:p>
      <w:pPr>
        <w:spacing w:after="0" w:line="117" w:lineRule="exact"/>
        <w:rPr>
          <w:rFonts w:ascii="Arial" w:cs="Arial" w:eastAsia="Arial" w:hAnsi="Arial"/>
          <w:sz w:val="18"/>
          <w:szCs w:val="18"/>
          <w:color w:val="auto"/>
        </w:rPr>
      </w:pPr>
    </w:p>
    <w:p>
      <w:pPr>
        <w:ind w:left="2285" w:hanging="790"/>
        <w:spacing w:after="0"/>
        <w:tabs>
          <w:tab w:leader="none" w:pos="228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Administrative Agent and, if applicable, the relevant Issuing Bank, shall have received a Borrowing</w:t>
      </w:r>
    </w:p>
    <w:p>
      <w:pPr>
        <w:spacing w:after="0" w:line="38"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20"/>
          <w:szCs w:val="20"/>
          <w:color w:val="auto"/>
        </w:rPr>
        <w:t>request;</w:t>
      </w:r>
    </w:p>
    <w:p>
      <w:pPr>
        <w:spacing w:after="0" w:line="172" w:lineRule="exact"/>
        <w:rPr>
          <w:rFonts w:ascii="Arial" w:cs="Arial" w:eastAsia="Arial" w:hAnsi="Arial"/>
          <w:sz w:val="18"/>
          <w:szCs w:val="18"/>
          <w:color w:val="auto"/>
        </w:rPr>
      </w:pPr>
    </w:p>
    <w:p>
      <w:pPr>
        <w:ind w:left="5" w:hanging="5"/>
        <w:spacing w:after="0" w:line="315" w:lineRule="auto"/>
        <w:tabs>
          <w:tab w:leader="none" w:pos="11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provided that the conditions set forth in clauses (a) and (b) above shall not apply to any Borrowing after the Effective Date but prior to July 1, 2022, the proceeds of which are to be used directly or indirectly to pay or retire or redeem the Existing Convertible Notes.</w:t>
      </w:r>
    </w:p>
    <w:p>
      <w:pPr>
        <w:spacing w:after="0" w:line="131" w:lineRule="exact"/>
        <w:rPr>
          <w:sz w:val="20"/>
          <w:szCs w:val="20"/>
          <w:color w:val="auto"/>
        </w:rPr>
      </w:pPr>
    </w:p>
    <w:p>
      <w:pPr>
        <w:jc w:val="center"/>
        <w:ind w:right="-24"/>
        <w:spacing w:after="0"/>
        <w:rPr>
          <w:sz w:val="20"/>
          <w:szCs w:val="20"/>
          <w:color w:val="auto"/>
        </w:rPr>
      </w:pPr>
      <w:r>
        <w:rPr>
          <w:rFonts w:ascii="Arial" w:cs="Arial" w:eastAsia="Arial" w:hAnsi="Arial"/>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66040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5"/>
          </w:cols>
          <w:pgMar w:left="495" w:top="325" w:right="539" w:bottom="1440" w:gutter="0" w:footer="0" w:header="0"/>
        </w:sectPr>
      </w:pPr>
    </w:p>
    <w:bookmarkStart w:id="291" w:name="page292"/>
    <w:bookmarkEnd w:id="291"/>
    <w:p>
      <w:pPr>
        <w:jc w:val="both"/>
        <w:ind w:right="40"/>
        <w:spacing w:after="0" w:line="258" w:lineRule="auto"/>
        <w:rPr>
          <w:sz w:val="20"/>
          <w:szCs w:val="20"/>
          <w:color w:val="auto"/>
        </w:rPr>
      </w:pPr>
      <w:r>
        <w:rPr>
          <w:rFonts w:ascii="Arial" w:cs="Arial" w:eastAsia="Arial" w:hAnsi="Arial"/>
          <w:sz w:val="19"/>
          <w:szCs w:val="19"/>
          <w:color w:val="auto"/>
        </w:rPr>
        <w:t>Each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conversion or a continuation of a Borrowing shall not constitute a “Borrowing” for purposes of this Section 4.02), other than a Borrowing on the Effective Date or under any Incremental Facility or a Borrowing the proceeds of which are used to finance a Limited Condition Transaction or to redeem the Existing Convertible Notes, and each issuance, amendment, renewal or extension of a Letter of Credit (other than any issuance, amendment, renewal or extension of a Letter of Credit on the Effective Date) shall be deemed to constitute a representation and warranty by Holdings and the Borrower on the date thereof as to the matters specified in paragraphs (a) and (b) of this Section 4.02.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AFFIRMATIVE COVENANTS</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From and after the Effective Date and until the Termination Date, each of Holdings (solely in the case of Section 5.12)</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and the Borrower covenants and agrees with the Lenders that:</w:t>
      </w:r>
    </w:p>
    <w:p>
      <w:pPr>
        <w:spacing w:after="0" w:line="212" w:lineRule="exact"/>
        <w:rPr>
          <w:sz w:val="20"/>
          <w:szCs w:val="20"/>
          <w:color w:val="auto"/>
        </w:rPr>
      </w:pPr>
    </w:p>
    <w:p>
      <w:pPr>
        <w:ind w:left="4120"/>
        <w:spacing w:after="0"/>
        <w:tabs>
          <w:tab w:leader="none" w:pos="5680" w:val="left"/>
          <w:tab w:leader="none" w:pos="6860" w:val="left"/>
          <w:tab w:leader="none" w:pos="8060" w:val="left"/>
        </w:tabs>
        <w:rPr>
          <w:sz w:val="20"/>
          <w:szCs w:val="20"/>
          <w:color w:val="auto"/>
        </w:rPr>
      </w:pPr>
      <w:r>
        <w:rPr>
          <w:rFonts w:ascii="Arial" w:cs="Arial" w:eastAsia="Arial" w:hAnsi="Arial"/>
          <w:sz w:val="20"/>
          <w:szCs w:val="20"/>
          <w:color w:val="010000"/>
        </w:rPr>
        <w:t>SECTION 5.01</w:t>
      </w:r>
      <w:r>
        <w:rPr>
          <w:sz w:val="20"/>
          <w:szCs w:val="20"/>
          <w:color w:val="auto"/>
        </w:rPr>
        <w:tab/>
      </w:r>
      <w:r>
        <w:rPr>
          <w:rFonts w:ascii="Arial" w:cs="Arial" w:eastAsia="Arial" w:hAnsi="Arial"/>
          <w:sz w:val="20"/>
          <w:szCs w:val="20"/>
          <w:u w:val="single" w:color="auto"/>
          <w:color w:val="auto"/>
        </w:rPr>
        <w:t>Financial</w:t>
      </w:r>
      <w:r>
        <w:rPr>
          <w:sz w:val="20"/>
          <w:szCs w:val="20"/>
          <w:color w:val="auto"/>
        </w:rPr>
        <w:tab/>
      </w:r>
      <w:r>
        <w:rPr>
          <w:rFonts w:ascii="Arial" w:cs="Arial" w:eastAsia="Arial" w:hAnsi="Arial"/>
          <w:sz w:val="20"/>
          <w:szCs w:val="20"/>
          <w:u w:val="single" w:color="auto"/>
          <w:color w:val="auto"/>
        </w:rPr>
        <w:t>Statements</w:t>
      </w:r>
      <w:r>
        <w:rPr>
          <w:sz w:val="20"/>
          <w:szCs w:val="20"/>
          <w:color w:val="auto"/>
        </w:rPr>
        <w:tab/>
      </w:r>
      <w:r>
        <w:rPr>
          <w:rFonts w:ascii="Arial" w:cs="Arial" w:eastAsia="Arial" w:hAnsi="Arial"/>
          <w:sz w:val="18"/>
          <w:szCs w:val="18"/>
          <w:u w:val="single" w:color="auto"/>
          <w:color w:val="auto"/>
        </w:rPr>
        <w:t>and Other Information</w:t>
      </w:r>
      <w:r>
        <w:rPr>
          <w:rFonts w:ascii="Arial" w:cs="Arial" w:eastAsia="Arial" w:hAnsi="Arial"/>
          <w:sz w:val="18"/>
          <w:szCs w:val="18"/>
          <w:color w:val="auto"/>
        </w:rPr>
        <w:t>.</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The Borrower will furnish to the Administrative Agent, on behalf of each Lender:</w:t>
      </w:r>
    </w:p>
    <w:p>
      <w:pPr>
        <w:spacing w:after="0" w:line="228" w:lineRule="exact"/>
        <w:rPr>
          <w:sz w:val="20"/>
          <w:szCs w:val="20"/>
          <w:color w:val="auto"/>
        </w:rPr>
      </w:pPr>
    </w:p>
    <w:p>
      <w:pPr>
        <w:jc w:val="both"/>
        <w:ind w:right="20" w:firstLine="1490"/>
        <w:spacing w:after="0" w:line="269" w:lineRule="auto"/>
        <w:tabs>
          <w:tab w:leader="none" w:pos="228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on or before the date that is one hundred and twenty/twenty-one (120/121) days after the end of each fiscal year of Holdings commencing with the fiscal year ended December 31, 2021, audited consolidated balance sheet and audited consolidated statements of income and retained earnings and statement of cash flows of Holdings and its Subsidiaries as of the end of and for such year, and related notes thereto, setting forth in each case in comparative form the figures for the previous fiscal year and accompanied by customary management discussion and analysis, all reported on by an independent public accountant of recognized national standing (without a “going concern” or like qualification or exception and without any qualification or exception as to the scope of such audit (other than an “emphasis of matter” paragraph or any such exception, qualification or explanatory paragraph that is expressly solely with respect to, or expressly resulting solely from, (i) an upcoming maturity date of any Indebtedness that is scheduled to occur within one year from the time such report and opinion are delivered, (ii) any potential or actual inability to satisfy a financial maintenance covenant, including the Financial Performance Covenant, or (iii) the activities, operations, financial results, assets or liabilities of any Unrestricted Subsidiary)) to the effect that such consolidated financial statements present fairly in all material respects the financial condition as of the end of and for such year and results of operations and cash flows of the Borrower and its Subsidiaries on a consolidated basis in accordance with GAAP consistently applied;</w:t>
      </w:r>
    </w:p>
    <w:p>
      <w:pPr>
        <w:spacing w:after="0" w:line="193" w:lineRule="exact"/>
        <w:rPr>
          <w:rFonts w:ascii="Arial" w:cs="Arial" w:eastAsia="Arial" w:hAnsi="Arial"/>
          <w:sz w:val="18"/>
          <w:szCs w:val="18"/>
          <w:color w:val="auto"/>
        </w:rPr>
      </w:pPr>
    </w:p>
    <w:p>
      <w:pPr>
        <w:jc w:val="both"/>
        <w:ind w:firstLine="1467"/>
        <w:spacing w:after="0" w:line="256" w:lineRule="auto"/>
        <w:tabs>
          <w:tab w:leader="none" w:pos="2266" w:val="left"/>
        </w:tabs>
        <w:numPr>
          <w:ilvl w:val="0"/>
          <w:numId w:val="248"/>
        </w:numPr>
        <w:rPr>
          <w:rFonts w:ascii="Arial" w:cs="Arial" w:eastAsia="Arial" w:hAnsi="Arial"/>
          <w:sz w:val="19"/>
          <w:szCs w:val="19"/>
          <w:color w:val="auto"/>
        </w:rPr>
      </w:pPr>
      <w:r>
        <w:rPr>
          <w:rFonts w:ascii="Arial" w:cs="Arial" w:eastAsia="Arial" w:hAnsi="Arial"/>
          <w:sz w:val="19"/>
          <w:szCs w:val="19"/>
          <w:color w:val="auto"/>
        </w:rPr>
        <w:t>commencing with the financial statements for the fiscal quarter ended March 31, 2021, on or before the date that is sixty (60) days after the end of each of the first three fiscal quarters of each fiscal year of Holdings, unaudited consolidated balance sheet and unaudited consolidated statements of income and retained earnings and statement of cash flows of Holdings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and accompanied by customary management discussion and analysis, all certified by a Financial Officer as presenting fairly in all material respects the financial condition as of the end of and for such fiscal quarter and such portion of the fiscal year and results of operations and cash flows of Holdings and its Subsidiaries on a consolidated basis in accordance with GAAP consistently applied, subject to normal year-end audit adjustments and the absence of footnotes;</w:t>
      </w:r>
    </w:p>
    <w:p>
      <w:pPr>
        <w:spacing w:after="0" w:line="194" w:lineRule="exact"/>
        <w:rPr>
          <w:rFonts w:ascii="Arial" w:cs="Arial" w:eastAsia="Arial" w:hAnsi="Arial"/>
          <w:sz w:val="19"/>
          <w:szCs w:val="19"/>
          <w:color w:val="auto"/>
        </w:rPr>
      </w:pPr>
    </w:p>
    <w:p>
      <w:pPr>
        <w:jc w:val="both"/>
        <w:ind w:right="20" w:firstLine="1490"/>
        <w:spacing w:after="0" w:line="249" w:lineRule="auto"/>
        <w:tabs>
          <w:tab w:leader="none" w:pos="2288" w:val="left"/>
        </w:tabs>
        <w:numPr>
          <w:ilvl w:val="1"/>
          <w:numId w:val="248"/>
        </w:numPr>
        <w:rPr>
          <w:rFonts w:ascii="Arial" w:cs="Arial" w:eastAsia="Arial" w:hAnsi="Arial"/>
          <w:sz w:val="20"/>
          <w:szCs w:val="20"/>
          <w:color w:val="auto"/>
        </w:rPr>
      </w:pPr>
      <w:r>
        <w:rPr>
          <w:rFonts w:ascii="Arial" w:cs="Arial" w:eastAsia="Arial" w:hAnsi="Arial"/>
          <w:sz w:val="20"/>
          <w:szCs w:val="20"/>
          <w:color w:val="auto"/>
        </w:rPr>
        <w:t>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25" w:right="499" w:bottom="1440" w:gutter="0" w:footer="0" w:header="0"/>
        </w:sectPr>
      </w:pPr>
    </w:p>
    <w:bookmarkStart w:id="292" w:name="page293"/>
    <w:bookmarkEnd w:id="292"/>
    <w:p>
      <w:pPr>
        <w:jc w:val="both"/>
        <w:ind w:right="60" w:firstLine="1490"/>
        <w:spacing w:after="0" w:line="256" w:lineRule="auto"/>
        <w:tabs>
          <w:tab w:leader="none" w:pos="2286" w:val="left"/>
        </w:tabs>
        <w:numPr>
          <w:ilvl w:val="0"/>
          <w:numId w:val="249"/>
        </w:numPr>
        <w:rPr>
          <w:rFonts w:ascii="Arial" w:cs="Arial" w:eastAsia="Arial" w:hAnsi="Arial"/>
          <w:sz w:val="19"/>
          <w:szCs w:val="19"/>
          <w:color w:val="auto"/>
        </w:rPr>
      </w:pPr>
      <w:r>
        <w:rPr>
          <w:rFonts w:ascii="Arial" w:cs="Arial" w:eastAsia="Arial" w:hAnsi="Arial"/>
          <w:sz w:val="19"/>
          <w:szCs w:val="19"/>
          <w:color w:val="auto"/>
        </w:rPr>
        <w:t>not later than five (5) Business Days after any delivery of financial statements under paragraph (a) or (b) above, a certificate of a Financial Officer (i) certifying as to whether an Event of Default has occurred and is continuing and, if an Event of Default has occurred and is continuing, specifying the details thereof and any action taken or proposed to be taken with respect thereto and (ii) setting forth (I) (A) if the Financial Performance Covenant is then being tested, reasonably detailed calculations of the Financial Performance Covenant and (B) in the case of financial statements delivered under paragraph (a) above and only to the extent the Borrower would be required to prepay Term Borrowings pursuant to Section 2.11(d), beginning with the financial statements for the fiscal year of the Borrower ending December 31, 2022, a calculation of Excess Cash Flow for such fiscal year and (II) if the Applicable Rate is to be determined in accordance with Category 2 or Category 3, a calculation of the Senior Secured First Lien Net Leverage Ratio as of the last day of the applicable fiscal quarter or fiscal year;</w:t>
      </w:r>
    </w:p>
    <w:p>
      <w:pPr>
        <w:spacing w:after="0" w:line="196" w:lineRule="exact"/>
        <w:rPr>
          <w:rFonts w:ascii="Arial" w:cs="Arial" w:eastAsia="Arial" w:hAnsi="Arial"/>
          <w:sz w:val="19"/>
          <w:szCs w:val="19"/>
          <w:color w:val="auto"/>
        </w:rPr>
      </w:pPr>
    </w:p>
    <w:p>
      <w:pPr>
        <w:ind w:left="2240" w:hanging="750"/>
        <w:spacing w:after="0"/>
        <w:tabs>
          <w:tab w:leader="none" w:pos="22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[reserved];</w:t>
      </w:r>
    </w:p>
    <w:p>
      <w:pPr>
        <w:spacing w:after="0" w:line="228" w:lineRule="exact"/>
        <w:rPr>
          <w:rFonts w:ascii="Arial" w:cs="Arial" w:eastAsia="Arial" w:hAnsi="Arial"/>
          <w:sz w:val="20"/>
          <w:szCs w:val="20"/>
          <w:color w:val="auto"/>
        </w:rPr>
      </w:pPr>
    </w:p>
    <w:p>
      <w:pPr>
        <w:jc w:val="both"/>
        <w:ind w:right="60" w:firstLine="1490"/>
        <w:spacing w:after="0" w:line="243" w:lineRule="auto"/>
        <w:tabs>
          <w:tab w:leader="none" w:pos="2286"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to the extent the Borrower is required to or voluntarily does file such documents with the SEC or with any national securities exchange, 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the Borrower or any Restricted Subsidiary with the SEC or with any national securities exchange; and</w:t>
      </w:r>
    </w:p>
    <w:p>
      <w:pPr>
        <w:spacing w:after="0" w:line="207" w:lineRule="exact"/>
        <w:rPr>
          <w:rFonts w:ascii="Arial" w:cs="Arial" w:eastAsia="Arial" w:hAnsi="Arial"/>
          <w:sz w:val="20"/>
          <w:szCs w:val="20"/>
          <w:color w:val="auto"/>
        </w:rPr>
      </w:pPr>
    </w:p>
    <w:p>
      <w:pPr>
        <w:jc w:val="both"/>
        <w:ind w:right="60" w:firstLine="1490"/>
        <w:spacing w:after="0" w:line="242" w:lineRule="auto"/>
        <w:tabs>
          <w:tab w:leader="none" w:pos="2286"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promptly following any request therefor, such other information regarding the operations, business affairs and financial condition of Holdings, the Borrower or any Restricted Subsidiary, as the Administrative Agent may reasonably request in writing, in each case subject to the limitations set forth below and in </w:t>
      </w:r>
      <w:r>
        <w:rPr>
          <w:rFonts w:ascii="Arial" w:cs="Arial" w:eastAsia="Arial" w:hAnsi="Arial"/>
          <w:sz w:val="20"/>
          <w:szCs w:val="20"/>
          <w:u w:val="single" w:color="auto"/>
          <w:color w:val="auto"/>
        </w:rPr>
        <w:t>Sections 5.08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9.12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none of the Borrower nor any Restricted Subsidiary will be required to disclose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(iii) that is subject to attorney client or similar privilege or constitutes attorney work product or (iv) constitutes Material Non-Public Information as reasonably determined by the Borrower;</w:t>
      </w:r>
    </w:p>
    <w:p>
      <w:pPr>
        <w:spacing w:after="0" w:line="208" w:lineRule="exact"/>
        <w:rPr>
          <w:sz w:val="20"/>
          <w:szCs w:val="20"/>
          <w:color w:val="auto"/>
        </w:rPr>
      </w:pPr>
    </w:p>
    <w:p>
      <w:pPr>
        <w:jc w:val="both"/>
        <w:ind w:firstLine="1499"/>
        <w:spacing w:after="0" w:line="254" w:lineRule="auto"/>
        <w:rPr>
          <w:sz w:val="20"/>
          <w:szCs w:val="20"/>
          <w:color w:val="auto"/>
        </w:rPr>
      </w:pPr>
      <w:r>
        <w:rPr>
          <w:rFonts w:ascii="Arial" w:cs="Arial" w:eastAsia="Arial" w:hAnsi="Arial"/>
          <w:sz w:val="19"/>
          <w:szCs w:val="19"/>
          <w:color w:val="auto"/>
        </w:rPr>
        <w:t>Notwithstanding the foregoing, the obligations in paragraphs (a) and (b) of this Section 5.01 may be satisfied with respect to financial information of the Borrower and its Subsidiaries by furnishing (x) the applicable financial statements of (i) any Holdings Parent that, directly or indirectly, holds all of the Equity Interests of the Borrower and holds no other material assets other than the Equity Interests of Holdings or (ii) any Wholly Owned Restricted Subsidiary of the Borrower that, together with its consolidated Restricted Subsidiaries, constitutes substantially all of the assets of the Borrower and its consolidated Subsidiaries (a “</w:t>
      </w:r>
      <w:r>
        <w:rPr>
          <w:rFonts w:ascii="Arial" w:cs="Arial" w:eastAsia="Arial" w:hAnsi="Arial"/>
          <w:sz w:val="19"/>
          <w:szCs w:val="19"/>
          <w:u w:val="single" w:color="auto"/>
          <w:color w:val="auto"/>
        </w:rPr>
        <w:t>Qualified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Reporting Subsidiary</w:t>
      </w:r>
      <w:r>
        <w:rPr>
          <w:rFonts w:ascii="Arial" w:cs="Arial" w:eastAsia="Arial" w:hAnsi="Arial"/>
          <w:sz w:val="19"/>
          <w:szCs w:val="19"/>
          <w:color w:val="auto"/>
        </w:rPr>
        <w:t xml:space="preserve">”) or (y) the Form 10-K or 10-Q (or the equivalent), as applicable, of the Borrower (or Holdings or any Holdings Parent) filed with the SEC within the applicable time periods required by applicable law and regulations (including any extended deadlines available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to the extent such information relates to any Holdings Parent, or any Qualified Reporting Subsidiary, such information is accompanied by consolidating information, which may be unaudited, that explains in reasonable detail the differences between the information relating to such parent or Qualified Reporting Subsidiary, on the one hand, and the information relating to Holdings and its Subsidiaries on a standalone basis, on the other hand, and (ii) to the extent such information is in lieu of information required to be provided under Section 5.01(a),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93" w:name="page294"/>
    <w:bookmarkEnd w:id="293"/>
    <w:p>
      <w:pPr>
        <w:jc w:val="both"/>
        <w:ind w:left="5"/>
        <w:spacing w:after="0" w:line="244" w:lineRule="auto"/>
        <w:rPr>
          <w:sz w:val="20"/>
          <w:szCs w:val="20"/>
          <w:color w:val="auto"/>
        </w:rPr>
      </w:pPr>
      <w:r>
        <w:rPr>
          <w:rFonts w:ascii="Arial" w:cs="Arial" w:eastAsia="Arial" w:hAnsi="Arial"/>
          <w:sz w:val="20"/>
          <w:szCs w:val="20"/>
          <w:color w:val="auto"/>
        </w:rPr>
        <w:t>scope of such audit (other than an “emphasis of matter” paragraph or any such exception, qualification or explanatory paragraph that is expressly solely with respect to, or expressly resulting solely from, (i) an upcoming maturity date under any Indebtedness that is scheduled to occur within one year from the time such report and opinion are delivered, (ii) any potential or actual inability to satisfy a financial maintenance covenant, including the Financial Performance Covenant, or (iii) the activities, operations, financial results, assets or liabilities of any Unrestricted Subsidiary)).</w:t>
      </w:r>
    </w:p>
    <w:p>
      <w:pPr>
        <w:spacing w:after="0" w:line="208" w:lineRule="exact"/>
        <w:rPr>
          <w:sz w:val="20"/>
          <w:szCs w:val="20"/>
          <w:color w:val="auto"/>
        </w:rPr>
      </w:pPr>
    </w:p>
    <w:p>
      <w:pPr>
        <w:jc w:val="both"/>
        <w:ind w:left="5" w:right="20" w:firstLine="1499"/>
        <w:spacing w:after="0" w:line="270" w:lineRule="auto"/>
        <w:rPr>
          <w:sz w:val="20"/>
          <w:szCs w:val="20"/>
          <w:color w:val="auto"/>
        </w:rPr>
      </w:pPr>
      <w:r>
        <w:rPr>
          <w:rFonts w:ascii="Arial" w:cs="Arial" w:eastAsia="Arial" w:hAnsi="Arial"/>
          <w:sz w:val="18"/>
          <w:szCs w:val="18"/>
          <w:color w:val="auto"/>
        </w:rPr>
        <w:t>Documents required to be delivered pursuant to Section 5.01(a), (b) or (f) (to the extent any such documents are included in materials otherwise filed with the SEC) may be delivered electronically and if so delivered, shall be deemed to have been delivered on the date (i) on which Holdings or the Borrower posts such documents, or provides a link thereto on Holdings’ or the Borrower’s website on the Internet at the website address listed on Schedule 9.01 (or otherwise notified pursuant to Section 9.01(d)); or</w:t>
      </w:r>
    </w:p>
    <w:p>
      <w:pPr>
        <w:spacing w:after="0" w:line="1" w:lineRule="exact"/>
        <w:rPr>
          <w:sz w:val="20"/>
          <w:szCs w:val="20"/>
          <w:color w:val="auto"/>
        </w:rPr>
      </w:pPr>
    </w:p>
    <w:p>
      <w:pPr>
        <w:jc w:val="both"/>
        <w:ind w:left="5" w:right="20" w:hanging="5"/>
        <w:spacing w:after="0" w:line="270" w:lineRule="auto"/>
        <w:tabs>
          <w:tab w:leader="none" w:pos="30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on which such documents are posted on Holdings’ or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deliver paper copies of such documents to the Administrative Agent upon its reasonable request until a written notice to cease delivering paper copies is given by the Administrative Agent and (ii) the Borrower shall notify the Administrative Agent (by fax or electronic mail) of the posting of any such documents and upon its reasonable request, provide to the Administrative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84" w:lineRule="exact"/>
        <w:rPr>
          <w:sz w:val="20"/>
          <w:szCs w:val="20"/>
          <w:color w:val="auto"/>
        </w:rPr>
      </w:pPr>
    </w:p>
    <w:p>
      <w:pPr>
        <w:jc w:val="both"/>
        <w:ind w:left="5" w:firstLine="1499"/>
        <w:spacing w:after="0" w:line="249" w:lineRule="auto"/>
        <w:rPr>
          <w:sz w:val="20"/>
          <w:szCs w:val="20"/>
          <w:color w:val="auto"/>
        </w:rPr>
      </w:pPr>
      <w:r>
        <w:rPr>
          <w:rFonts w:ascii="Arial" w:cs="Arial" w:eastAsia="Arial" w:hAnsi="Arial"/>
          <w:sz w:val="20"/>
          <w:szCs w:val="20"/>
          <w:color w:val="auto"/>
        </w:rPr>
        <w:t>Any financial statements required to be delivered pursuant to Sections 5.01(a), (b) or (f) shall not be required to contain all purchase accounting adjustments relating to the Transactions or any other transaction(s) permitted hereunder to the extent it is not practicable to include any such adjustments in such financial statements.</w:t>
      </w:r>
    </w:p>
    <w:p>
      <w:pPr>
        <w:spacing w:after="0" w:line="201" w:lineRule="exact"/>
        <w:rPr>
          <w:sz w:val="20"/>
          <w:szCs w:val="20"/>
          <w:color w:val="auto"/>
        </w:rPr>
      </w:pPr>
    </w:p>
    <w:p>
      <w:pPr>
        <w:jc w:val="both"/>
        <w:ind w:left="5" w:right="60" w:firstLine="1499"/>
        <w:spacing w:after="0" w:line="290" w:lineRule="auto"/>
        <w:rPr>
          <w:sz w:val="20"/>
          <w:szCs w:val="20"/>
          <w:color w:val="auto"/>
        </w:rPr>
      </w:pPr>
      <w:r>
        <w:rPr>
          <w:rFonts w:ascii="Arial" w:cs="Arial" w:eastAsia="Arial" w:hAnsi="Arial"/>
          <w:sz w:val="18"/>
          <w:szCs w:val="18"/>
          <w:color w:val="auto"/>
        </w:rPr>
        <w:t>Each Lender and the Administrative Agent hereby acknowledges and agrees that the Borrower and its Subsidiaries may be required to restate historical financial statements as the result of the implementation of changes in GAAP, or the respective interpretation thereof, and that such restatements will not result in a Default or an Event of Default under the Loan Documents.</w:t>
      </w:r>
    </w:p>
    <w:p>
      <w:pPr>
        <w:spacing w:after="0" w:line="369"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66040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5"/>
          </w:cols>
          <w:pgMar w:left="495" w:top="122" w:right="499" w:bottom="1440" w:gutter="0" w:footer="0" w:header="0"/>
        </w:sectPr>
      </w:pPr>
    </w:p>
    <w:bookmarkStart w:id="294" w:name="page295"/>
    <w:bookmarkEnd w:id="294"/>
    <w:p>
      <w:pPr>
        <w:jc w:val="both"/>
        <w:ind w:left="5" w:firstLine="1499"/>
        <w:spacing w:after="0" w:line="272" w:lineRule="auto"/>
        <w:rPr>
          <w:sz w:val="20"/>
          <w:szCs w:val="20"/>
          <w:color w:val="auto"/>
        </w:rPr>
      </w:pPr>
      <w:r>
        <w:rPr>
          <w:rFonts w:ascii="Arial" w:cs="Arial" w:eastAsia="Arial" w:hAnsi="Arial"/>
          <w:sz w:val="18"/>
          <w:szCs w:val="18"/>
          <w:color w:val="auto"/>
        </w:rPr>
        <w:t>The Borrower hereby acknowledges that (a) the Administrative Agent and/or the Joint Lead Arrangers may make available to the Lenders and the Issuing Banks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or another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w:t>
      </w:r>
    </w:p>
    <w:p>
      <w:pPr>
        <w:spacing w:after="0" w:line="1" w:lineRule="exact"/>
        <w:rPr>
          <w:sz w:val="20"/>
          <w:szCs w:val="20"/>
          <w:color w:val="auto"/>
        </w:rPr>
      </w:pPr>
    </w:p>
    <w:p>
      <w:pPr>
        <w:jc w:val="both"/>
        <w:ind w:left="5" w:hanging="5"/>
        <w:spacing w:after="0" w:line="268" w:lineRule="auto"/>
        <w:tabs>
          <w:tab w:leader="none" w:pos="2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and who may be engaged in investment and other market-related activities with respect to the Borrower’s or their Affiliates’ securities. The Borrower hereby agrees that they will use commercially reasonable efforts to identify that portion of the Borrower Materials that may be distributed to the Public Lenders and that (w) by marking Borrower Materials “PUBLIC,” the Borrower shall be deemed to have authorized the Administrative Agent, the Joint Lead Arrangers, the Issuing Banks and the Lenders to treat such Borrower Materials as not containing any Material Non-Public Information (although it may be sensitive and proprietary)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such Borrower Materials constitute Information, they shall be treated as set forth in Section 9.12); (x) all Borrower Materials marked “PUBLIC” are permitted to be made available through a portion of the Platform designated “Public Side Information”; and (y) the Administrative Agent and the Joint Lead Arrangers shall be entitled to treat the Borrower Materials that are not marked “PUBLIC” as being suitable only for posting on a portion of the Platform not designated “Public Side Information”. Each Loan Party hereby acknowledges and agrees that, unless the Borrower notifies the Administrative Agent in advance, all financial statements and certificates furnished pursuant to Sections 5.01(a), (b) and (c) above are hereby deemed to be suitable for distribution, and to be made available, to all Lenders and may be treated by the Administrative Agent and the Lenders as not containing any Material Non-Public Information and all other information shall be assumed to contain Material Non-Public Information.</w:t>
      </w:r>
    </w:p>
    <w:p>
      <w:pPr>
        <w:spacing w:after="0" w:line="187" w:lineRule="exact"/>
        <w:rPr>
          <w:sz w:val="20"/>
          <w:szCs w:val="20"/>
          <w:color w:val="auto"/>
        </w:rPr>
      </w:pPr>
    </w:p>
    <w:p>
      <w:pPr>
        <w:jc w:val="both"/>
        <w:ind w:left="5" w:right="20" w:firstLine="1499"/>
        <w:spacing w:after="0" w:line="272" w:lineRule="auto"/>
        <w:rPr>
          <w:sz w:val="20"/>
          <w:szCs w:val="20"/>
          <w:color w:val="auto"/>
        </w:rPr>
      </w:pPr>
      <w:r>
        <w:rPr>
          <w:rFonts w:ascii="Arial" w:cs="Arial" w:eastAsia="Arial" w:hAnsi="Arial"/>
          <w:sz w:val="18"/>
          <w:szCs w:val="18"/>
          <w:color w:val="auto"/>
        </w:rPr>
        <w:t xml:space="preserve">Notwithstanding anything to the contrary herein, neither Holdings nor any Subsidiary shall be required to deliver, disclose, permit the inspection, examination or making of copies of or excerpts from, or any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applicable law, fiduciary duty or binding agreement, (iii) that is subject to attorney-client or similar privilege or constitutes attorney work product or (iv) with respect to which any Loan Party or any Subsidiary owes confidentiality obligations (to the extent not created in contemplation of such Loan Party’s or Subsidiary’s obligations under this Section 5.01) to any third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you do not provide information in reliance on the exclusions in this sentence, you shall use your commercially reasonable efforts to provide notice to the Administrative Agent promptly upon obtaining knowledge that such information is being withheld.</w:t>
      </w:r>
    </w:p>
    <w:p>
      <w:pPr>
        <w:spacing w:after="0" w:line="181" w:lineRule="exact"/>
        <w:rPr>
          <w:sz w:val="20"/>
          <w:szCs w:val="20"/>
          <w:color w:val="auto"/>
        </w:rPr>
      </w:pPr>
    </w:p>
    <w:p>
      <w:pPr>
        <w:ind w:left="4125"/>
        <w:spacing w:after="0"/>
        <w:tabs>
          <w:tab w:leader="none" w:pos="5684" w:val="left"/>
        </w:tabs>
        <w:rPr>
          <w:sz w:val="20"/>
          <w:szCs w:val="20"/>
          <w:color w:val="auto"/>
        </w:rPr>
      </w:pPr>
      <w:r>
        <w:rPr>
          <w:rFonts w:ascii="Arial" w:cs="Arial" w:eastAsia="Arial" w:hAnsi="Arial"/>
          <w:sz w:val="20"/>
          <w:szCs w:val="20"/>
          <w:color w:val="010000"/>
        </w:rPr>
        <w:t>SECTION 5.02</w:t>
      </w:r>
      <w:r>
        <w:rPr>
          <w:sz w:val="20"/>
          <w:szCs w:val="20"/>
          <w:color w:val="auto"/>
        </w:rPr>
        <w:tab/>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w:t>
      </w:r>
    </w:p>
    <w:p>
      <w:pPr>
        <w:spacing w:after="0" w:line="228" w:lineRule="exact"/>
        <w:rPr>
          <w:sz w:val="20"/>
          <w:szCs w:val="20"/>
          <w:color w:val="auto"/>
        </w:rPr>
      </w:pPr>
    </w:p>
    <w:p>
      <w:pPr>
        <w:ind w:left="5" w:right="60" w:firstLine="1499"/>
        <w:spacing w:after="0" w:line="315" w:lineRule="auto"/>
        <w:rPr>
          <w:sz w:val="20"/>
          <w:szCs w:val="20"/>
          <w:color w:val="auto"/>
        </w:rPr>
      </w:pPr>
      <w:r>
        <w:rPr>
          <w:rFonts w:ascii="Arial" w:cs="Arial" w:eastAsia="Arial" w:hAnsi="Arial"/>
          <w:sz w:val="18"/>
          <w:szCs w:val="18"/>
          <w:color w:val="auto"/>
        </w:rPr>
        <w:t>Promptly after any Responsible Officer of the Borrower obtains actual knowledge thereof, the Borrower will furnish to the Administrative Agent (for distribution to each Lender through the Administrative Agent) written notice of the following:</w:t>
      </w:r>
    </w:p>
    <w:p>
      <w:pPr>
        <w:spacing w:after="0" w:line="144" w:lineRule="exact"/>
        <w:rPr>
          <w:sz w:val="20"/>
          <w:szCs w:val="20"/>
          <w:color w:val="auto"/>
        </w:rPr>
      </w:pPr>
    </w:p>
    <w:p>
      <w:pPr>
        <w:ind w:left="2245" w:hanging="750"/>
        <w:spacing w:after="0"/>
        <w:tabs>
          <w:tab w:leader="none" w:pos="2245" w:val="left"/>
        </w:tabs>
        <w:numPr>
          <w:ilvl w:val="1"/>
          <w:numId w:val="252"/>
        </w:numPr>
        <w:rPr>
          <w:rFonts w:ascii="Arial" w:cs="Arial" w:eastAsia="Arial" w:hAnsi="Arial"/>
          <w:sz w:val="20"/>
          <w:szCs w:val="20"/>
          <w:color w:val="auto"/>
        </w:rPr>
      </w:pPr>
      <w:r>
        <w:rPr>
          <w:rFonts w:ascii="Arial" w:cs="Arial" w:eastAsia="Arial" w:hAnsi="Arial"/>
          <w:sz w:val="20"/>
          <w:szCs w:val="20"/>
          <w:color w:val="auto"/>
        </w:rPr>
        <w:t>the occurrence of any Event of Default;</w:t>
      </w:r>
    </w:p>
    <w:p>
      <w:pPr>
        <w:spacing w:after="0" w:line="228" w:lineRule="exact"/>
        <w:rPr>
          <w:rFonts w:ascii="Arial" w:cs="Arial" w:eastAsia="Arial" w:hAnsi="Arial"/>
          <w:sz w:val="20"/>
          <w:szCs w:val="20"/>
          <w:color w:val="auto"/>
        </w:rPr>
      </w:pPr>
    </w:p>
    <w:p>
      <w:pPr>
        <w:jc w:val="both"/>
        <w:ind w:left="5" w:firstLine="1467"/>
        <w:spacing w:after="0" w:line="263" w:lineRule="auto"/>
        <w:tabs>
          <w:tab w:leader="none" w:pos="2271" w:val="left"/>
        </w:tabs>
        <w:numPr>
          <w:ilvl w:val="0"/>
          <w:numId w:val="253"/>
        </w:numPr>
        <w:rPr>
          <w:rFonts w:ascii="Arial" w:cs="Arial" w:eastAsia="Arial" w:hAnsi="Arial"/>
          <w:sz w:val="19"/>
          <w:szCs w:val="19"/>
          <w:color w:val="auto"/>
        </w:rPr>
      </w:pPr>
      <w:r>
        <w:rPr>
          <w:rFonts w:ascii="Arial" w:cs="Arial" w:eastAsia="Arial" w:hAnsi="Arial"/>
          <w:sz w:val="19"/>
          <w:szCs w:val="19"/>
          <w:color w:val="auto"/>
        </w:rPr>
        <w:t>to the extent permissible by Requirements of Law, the filing or commencement of any action, suit or proceeding by or before any arbitrator or Governmental Authority against or, to the knowledge of a Financial Officer or another executive officer the Borrower or any Subsidiary, affecting Holdings, the Borrower or any Subsidiary or the receipt of a written notice of an Environmental Liability, in each case that would reasonably be expected to result in a Material Adverse Effect; and</w:t>
      </w:r>
    </w:p>
    <w:p>
      <w:pPr>
        <w:spacing w:after="0" w:line="391"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66040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5"/>
          </w:cols>
          <w:pgMar w:left="495" w:top="122" w:right="499" w:bottom="1440" w:gutter="0" w:footer="0" w:header="0"/>
        </w:sectPr>
      </w:pPr>
    </w:p>
    <w:bookmarkStart w:id="295" w:name="page296"/>
    <w:bookmarkEnd w:id="295"/>
    <w:p>
      <w:pPr>
        <w:ind w:right="60" w:firstLine="1490"/>
        <w:spacing w:after="0" w:line="261" w:lineRule="auto"/>
        <w:tabs>
          <w:tab w:leader="none" w:pos="2286"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the occurrence of any ERISA Event or ERISA Events that would reasonably be expected, individually or in the aggregate, to result in a Material Adverse Effect.</w:t>
      </w:r>
    </w:p>
    <w:p>
      <w:pPr>
        <w:spacing w:after="0" w:line="189" w:lineRule="exact"/>
        <w:rPr>
          <w:sz w:val="20"/>
          <w:szCs w:val="20"/>
          <w:color w:val="auto"/>
        </w:rPr>
      </w:pPr>
    </w:p>
    <w:p>
      <w:pPr>
        <w:jc w:val="both"/>
        <w:ind w:right="60"/>
        <w:spacing w:after="0" w:line="249" w:lineRule="auto"/>
        <w:rPr>
          <w:sz w:val="20"/>
          <w:szCs w:val="20"/>
          <w:color w:val="auto"/>
        </w:rPr>
      </w:pPr>
      <w:r>
        <w:rPr>
          <w:rFonts w:ascii="Arial" w:cs="Arial" w:eastAsia="Arial" w:hAnsi="Arial"/>
          <w:sz w:val="20"/>
          <w:szCs w:val="20"/>
          <w:color w:val="auto"/>
        </w:rPr>
        <w:t>Each notice delivered under this Section 5.02 shall be accompanied by a written statement of a Responsible Officer of the Borrower setting forth the details of the event or development requiring such notice and any action taken or proposed to be taken with respect thereto.</w:t>
      </w:r>
    </w:p>
    <w:p>
      <w:pPr>
        <w:spacing w:after="0" w:line="201"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5.03</w:t>
      </w:r>
      <w:r>
        <w:rPr>
          <w:sz w:val="20"/>
          <w:szCs w:val="20"/>
          <w:color w:val="auto"/>
        </w:rPr>
        <w:tab/>
      </w: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w:t>
      </w:r>
    </w:p>
    <w:p>
      <w:pPr>
        <w:spacing w:after="0" w:line="228" w:lineRule="exact"/>
        <w:rPr>
          <w:sz w:val="20"/>
          <w:szCs w:val="20"/>
          <w:color w:val="auto"/>
        </w:rPr>
      </w:pPr>
    </w:p>
    <w:p>
      <w:pPr>
        <w:jc w:val="both"/>
        <w:ind w:right="60" w:firstLine="1490"/>
        <w:spacing w:after="0" w:line="243" w:lineRule="auto"/>
        <w:tabs>
          <w:tab w:leader="none" w:pos="2286" w:val="left"/>
        </w:tabs>
        <w:numPr>
          <w:ilvl w:val="1"/>
          <w:numId w:val="255"/>
        </w:numPr>
        <w:rPr>
          <w:rFonts w:ascii="Arial" w:cs="Arial" w:eastAsia="Arial" w:hAnsi="Arial"/>
          <w:sz w:val="20"/>
          <w:szCs w:val="20"/>
          <w:color w:val="auto"/>
        </w:rPr>
      </w:pPr>
      <w:r>
        <w:rPr>
          <w:rFonts w:ascii="Arial" w:cs="Arial" w:eastAsia="Arial" w:hAnsi="Arial"/>
          <w:sz w:val="20"/>
          <w:szCs w:val="20"/>
          <w:color w:val="auto"/>
        </w:rPr>
        <w:t>The Borrower will furnish to the Administrative Agent prompt (and in any event within forty-five (45) days after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207" w:lineRule="exact"/>
        <w:rPr>
          <w:rFonts w:ascii="Arial" w:cs="Arial" w:eastAsia="Arial" w:hAnsi="Arial"/>
          <w:sz w:val="20"/>
          <w:szCs w:val="20"/>
          <w:color w:val="auto"/>
        </w:rPr>
      </w:pPr>
    </w:p>
    <w:p>
      <w:pPr>
        <w:jc w:val="both"/>
        <w:ind w:firstLine="1467"/>
        <w:spacing w:after="0" w:line="249" w:lineRule="auto"/>
        <w:tabs>
          <w:tab w:leader="none" w:pos="2266"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The Borrower shall provide in each Compliance Certificate delivered pursuant to Section 5.01(d) any changes, if any, to Schedule III to the Collateral Agreement as required to make such schedules accurate as of the last day of the fiscal quarter for which such Compliance Certificate is delivered.</w:t>
      </w:r>
    </w:p>
    <w:p>
      <w:pPr>
        <w:spacing w:after="0" w:line="201" w:lineRule="exact"/>
        <w:rPr>
          <w:sz w:val="20"/>
          <w:szCs w:val="20"/>
          <w:color w:val="auto"/>
        </w:rPr>
      </w:pPr>
    </w:p>
    <w:p>
      <w:pPr>
        <w:jc w:val="center"/>
        <w:ind w:left="1480"/>
        <w:spacing w:after="0"/>
        <w:tabs>
          <w:tab w:leader="none" w:pos="340" w:val="left"/>
        </w:tabs>
        <w:rPr>
          <w:sz w:val="20"/>
          <w:szCs w:val="20"/>
          <w:color w:val="auto"/>
        </w:rPr>
      </w:pPr>
      <w:r>
        <w:rPr>
          <w:rFonts w:ascii="Arial" w:cs="Arial" w:eastAsia="Arial" w:hAnsi="Arial"/>
          <w:sz w:val="20"/>
          <w:szCs w:val="20"/>
          <w:color w:val="010000"/>
        </w:rPr>
        <w:t>SECTION 5.04</w:t>
      </w:r>
      <w:r>
        <w:rPr>
          <w:sz w:val="20"/>
          <w:szCs w:val="20"/>
          <w:color w:val="auto"/>
        </w:rPr>
        <w:tab/>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w:t>
      </w:r>
    </w:p>
    <w:p>
      <w:pPr>
        <w:spacing w:after="0" w:line="228" w:lineRule="exact"/>
        <w:rPr>
          <w:sz w:val="20"/>
          <w:szCs w:val="20"/>
          <w:color w:val="auto"/>
        </w:rPr>
      </w:pPr>
    </w:p>
    <w:p>
      <w:pPr>
        <w:jc w:val="both"/>
        <w:ind w:right="60" w:firstLine="1499"/>
        <w:spacing w:after="0" w:line="258" w:lineRule="auto"/>
        <w:rPr>
          <w:sz w:val="20"/>
          <w:szCs w:val="20"/>
          <w:color w:val="auto"/>
        </w:rPr>
      </w:pPr>
      <w:r>
        <w:rPr>
          <w:rFonts w:ascii="Arial" w:cs="Arial" w:eastAsia="Arial" w:hAnsi="Arial"/>
          <w:sz w:val="19"/>
          <w:szCs w:val="19"/>
          <w:color w:val="auto"/>
        </w:rPr>
        <w:t xml:space="preserve">The Borrower will, and will cause each Restricted Subsidiary to, do or cause to be done all things necessary to obtain, preserve, renew and keep in full force and effect its legal existence and the rights, licenses, FCC Licenses, permits, privileges, franchises, Intellectual Property and Governmental Approvals material to the conduct of its business, except to the extent (other than with respect to the preservation of the existence of the Borrower) that the failure to do so could not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any merger, amalgamation, consolidation, liquidation or dissolution permitted under Section 6.03 or any Disposition permitted by Section 6.05.</w:t>
      </w:r>
    </w:p>
    <w:p>
      <w:pPr>
        <w:spacing w:after="0" w:line="195"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5.05</w:t>
      </w:r>
      <w:r>
        <w:rPr>
          <w:sz w:val="20"/>
          <w:szCs w:val="20"/>
          <w:color w:val="auto"/>
        </w:rPr>
        <w:tab/>
      </w:r>
      <w:r>
        <w:rPr>
          <w:rFonts w:ascii="Arial" w:cs="Arial" w:eastAsia="Arial" w:hAnsi="Arial"/>
          <w:sz w:val="16"/>
          <w:szCs w:val="16"/>
          <w:u w:val="single" w:color="auto"/>
          <w:color w:val="auto"/>
        </w:rPr>
        <w:t>Payment of Taxes, etc.</w:t>
      </w:r>
    </w:p>
    <w:p>
      <w:pPr>
        <w:spacing w:after="0" w:line="228" w:lineRule="exact"/>
        <w:rPr>
          <w:sz w:val="20"/>
          <w:szCs w:val="20"/>
          <w:color w:val="auto"/>
        </w:rPr>
      </w:pPr>
    </w:p>
    <w:p>
      <w:pPr>
        <w:jc w:val="both"/>
        <w:ind w:right="40" w:firstLine="1499"/>
        <w:spacing w:after="0" w:line="244" w:lineRule="auto"/>
        <w:rPr>
          <w:sz w:val="20"/>
          <w:szCs w:val="20"/>
          <w:color w:val="auto"/>
        </w:rPr>
      </w:pPr>
      <w:r>
        <w:rPr>
          <w:rFonts w:ascii="Arial" w:cs="Arial" w:eastAsia="Arial" w:hAnsi="Arial"/>
          <w:sz w:val="20"/>
          <w:szCs w:val="20"/>
          <w:color w:val="auto"/>
        </w:rPr>
        <w:t>The Borrower will, and will cause each Restricted Subsidiary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Borrower or any of their respective Subsidiaries or (b) the failure to make payment could not reasonably be expected, individually or in the aggregate, to result in a Material Adverse Effect.</w:t>
      </w:r>
    </w:p>
    <w:p>
      <w:pPr>
        <w:spacing w:after="0" w:line="206"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5.06</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pacing w:after="0" w:line="228" w:lineRule="exact"/>
        <w:rPr>
          <w:sz w:val="20"/>
          <w:szCs w:val="20"/>
          <w:color w:val="auto"/>
        </w:rPr>
      </w:pPr>
    </w:p>
    <w:p>
      <w:pPr>
        <w:jc w:val="both"/>
        <w:ind w:right="60" w:firstLine="1499"/>
        <w:spacing w:after="0" w:line="290" w:lineRule="auto"/>
        <w:rPr>
          <w:sz w:val="20"/>
          <w:szCs w:val="20"/>
          <w:color w:val="auto"/>
        </w:rPr>
      </w:pPr>
      <w:r>
        <w:rPr>
          <w:rFonts w:ascii="Arial" w:cs="Arial" w:eastAsia="Arial" w:hAnsi="Arial"/>
          <w:sz w:val="18"/>
          <w:szCs w:val="18"/>
          <w:color w:val="auto"/>
        </w:rPr>
        <w:t>The Borrower will, and will cause each Restricted Subsidiary to, keep and maintain all tangible property material to the conduct of its business in good working order and condition (casualty, condemnation and ordinary wear and tear excepted), except where the failure to do so could not reasonably be expected to have, individually or in the aggregate, a Material Adverse Effect.</w:t>
      </w:r>
    </w:p>
    <w:p>
      <w:pPr>
        <w:spacing w:after="0" w:line="167" w:lineRule="exact"/>
        <w:rPr>
          <w:sz w:val="20"/>
          <w:szCs w:val="20"/>
          <w:color w:val="auto"/>
        </w:rPr>
      </w:pPr>
    </w:p>
    <w:p>
      <w:pPr>
        <w:jc w:val="center"/>
        <w:ind w:right="260"/>
        <w:spacing w:after="0"/>
        <w:tabs>
          <w:tab w:leader="none" w:pos="340" w:val="left"/>
        </w:tabs>
        <w:rPr>
          <w:sz w:val="20"/>
          <w:szCs w:val="20"/>
          <w:color w:val="auto"/>
        </w:rPr>
      </w:pPr>
      <w:r>
        <w:rPr>
          <w:rFonts w:ascii="Arial" w:cs="Arial" w:eastAsia="Arial" w:hAnsi="Arial"/>
          <w:sz w:val="20"/>
          <w:szCs w:val="20"/>
          <w:color w:val="010000"/>
        </w:rPr>
        <w:t>SECTION 5.07</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28" w:lineRule="exact"/>
        <w:rPr>
          <w:sz w:val="20"/>
          <w:szCs w:val="20"/>
          <w:color w:val="auto"/>
        </w:rPr>
      </w:pPr>
    </w:p>
    <w:p>
      <w:pPr>
        <w:ind w:right="20" w:firstLine="1467"/>
        <w:spacing w:after="0" w:line="260" w:lineRule="auto"/>
        <w:tabs>
          <w:tab w:leader="none" w:pos="2266" w:val="left"/>
        </w:tabs>
        <w:numPr>
          <w:ilvl w:val="0"/>
          <w:numId w:val="257"/>
        </w:numPr>
        <w:rPr>
          <w:rFonts w:ascii="Arial" w:cs="Arial" w:eastAsia="Arial" w:hAnsi="Arial"/>
          <w:sz w:val="20"/>
          <w:szCs w:val="20"/>
          <w:color w:val="auto"/>
        </w:rPr>
      </w:pPr>
      <w:r>
        <w:rPr>
          <w:rFonts w:ascii="Arial" w:cs="Arial" w:eastAsia="Arial" w:hAnsi="Arial"/>
          <w:sz w:val="20"/>
          <w:szCs w:val="20"/>
          <w:color w:val="auto"/>
        </w:rPr>
        <w:t>The Borrower will, and will cause each Restricted Subsidiary to maintain, with insurance companies that the Borrower believes (in the good faith judgment of the management of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96" w:name="page297"/>
    <w:bookmarkEnd w:id="296"/>
    <w:p>
      <w:pPr>
        <w:jc w:val="both"/>
        <w:spacing w:after="0" w:line="270" w:lineRule="auto"/>
        <w:rPr>
          <w:sz w:val="20"/>
          <w:szCs w:val="20"/>
          <w:color w:val="auto"/>
        </w:rPr>
      </w:pPr>
      <w:r>
        <w:rPr>
          <w:rFonts w:ascii="Arial" w:cs="Arial" w:eastAsia="Arial" w:hAnsi="Arial"/>
          <w:sz w:val="18"/>
          <w:szCs w:val="18"/>
          <w:color w:val="auto"/>
        </w:rPr>
        <w:t>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or the management of the Borrower) are reasonable and prudent in light of the size and nature of its business, and will furnish to the Administrative Agent, upon written request from the Administrative Agent (not to exceed one time per fiscal year, unless and Event of Default has occurred and is continuing), information presented in reasonable detail as to the insurance so carried. The Borrower shall, and shall cause each Loan Party organized or existing under the laws of the United States (or any state thereof or the District of Columbia) to (i) name the Collateral Agent, on behalf of the Secured Parties, as an additional insured as its interests may appear on each such general liability policy of insurance belonging to or insuring such Loan Party (other than directors and officers policies, workers compensation policies and business interruption insurance) and (ii) in the case of each casualty insurance policy belonging to or insuring a Loan Party organized or existing under the laws of the United States (or any state thereof or the District of Columbia), include a loss payable clause or mortgagee endorsement that names the Collateral Agent, on behalf of the Secured Parties, as the loss payee or mortgagee thereunder.</w:t>
      </w:r>
    </w:p>
    <w:p>
      <w:pPr>
        <w:spacing w:after="0" w:line="183" w:lineRule="exact"/>
        <w:rPr>
          <w:sz w:val="20"/>
          <w:szCs w:val="20"/>
          <w:color w:val="auto"/>
        </w:rPr>
      </w:pPr>
    </w:p>
    <w:p>
      <w:pPr>
        <w:jc w:val="both"/>
        <w:ind w:right="40" w:firstLine="1490"/>
        <w:spacing w:after="0" w:line="256" w:lineRule="auto"/>
        <w:tabs>
          <w:tab w:leader="none" w:pos="2286" w:val="left"/>
        </w:tabs>
        <w:numPr>
          <w:ilvl w:val="0"/>
          <w:numId w:val="258"/>
        </w:numPr>
        <w:rPr>
          <w:rFonts w:ascii="Arial" w:cs="Arial" w:eastAsia="Arial" w:hAnsi="Arial"/>
          <w:sz w:val="19"/>
          <w:szCs w:val="19"/>
          <w:color w:val="auto"/>
        </w:rPr>
      </w:pPr>
      <w:r>
        <w:rPr>
          <w:rFonts w:ascii="Arial" w:cs="Arial" w:eastAsia="Arial" w:hAnsi="Arial"/>
          <w:sz w:val="19"/>
          <w:szCs w:val="19"/>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insurance companies that the Borrower believes (in the good faith judgment of the management of the Borrower) are financially sound and responsible at the time the relevant coverage is placed or renewed, flood insurance in an amount and otherwise sufficient to comply with all applicable rules and regulations promulgated pursuant to the Flood Insurance Laws and (ii) furnish to the Lenders, upon written request from the Collateral Agent, information presented in reasonable detail as to the flood insurance so carried.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97" w:name="page298"/>
    <w:bookmarkEnd w:id="297"/>
    <w:p>
      <w:pPr>
        <w:ind w:left="4120"/>
        <w:spacing w:after="0"/>
        <w:tabs>
          <w:tab w:leader="none" w:pos="5680" w:val="left"/>
        </w:tabs>
        <w:rPr>
          <w:sz w:val="20"/>
          <w:szCs w:val="20"/>
          <w:color w:val="auto"/>
        </w:rPr>
      </w:pPr>
      <w:r>
        <w:rPr>
          <w:rFonts w:ascii="Arial" w:cs="Arial" w:eastAsia="Arial" w:hAnsi="Arial"/>
          <w:sz w:val="20"/>
          <w:szCs w:val="20"/>
          <w:color w:val="010000"/>
        </w:rPr>
        <w:t>SECTION 5.08</w:t>
      </w:r>
      <w:r>
        <w:rPr>
          <w:sz w:val="20"/>
          <w:szCs w:val="20"/>
          <w:color w:val="auto"/>
        </w:rPr>
        <w:tab/>
      </w:r>
      <w:r>
        <w:rPr>
          <w:rFonts w:ascii="Arial" w:cs="Arial" w:eastAsia="Arial" w:hAnsi="Arial"/>
          <w:sz w:val="18"/>
          <w:szCs w:val="18"/>
          <w:u w:val="single" w:color="auto"/>
          <w:color w:val="auto"/>
        </w:rPr>
        <w:t>Books and Records; Inspection and Audit Rights</w:t>
      </w:r>
      <w:r>
        <w:rPr>
          <w:rFonts w:ascii="Arial" w:cs="Arial" w:eastAsia="Arial" w:hAnsi="Arial"/>
          <w:sz w:val="18"/>
          <w:szCs w:val="18"/>
          <w:color w:val="auto"/>
        </w:rPr>
        <w:t>.</w:t>
      </w:r>
    </w:p>
    <w:p>
      <w:pPr>
        <w:spacing w:after="0" w:line="230" w:lineRule="exact"/>
        <w:rPr>
          <w:sz w:val="20"/>
          <w:szCs w:val="20"/>
          <w:color w:val="auto"/>
        </w:rPr>
      </w:pPr>
    </w:p>
    <w:p>
      <w:pPr>
        <w:jc w:val="both"/>
        <w:ind w:right="20" w:firstLine="1499"/>
        <w:spacing w:after="0" w:line="268" w:lineRule="auto"/>
        <w:rPr>
          <w:sz w:val="20"/>
          <w:szCs w:val="20"/>
          <w:color w:val="auto"/>
        </w:rPr>
      </w:pPr>
      <w:r>
        <w:rPr>
          <w:rFonts w:ascii="Arial" w:cs="Arial" w:eastAsia="Arial" w:hAnsi="Arial"/>
          <w:sz w:val="18"/>
          <w:szCs w:val="18"/>
          <w:color w:val="auto"/>
        </w:rPr>
        <w:t xml:space="preserve">The Borrower will, and will cause each Restricted Subsidiary to, maintain proper books of record and account in which entries that are full, true and correct in all material respects and are in conformity with GAAP (or applicable local standards (it being understood and agreed that Foreign Subsidiaries may maintain individual books and records in conformity with generally accepted accounting principles that are applicable in their respective countries of organization and that such maintenance shall not constitute a breach of the representations, warranties or covenants hereunder)) consistently applied shall be made of all material financial transactions and matters involving the assets and business of the Borrower or the Restricted Subsidiaries, as the case may be. The Borrower will, and will cause each Restricted Subsidiary to, permit any representatives designated by the Administrative Agent, upon reasonable prior notice, to visit and inspect its tangible properties, to examine and make extracts from its books and records, and to discuss its affairs, finances and financial condition with its senior officers and independent accountants, all at such reasonable times and as often as reasonably requested;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excluding any such visits and inspections during the continuation of an Event of Default, only the Administrative Agent on behalf of the Lenders may exercise visitation and inspection rights of the Administrative Agent and the Lenders under this Section 5.08 and the Administrative Agent shall not exercise such rights more often than one time during any calendar year absent the existence of an Event of Default and such time shall be at the Borrower’s expense;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when an Event of Default exists, the Administrative Agent (or any of their respective representatives or independent contractors) may do any of the foregoing at the expense of the Borrower at any time during normal business hours and upon reasonable advance notice and (b) the Administrative Agent shall give the Borrower the opportunity to participate in any discussions with the Borrower’s independent public accountants. For the avoidance of doubt, this Section 5.08 is subject to the last paragraph of Section 5.01.</w:t>
      </w:r>
    </w:p>
    <w:p>
      <w:pPr>
        <w:spacing w:after="0" w:line="197"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5.09</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28" w:lineRule="exact"/>
        <w:rPr>
          <w:sz w:val="20"/>
          <w:szCs w:val="20"/>
          <w:color w:val="auto"/>
        </w:rPr>
      </w:pPr>
    </w:p>
    <w:p>
      <w:pPr>
        <w:jc w:val="both"/>
        <w:ind w:right="20" w:firstLine="1499"/>
        <w:spacing w:after="0" w:line="282" w:lineRule="auto"/>
        <w:rPr>
          <w:sz w:val="20"/>
          <w:szCs w:val="20"/>
          <w:color w:val="auto"/>
        </w:rPr>
      </w:pPr>
      <w:r>
        <w:rPr>
          <w:rFonts w:ascii="Arial" w:cs="Arial" w:eastAsia="Arial" w:hAnsi="Arial"/>
          <w:sz w:val="18"/>
          <w:szCs w:val="18"/>
          <w:color w:val="auto"/>
        </w:rPr>
        <w:t xml:space="preserve">Each of Holdings and the Borrower will, and will cause each Restricted Subsidiary to, comply with all Requirements of Law (including Environmental Laws) with respect to it, its property and operations, except where the failure to do so, individually or in the aggregate, could not reasonably be expected to result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Borrower will, and will cause each Restricted Subsidiary to comply in all material respects with the FCPA, Sanctions and the USA PATRIOT Act.</w:t>
      </w:r>
    </w:p>
    <w:p>
      <w:pPr>
        <w:spacing w:after="0" w:line="173"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5.10</w:t>
      </w:r>
      <w:r>
        <w:rPr>
          <w:sz w:val="20"/>
          <w:szCs w:val="20"/>
          <w:color w:val="auto"/>
        </w:rPr>
        <w:tab/>
      </w:r>
      <w:r>
        <w:rPr>
          <w:rFonts w:ascii="Arial" w:cs="Arial" w:eastAsia="Arial" w:hAnsi="Arial"/>
          <w:sz w:val="16"/>
          <w:szCs w:val="16"/>
          <w:u w:val="single" w:color="auto"/>
          <w:color w:val="auto"/>
        </w:rPr>
        <w:t>Use of Proceeds and Letters of Credit</w:t>
      </w:r>
      <w:r>
        <w:rPr>
          <w:rFonts w:ascii="Arial" w:cs="Arial" w:eastAsia="Arial" w:hAnsi="Arial"/>
          <w:sz w:val="16"/>
          <w:szCs w:val="16"/>
          <w:color w:val="auto"/>
        </w:rPr>
        <w:t>.</w:t>
      </w:r>
    </w:p>
    <w:p>
      <w:pPr>
        <w:spacing w:after="0" w:line="228" w:lineRule="exact"/>
        <w:rPr>
          <w:sz w:val="20"/>
          <w:szCs w:val="20"/>
          <w:color w:val="auto"/>
        </w:rPr>
      </w:pPr>
    </w:p>
    <w:p>
      <w:pPr>
        <w:jc w:val="both"/>
        <w:ind w:firstLine="1499"/>
        <w:spacing w:after="0" w:line="272" w:lineRule="auto"/>
        <w:rPr>
          <w:sz w:val="20"/>
          <w:szCs w:val="20"/>
          <w:color w:val="auto"/>
        </w:rPr>
      </w:pPr>
      <w:r>
        <w:rPr>
          <w:rFonts w:ascii="Arial" w:cs="Arial" w:eastAsia="Arial" w:hAnsi="Arial"/>
          <w:sz w:val="18"/>
          <w:szCs w:val="18"/>
          <w:color w:val="auto"/>
        </w:rPr>
        <w:t>The Borrower will use the proceeds of the Term Loans borrowed on the Effective Date and may use up to $10,000,000 of Revolving Loans drawn on the Effective Date (excluding any undrawn Letters of Credit) plus an additional amount of Revolving Loans to account for the amount of original issue discount or upfront fees resulting from the Joint Lead Arrangers’ exercise of the “market flex” provisions of the Fee Letter, together with cash on hand of the Borrower to directly or indirectly finance the Transactions, directly or indirectly pay all or a portion of the Transaction Costs, to increase cash on hand and for other working capital purposes. The proceeds of the Revolving Loans drawn after the Effective Date will be used only for general corporate purposes, and the Letters of Credit will be used to backstop or replace letters of credit outstanding on the Effective Date and for working capital and general corporate purposes, in each case, including capital expenditures, Permitted Acquisitions, Investments, Restricted Payments, refinancing of Indebtedness, repayment of the Existing Convertible Notes and any other transactions not prohibited by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1" w:right="499" w:bottom="1440" w:gutter="0" w:footer="0" w:header="0"/>
        </w:sectPr>
      </w:pPr>
    </w:p>
    <w:bookmarkStart w:id="298" w:name="page299"/>
    <w:bookmarkEnd w:id="298"/>
    <w:p>
      <w:pPr>
        <w:ind w:left="4120"/>
        <w:spacing w:after="0"/>
        <w:tabs>
          <w:tab w:leader="none" w:pos="5680" w:val="left"/>
        </w:tabs>
        <w:rPr>
          <w:sz w:val="20"/>
          <w:szCs w:val="20"/>
          <w:color w:val="auto"/>
        </w:rPr>
      </w:pPr>
      <w:r>
        <w:rPr>
          <w:rFonts w:ascii="Arial" w:cs="Arial" w:eastAsia="Arial" w:hAnsi="Arial"/>
          <w:sz w:val="20"/>
          <w:szCs w:val="20"/>
          <w:color w:val="010000"/>
        </w:rPr>
        <w:t>SECTION 5.11</w:t>
      </w:r>
      <w:r>
        <w:rPr>
          <w:sz w:val="20"/>
          <w:szCs w:val="20"/>
          <w:color w:val="auto"/>
        </w:rPr>
        <w:tab/>
      </w:r>
      <w:r>
        <w:rPr>
          <w:rFonts w:ascii="Arial" w:cs="Arial" w:eastAsia="Arial" w:hAnsi="Arial"/>
          <w:sz w:val="18"/>
          <w:szCs w:val="18"/>
          <w:u w:val="single" w:color="auto"/>
          <w:color w:val="auto"/>
        </w:rPr>
        <w:t>Additional Subsidiaries</w:t>
      </w:r>
      <w:r>
        <w:rPr>
          <w:rFonts w:ascii="Arial" w:cs="Arial" w:eastAsia="Arial" w:hAnsi="Arial"/>
          <w:sz w:val="18"/>
          <w:szCs w:val="18"/>
          <w:color w:val="auto"/>
        </w:rPr>
        <w:t>.</w:t>
      </w:r>
    </w:p>
    <w:p>
      <w:pPr>
        <w:spacing w:after="0" w:line="230" w:lineRule="exact"/>
        <w:rPr>
          <w:sz w:val="20"/>
          <w:szCs w:val="20"/>
          <w:color w:val="auto"/>
        </w:rPr>
      </w:pPr>
    </w:p>
    <w:p>
      <w:pPr>
        <w:jc w:val="both"/>
        <w:ind w:firstLine="1467"/>
        <w:spacing w:after="0" w:line="267" w:lineRule="auto"/>
        <w:tabs>
          <w:tab w:leader="none" w:pos="226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(i) any additional Restricted Subsidiary, organized or incorporated in the United States (or any state thereof or the District of Columbia), is formed or acquired after the Effective Date, (ii) any Restricted Subsidiary ceases to be an Excluded Subsidiary or (iii) the Borrower, at its option, elects to cause a Subsidiary of the Borrower organized or incorporated in the United States (or any state thereof or the District of Columbia), an Electing Foreign Guarantor or to the extent reasonably acceptable to the Administrative Agent, a Subsidiary that is not a Wholly Owned Subsidiary (including any consolidated Affiliate in which the Borrower and their respective Subsidiaries own no Equity Interest) to become a Subsidiary Loan Party, then the Borrower will, within ninety (90) days (or such longer period as may be agreed to by the Administrative Agent in its reasonable discretion) after (x) such newly formed or acquired Restricted Subsidiary is formed or acquired (unless such Restricted Subsidiary is an Excluded Subsidiary), (y) such Restricted Subsidiary ceases to be an Excluded Subsidiary or (z) the Borrower has made such election, cause such Restricted Subsidiary to satisfy the Collateral and Guarantee Requirement with respect to such Restricted Subsidiary and with respect to any Equity Interest in or Indebtedness of such Restricted Subsidiary owned by or on behalf of any Loan Party (or with respect to an Electing Foreign Guarantor, cause such Electing Foreign Guarantor to execute a guaranty of the Secured Obligations (which may be the Guarantee Agreement or, if reasonably required by the Administrative Agent in order to create a legally enforceable Guarantee of the Secured Obligations, a guaranty governed by the laws of the Applicable Country in which such Electing Foreign Guarantor is incorporated or organized, in each case with such changes or limitations as are customary in the Applicable Country as are reasonably agreed by the Administrative Agent) and all documents, financing statements, agreements, instruments, certificates, notices and acknowledgements and filings which the Administrative Agent may reasonably request to ensure the creation, perfection and priority of the Liens on the assets of such Electing Foreign Guarantor, in each case (i) in a form reasonably acceptable to the Administrative Agent and the Borrower, (ii) governed by the laws of the Applicable Country in which such Electing Foreign Guarantor is incorporated or organized and (iii) subject to customary exceptions for transactions of this type in such Applicable Country consistent, where applicable, with the definition of “Excluded Assets”), and any such Restricted Subsidiary shall be a Loan Party and Subsidiary Loan Party for all purposes hereunder. In the event that the Borrower elects to cause an Excluded Subsidiary to be a Subsidiary Loan Party in accordance with the foregoing, such Excluded Subsidiary shall cease to be an Excluded Subsidiary for purposes of the Loan Documents until redesignation as an Excluded Subsidiary in accordance with the terms hereof.</w:t>
      </w:r>
    </w:p>
    <w:p>
      <w:pPr>
        <w:spacing w:after="0" w:line="204" w:lineRule="exact"/>
        <w:rPr>
          <w:rFonts w:ascii="Arial" w:cs="Arial" w:eastAsia="Arial" w:hAnsi="Arial"/>
          <w:sz w:val="18"/>
          <w:szCs w:val="18"/>
          <w:color w:val="auto"/>
        </w:rPr>
      </w:pPr>
    </w:p>
    <w:p>
      <w:pPr>
        <w:jc w:val="both"/>
        <w:ind w:right="80" w:firstLine="1490"/>
        <w:spacing w:after="0" w:line="282" w:lineRule="auto"/>
        <w:tabs>
          <w:tab w:leader="none" w:pos="228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Notwithstanding the foregoing, in the event any real property would be required to be mortgaged pursuant to this Section 5.11, the Borrower shall be required to comply with the “Collateral and Guarantee Requirement” as it relates to such real property within 90 days following the formation or acquisition of such real property or such Restricted Subsidiary or the identification of such new Material Subsidiary, or such longer time period as agreed by the Administrative Agent in its reasonable discretion.</w:t>
      </w:r>
    </w:p>
    <w:p>
      <w:pPr>
        <w:spacing w:after="0" w:line="173"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5.12</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28" w:lineRule="exact"/>
        <w:rPr>
          <w:sz w:val="20"/>
          <w:szCs w:val="20"/>
          <w:color w:val="auto"/>
        </w:rPr>
      </w:pPr>
    </w:p>
    <w:p>
      <w:pPr>
        <w:jc w:val="both"/>
        <w:ind w:right="60" w:firstLine="1490"/>
        <w:spacing w:after="0" w:line="244" w:lineRule="auto"/>
        <w:tabs>
          <w:tab w:leader="none" w:pos="2286" w:val="left"/>
        </w:tabs>
        <w:numPr>
          <w:ilvl w:val="0"/>
          <w:numId w:val="260"/>
        </w:numPr>
        <w:rPr>
          <w:rFonts w:ascii="Arial" w:cs="Arial" w:eastAsia="Arial" w:hAnsi="Arial"/>
          <w:sz w:val="20"/>
          <w:szCs w:val="20"/>
          <w:color w:val="auto"/>
        </w:rPr>
      </w:pPr>
      <w:r>
        <w:rPr>
          <w:rFonts w:ascii="Arial" w:cs="Arial" w:eastAsia="Arial" w:hAnsi="Arial"/>
          <w:sz w:val="20"/>
          <w:szCs w:val="20"/>
          <w:color w:val="auto"/>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Administrative Agent or the Required Lenders may reasonably request, to cause the Collateral and Guarantee Requirement to be and remain satisfied, all at the expense of the Loan Parties.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299" w:name="page300"/>
    <w:bookmarkEnd w:id="299"/>
    <w:p>
      <w:pPr>
        <w:jc w:val="both"/>
        <w:ind w:right="20" w:firstLine="1490"/>
        <w:spacing w:after="0" w:line="270" w:lineRule="auto"/>
        <w:tabs>
          <w:tab w:leader="none" w:pos="228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Subject, in each case, to the limitations set forth in the Security Documents, if, after the Effective Date, any material assets (other than Excluded Assets), including any Material Real Property,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Administrative Agent thereof, and, if requested by the Administrative Agent, the Borrower will cause such assets to be subjected to a Lien securing the Secured Obligations and will take and cause the other Loan Parties to take, such actions as shall be necessary and reasonably requested by the Administrative Agent to grant and perfect such Liens, including actions described in paragraph (a) of this Section but only as and to the extent required pursuant to the “Collateral and Guarantee Requirement,” all at the expense of the Loan Parties and subject to the second to last paragraph of the definition of the term “Collateral and Guarantee Requirement.” In the event any Material Real Property is mortgaged pursuant to this Section 5.12(b), the Borrower or such other Loan Party, as applicable, shall be required to comply with the “Collateral and Guarantee Requirement” and paragraph (a) of this Section 5.12 within ninety (90) days following the acquisition of such Material Real Property or such longer time period as agreed by the Administrative Agent in its reasonable discretion.</w:t>
      </w:r>
    </w:p>
    <w:p>
      <w:pPr>
        <w:spacing w:after="0" w:line="183"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5.13</w:t>
      </w:r>
      <w:r>
        <w:rPr>
          <w:sz w:val="20"/>
          <w:szCs w:val="20"/>
          <w:color w:val="auto"/>
        </w:rPr>
        <w:tab/>
      </w:r>
      <w:r>
        <w:rPr>
          <w:rFonts w:ascii="Arial" w:cs="Arial" w:eastAsia="Arial" w:hAnsi="Arial"/>
          <w:sz w:val="18"/>
          <w:szCs w:val="18"/>
          <w:u w:val="single" w:color="auto"/>
          <w:color w:val="auto"/>
        </w:rPr>
        <w:t>Designation of Subsidiaries</w:t>
      </w:r>
      <w:r>
        <w:rPr>
          <w:rFonts w:ascii="Arial" w:cs="Arial" w:eastAsia="Arial" w:hAnsi="Arial"/>
          <w:sz w:val="18"/>
          <w:szCs w:val="18"/>
          <w:color w:val="auto"/>
        </w:rPr>
        <w:t>.</w:t>
      </w:r>
    </w:p>
    <w:p>
      <w:pPr>
        <w:spacing w:after="0" w:line="228" w:lineRule="exact"/>
        <w:rPr>
          <w:sz w:val="20"/>
          <w:szCs w:val="20"/>
          <w:color w:val="auto"/>
        </w:rPr>
      </w:pPr>
    </w:p>
    <w:p>
      <w:pPr>
        <w:jc w:val="both"/>
        <w:ind w:firstLine="1490"/>
        <w:spacing w:after="0" w:line="267" w:lineRule="auto"/>
        <w:tabs>
          <w:tab w:leader="none" w:pos="228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The Borrower may at any time after the Effective Date designate any Restricted Subsidiary as an Unrestricted Subsidiary or any Unrestricted Subsidiary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immediately after such designation on a Pro Forma Basis, no Default or Event of Default shall have occurred and be continuing, (ii) no Restricted Subsidiary that owns or exclusively licenses any Material IP of the Borrower or its Restricted Subsidiaries, or that holds any FCC Licenses, may be designated as an Unrestricted Subsidiary other than in connection with transactions that have a bona fide business purpose (as determined by the Borrower in good faith) utilizing available basket exceptions as necessary and (iii) the designation of any Subsidiary as an Unrestricted Subsidiary after the Effective Date shall constitute an Investment by the Borrower or its Restricted Subsidiaries therein at the date of designation in an amount equal to the fair market value (as determined in good faith by the Borrower) of the Borrower’s or its respective subsidiaries’ (as applicable) investment therein as of such designation date. The designation of any Unrestricted Subsidiary as a Restricted Subsidiary shall constitute (x) the incurrence at the time of designation of any Investment, Indebtedness or Liens of such Subsidiary existing at such time and (y) a return on any Investment by the Borrower in such Unrestricted Subsidiary pursuant to the preceding sentence in an amount equal to the fair market value (as determined</w:t>
      </w:r>
    </w:p>
    <w:p>
      <w:pPr>
        <w:spacing w:after="0" w:line="3" w:lineRule="exact"/>
        <w:rPr>
          <w:rFonts w:ascii="Arial" w:cs="Arial" w:eastAsia="Arial" w:hAnsi="Arial"/>
          <w:sz w:val="18"/>
          <w:szCs w:val="18"/>
          <w:color w:val="auto"/>
        </w:rPr>
      </w:pPr>
    </w:p>
    <w:p>
      <w:pPr>
        <w:ind w:right="280"/>
        <w:spacing w:after="0" w:line="243" w:lineRule="auto"/>
        <w:rPr>
          <w:rFonts w:ascii="Arial" w:cs="Arial" w:eastAsia="Arial" w:hAnsi="Arial"/>
          <w:sz w:val="18"/>
          <w:szCs w:val="18"/>
          <w:color w:val="auto"/>
        </w:rPr>
      </w:pPr>
      <w:r>
        <w:rPr>
          <w:rFonts w:ascii="Arial" w:cs="Arial" w:eastAsia="Arial" w:hAnsi="Arial"/>
          <w:sz w:val="20"/>
          <w:szCs w:val="20"/>
          <w:color w:val="auto"/>
        </w:rPr>
        <w:t>in good faith by the Borrower) at the date of such designation of the Borrower’s or its Subsidiaries’ (as applicable) Investment in such Subsidiary.</w:t>
      </w:r>
    </w:p>
    <w:p>
      <w:pPr>
        <w:spacing w:after="0" w:line="205" w:lineRule="exact"/>
        <w:rPr>
          <w:rFonts w:ascii="Arial" w:cs="Arial" w:eastAsia="Arial" w:hAnsi="Arial"/>
          <w:sz w:val="18"/>
          <w:szCs w:val="18"/>
          <w:color w:val="auto"/>
        </w:rPr>
      </w:pPr>
    </w:p>
    <w:p>
      <w:pPr>
        <w:jc w:val="both"/>
        <w:ind w:right="40" w:firstLine="1490"/>
        <w:spacing w:after="0" w:line="256" w:lineRule="auto"/>
        <w:tabs>
          <w:tab w:leader="none" w:pos="2286" w:val="left"/>
        </w:tabs>
        <w:numPr>
          <w:ilvl w:val="0"/>
          <w:numId w:val="262"/>
        </w:numPr>
        <w:rPr>
          <w:rFonts w:ascii="Arial" w:cs="Arial" w:eastAsia="Arial" w:hAnsi="Arial"/>
          <w:sz w:val="19"/>
          <w:szCs w:val="19"/>
          <w:color w:val="auto"/>
        </w:rPr>
      </w:pPr>
      <w:r>
        <w:rPr>
          <w:rFonts w:ascii="Arial" w:cs="Arial" w:eastAsia="Arial" w:hAnsi="Arial"/>
          <w:sz w:val="19"/>
          <w:szCs w:val="19"/>
          <w:color w:val="auto"/>
        </w:rPr>
        <w:t>The Borrower may at any time after the Effective Date designate any Restricted Subsidiary that is an Excluded Subsidiary as an Electing Guarantor in accordance with Section 5.11 or Electing Guarantor as an Excluded Subsidiary. The designation of any Excluded Subsidiary as an Electing Guarantor shall constitute a return on any Investment by the Borrower in such Excluded Subsidiary in an amount equal to the fair market value (as determined in good faith by the Borrower) at the date of such designation of the Borrower’s or its Subsidiaries’ (as applicable) Investment in such Subsidiary. The designation of any Electing Guarantor as an Excluded Subsidiary after the Effective Date shall constitute (i) the incurrence at the time of designation of Indebtedness or Liens of such Subsidiary existing at such time and (ii) an Investment by the Borrower or its Restricted Subsidiaries therein at the date of designation in an amount equal to the fair market value (as determined in good faith by the Borrower) of the Borrower’s or its respective subsidiaries’ (as applicable) investment therein.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300" w:name="page301"/>
    <w:bookmarkEnd w:id="300"/>
    <w:p>
      <w:pPr>
        <w:jc w:val="center"/>
        <w:ind w:left="1280"/>
        <w:spacing w:after="0"/>
        <w:rPr>
          <w:sz w:val="20"/>
          <w:szCs w:val="20"/>
          <w:color w:val="auto"/>
        </w:rPr>
      </w:pPr>
      <w:r>
        <w:rPr>
          <w:rFonts w:ascii="Arial" w:cs="Arial" w:eastAsia="Arial" w:hAnsi="Arial"/>
          <w:sz w:val="20"/>
          <w:szCs w:val="20"/>
          <w:color w:val="010000"/>
        </w:rPr>
        <w:t xml:space="preserve">SECTION 5.14 </w:t>
      </w:r>
      <w:r>
        <w:rPr>
          <w:rFonts w:ascii="Arial" w:cs="Arial" w:eastAsia="Arial" w:hAnsi="Arial"/>
          <w:sz w:val="20"/>
          <w:szCs w:val="20"/>
          <w:u w:val="single" w:color="auto"/>
          <w:color w:val="000000"/>
        </w:rPr>
        <w:t>Certain Post-Closing Obligations</w:t>
      </w:r>
      <w:r>
        <w:rPr>
          <w:rFonts w:ascii="Arial" w:cs="Arial" w:eastAsia="Arial" w:hAnsi="Arial"/>
          <w:sz w:val="20"/>
          <w:szCs w:val="20"/>
          <w:color w:val="000000"/>
        </w:rPr>
        <w:t>.</w:t>
      </w:r>
    </w:p>
    <w:p>
      <w:pPr>
        <w:spacing w:after="0" w:line="230" w:lineRule="exact"/>
        <w:rPr>
          <w:sz w:val="20"/>
          <w:szCs w:val="20"/>
          <w:color w:val="auto"/>
        </w:rPr>
      </w:pPr>
    </w:p>
    <w:p>
      <w:pPr>
        <w:jc w:val="both"/>
        <w:ind w:right="60" w:firstLine="1498"/>
        <w:spacing w:after="0" w:line="320" w:lineRule="auto"/>
        <w:rPr>
          <w:sz w:val="20"/>
          <w:szCs w:val="20"/>
          <w:color w:val="auto"/>
        </w:rPr>
      </w:pPr>
      <w:r>
        <w:rPr>
          <w:rFonts w:ascii="Arial" w:cs="Arial" w:eastAsia="Arial" w:hAnsi="Arial"/>
          <w:sz w:val="16"/>
          <w:szCs w:val="16"/>
          <w:color w:val="auto"/>
        </w:rPr>
        <w:t>As promptly as practicable, and in any event within the time periods after the Effective Date specified in Schedule 5.14 or such later date as the Administrative Agent agrees to in writing, including to reasonably accommodate circumstances unforeseen on the Effective Date, the Borrower and each other Loan Party shall deliver the documents or take the actions specified on Schedule 5.14 that would have been required to be delivered or taken on the Effective Date, in each case except to the extent otherwise agreed by the Administrative Agent pursuant to its authority as set forth in the definition of the term “Collateral and Guarantee Requirement.”</w:t>
      </w:r>
    </w:p>
    <w:p>
      <w:pPr>
        <w:spacing w:after="0" w:line="149" w:lineRule="exact"/>
        <w:rPr>
          <w:sz w:val="20"/>
          <w:szCs w:val="20"/>
          <w:color w:val="auto"/>
        </w:rPr>
      </w:pPr>
    </w:p>
    <w:p>
      <w:pPr>
        <w:ind w:left="4120"/>
        <w:spacing w:after="0"/>
        <w:rPr>
          <w:sz w:val="20"/>
          <w:szCs w:val="20"/>
          <w:color w:val="auto"/>
        </w:rPr>
      </w:pPr>
      <w:r>
        <w:rPr>
          <w:rFonts w:ascii="Arial" w:cs="Arial" w:eastAsia="Arial" w:hAnsi="Arial"/>
          <w:sz w:val="20"/>
          <w:szCs w:val="20"/>
          <w:color w:val="010000"/>
        </w:rPr>
        <w:t xml:space="preserve">SECTION 5.15 </w:t>
      </w:r>
      <w:r>
        <w:rPr>
          <w:rFonts w:ascii="Arial" w:cs="Arial" w:eastAsia="Arial" w:hAnsi="Arial"/>
          <w:sz w:val="20"/>
          <w:szCs w:val="20"/>
          <w:u w:val="single" w:color="auto"/>
          <w:color w:val="000000"/>
        </w:rPr>
        <w:t>Transactions with Affiliates</w:t>
      </w:r>
      <w:r>
        <w:rPr>
          <w:rFonts w:ascii="Arial" w:cs="Arial" w:eastAsia="Arial" w:hAnsi="Arial"/>
          <w:sz w:val="20"/>
          <w:szCs w:val="20"/>
          <w:color w:val="000000"/>
        </w:rPr>
        <w:t>.</w:t>
      </w:r>
    </w:p>
    <w:p>
      <w:pPr>
        <w:spacing w:after="0" w:line="228" w:lineRule="exact"/>
        <w:rPr>
          <w:sz w:val="20"/>
          <w:szCs w:val="20"/>
          <w:color w:val="auto"/>
        </w:rPr>
      </w:pPr>
    </w:p>
    <w:p>
      <w:pPr>
        <w:jc w:val="both"/>
        <w:ind w:firstLine="1498"/>
        <w:spacing w:after="0" w:line="267" w:lineRule="auto"/>
        <w:rPr>
          <w:sz w:val="20"/>
          <w:szCs w:val="20"/>
          <w:color w:val="auto"/>
        </w:rPr>
      </w:pPr>
      <w:r>
        <w:rPr>
          <w:rFonts w:ascii="Arial" w:cs="Arial" w:eastAsia="Arial" w:hAnsi="Arial"/>
          <w:sz w:val="18"/>
          <w:szCs w:val="18"/>
          <w:color w:val="auto"/>
        </w:rPr>
        <w:t>The Borrower will conduct, and cause each of the Restricted Subsidiaries to conduct, all transactions with any of its Affiliates on terms, taken as a whole, substantially as favorable to the Borrower or such Restricted Subsidiary as would be obtainable by such Person at the time in a comparable arm’s-length transaction with a Person other than an Affiliate or, if in the good faith judgment of the Board of Directors no comparable arm’s-length transaction is available with which to compare such transaction, on terms otherwise fair to the Borrower or such Restricted Subsidiary from a financial point of view, except that the following in any event shall be permitted: (i) (A) transactions between or among the Borrower or any Restricted Subsidiary or any entity that becomes a Restricted Subsidiary as a result of such transaction and (B) transactions involving aggregate payment or consideration of less than $15,000,000, (ii) any transaction or series of related transactions involving aggregate consideration in excess of $30,000,000 for which the Borrower has delivered to the Administrative Agent a resolution adopted in good faith by the majority of the Board of Directors of the Borrower, approving such transaction, (iii) the Transactions and the payment of fees and expenses as part of or in connection with the Transactions and transactions constituting any Permitted Reorganization, (iv) the payment of expenses and indemnities to the GTCR Group (or management companies of the GTCR Group) to the extent such expenses and indemnities relate to the ownership and operation of the Borrower and its Restricted Subsidiaries, (v) issuances, sale or transfer of Equity Interests of the Borrower to the extent otherwise permitted by this Agreement, (vi) compensation (including bonuses and securities issuances or other payments, awards, grants in cash or otherwise) and employee benefit arrangements and severance arrangements between the Borrower and its Restricted Subsidiaries and their respective officers, directors, managers, consultants and employees in the ordinary course of business or otherwise in connection with the Transactions (including loans and advances pursuant to Section 6.04) or any acquisition or other Investment permitted hereunder), (vii) payments by the Borrower and its Restricted Subsidiaries pursuant to tax sharing agreements among Holdings (and any such parent thereof), the Borrower and the Restricted Subsidiaries on customary terms to the extent attributable to the ownership or operation of the Borrower and its Restricted Subsidiaries, to the extent such payments are permitted by Section 6.07, (viii) the payment of customary fees and reasonable out-of-pocket costs to, and indemnities provided on behalf of, members of the Board of Directors, officers and employees of Holdings (or any Holdings Parent), the Borrower, and the Restricted Subsidiaries in the ordinary course of business to the extent attributable to the ownership or operation of the Borrower and its Restricted Subsidiaries, (ix) transactions pursuant to permitted agreements in existence or contemplated on the Effective Date and set forth on Schedule 5.15 or any amendment thereto to the extent such an amendment is not adverse to the Lenders in any material respect, (x) Restricted Payments permitted under Section 6.07 and loans and advances in lieu thereof pursuant to Section 6.04(l), (xi) 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the Borrower and the Restricted Subsidiaries, in the reasonable determination of the Borrower, or are on terms at least as favorable as might reasonably have been obtained at such time from an unaffiliated party, (xiii) sales or pledges of accounts receivable,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301" w:name="page302"/>
    <w:bookmarkEnd w:id="301"/>
    <w:p>
      <w:pPr>
        <w:jc w:val="both"/>
        <w:ind w:left="7" w:right="160"/>
        <w:spacing w:after="0" w:line="266" w:lineRule="auto"/>
        <w:rPr>
          <w:sz w:val="20"/>
          <w:szCs w:val="20"/>
          <w:color w:val="auto"/>
        </w:rPr>
      </w:pPr>
      <w:r>
        <w:rPr>
          <w:rFonts w:ascii="Arial" w:cs="Arial" w:eastAsia="Arial" w:hAnsi="Arial"/>
          <w:sz w:val="18"/>
          <w:szCs w:val="18"/>
          <w:color w:val="auto"/>
        </w:rPr>
        <w:t>participations therein, or Securitization Assets or related assets, the creation of intercompany debt or other customary transactions or obligations, in each case, in connection with or any Qualified Securitization Facility, (xiv) customary payments by the Borrower and its Restricted Subsidiaries to the GTCR Group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the Borrower in good faith, (xv)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and not in contemplation of such Unrestricted Subsidiary becoming redesignated as a Restricted Subsidiary, (xvi) Affiliate repurchases of the Loans to the extent permitted hereunder and the holdings of such Loans and the payments and other transactions contemplated herein in respect thereof, (xvii) any transaction between or among the Borrower or any Restricted Subsidiary and any non-wholly owned Affiliate of the Borrower or a joint venture or similar entity that is otherwise permitted hereunder to the extent such Affiliate, joint venture or similar entity is an Affiliate solely because the Borrower or a Restricted Subsidiary owns an equity interest in or otherwise controls such Affiliate, joint venture or similar entity, (xviii) payments and expenses pursuant to any subscription agreement or similar agreement pertaining to the repurchase of Equity Interests pursuant to put/call rights or similar rights with current, former or future officers, directors, employees, managers, consultants and independent contractors of the Borrower, any Subsidiary or any direct or indirect parent of the Borrower, (xix) any lease entered into between the Borrower or any Restricted Subsidiary, as lessee and any Affiliate of the Borrower, as lessor, and any transaction(s) pursuant to that lease, (xx) payments and expenses pursuant to Intercompany License Agreements in the ordinary course of business or consistent with industry practice, (xxi) the payment of reasonable out-of-pocket costs and expenses relating to registration rights and indemnities provided to equity holders of the Borrower or any direct or indirect parent of the Borrower pursuant to an equity holders agreement, registration rights agreement or similar agreement entered into on or after the Effective Date, (xxii) pledges and other transfers of Equity Interests in Unrestricted Subsidiaries, (xxiii) any transactions with an Affiliate in which the consideration paid consists solely of Equity Interests of the Borrower or a direct or indirect parent of the Borrower and</w:t>
      </w:r>
    </w:p>
    <w:p>
      <w:pPr>
        <w:spacing w:after="0" w:line="13" w:lineRule="exact"/>
        <w:rPr>
          <w:sz w:val="20"/>
          <w:szCs w:val="20"/>
          <w:color w:val="auto"/>
        </w:rPr>
      </w:pPr>
    </w:p>
    <w:p>
      <w:pPr>
        <w:ind w:left="527" w:hanging="527"/>
        <w:spacing w:after="0"/>
        <w:tabs>
          <w:tab w:leader="none" w:pos="527" w:val="left"/>
        </w:tabs>
        <w:numPr>
          <w:ilvl w:val="0"/>
          <w:numId w:val="263"/>
        </w:numPr>
        <w:rPr>
          <w:rFonts w:ascii="Arial" w:cs="Arial" w:eastAsia="Arial" w:hAnsi="Arial"/>
          <w:sz w:val="20"/>
          <w:szCs w:val="20"/>
          <w:color w:val="auto"/>
        </w:rPr>
      </w:pPr>
      <w:r>
        <w:rPr>
          <w:rFonts w:ascii="Arial" w:cs="Arial" w:eastAsia="Arial" w:hAnsi="Arial"/>
          <w:sz w:val="20"/>
          <w:szCs w:val="20"/>
          <w:color w:val="auto"/>
        </w:rPr>
        <w:t>Investments by any Investor or direct or indirect parent of the Borrower in securities of the Borrower.</w:t>
      </w:r>
    </w:p>
    <w:p>
      <w:pPr>
        <w:spacing w:after="0" w:line="185" w:lineRule="exact"/>
        <w:rPr>
          <w:rFonts w:ascii="Arial" w:cs="Arial" w:eastAsia="Arial" w:hAnsi="Arial"/>
          <w:sz w:val="20"/>
          <w:szCs w:val="20"/>
          <w:color w:val="auto"/>
        </w:rPr>
      </w:pPr>
    </w:p>
    <w:p>
      <w:pPr>
        <w:ind w:left="4927"/>
        <w:spacing w:after="0"/>
        <w:rPr>
          <w:rFonts w:ascii="Arial" w:cs="Arial" w:eastAsia="Arial" w:hAnsi="Arial"/>
          <w:sz w:val="20"/>
          <w:szCs w:val="20"/>
          <w:color w:val="auto"/>
        </w:rPr>
      </w:pPr>
      <w:r>
        <w:rPr>
          <w:rFonts w:ascii="Arial" w:cs="Arial" w:eastAsia="Arial" w:hAnsi="Arial"/>
          <w:sz w:val="20"/>
          <w:szCs w:val="20"/>
          <w:color w:val="auto"/>
        </w:rPr>
        <w:t>ARTICLE VI</w:t>
      </w:r>
    </w:p>
    <w:p>
      <w:pPr>
        <w:spacing w:after="0" w:line="228" w:lineRule="exact"/>
        <w:rPr>
          <w:sz w:val="20"/>
          <w:szCs w:val="20"/>
          <w:color w:val="auto"/>
        </w:rPr>
      </w:pPr>
    </w:p>
    <w:p>
      <w:pPr>
        <w:jc w:val="center"/>
        <w:ind w:right="153"/>
        <w:spacing w:after="0"/>
        <w:rPr>
          <w:sz w:val="20"/>
          <w:szCs w:val="20"/>
          <w:color w:val="auto"/>
        </w:rPr>
      </w:pPr>
      <w:r>
        <w:rPr>
          <w:rFonts w:ascii="Arial" w:cs="Arial" w:eastAsia="Arial" w:hAnsi="Arial"/>
          <w:sz w:val="20"/>
          <w:szCs w:val="20"/>
          <w:u w:val="single" w:color="auto"/>
          <w:color w:val="auto"/>
        </w:rPr>
        <w:t>NEGATIVE COVENANTS</w:t>
      </w:r>
    </w:p>
    <w:p>
      <w:pPr>
        <w:spacing w:after="0" w:line="242" w:lineRule="exact"/>
        <w:rPr>
          <w:sz w:val="20"/>
          <w:szCs w:val="20"/>
          <w:color w:val="auto"/>
        </w:rPr>
      </w:pPr>
    </w:p>
    <w:p>
      <w:pPr>
        <w:ind w:left="1507"/>
        <w:spacing w:after="0"/>
        <w:rPr>
          <w:sz w:val="20"/>
          <w:szCs w:val="20"/>
          <w:color w:val="auto"/>
        </w:rPr>
      </w:pPr>
      <w:r>
        <w:rPr>
          <w:rFonts w:ascii="Arial" w:cs="Arial" w:eastAsia="Arial" w:hAnsi="Arial"/>
          <w:sz w:val="18"/>
          <w:szCs w:val="18"/>
          <w:color w:val="auto"/>
        </w:rPr>
        <w:t>From and after the Effective Date and until the Termination Date, each of Holdings (solely in the case of Section 6.03)</w:t>
      </w:r>
    </w:p>
    <w:p>
      <w:pPr>
        <w:spacing w:after="0" w:line="38" w:lineRule="exact"/>
        <w:rPr>
          <w:sz w:val="20"/>
          <w:szCs w:val="20"/>
          <w:color w:val="auto"/>
        </w:rPr>
      </w:pPr>
    </w:p>
    <w:p>
      <w:pPr>
        <w:ind w:left="7"/>
        <w:spacing w:after="0"/>
        <w:rPr>
          <w:sz w:val="20"/>
          <w:szCs w:val="20"/>
          <w:color w:val="auto"/>
        </w:rPr>
      </w:pPr>
      <w:r>
        <w:rPr>
          <w:rFonts w:ascii="Arial" w:cs="Arial" w:eastAsia="Arial" w:hAnsi="Arial"/>
          <w:sz w:val="20"/>
          <w:szCs w:val="20"/>
          <w:color w:val="auto"/>
        </w:rPr>
        <w:t>and the Borrower covenants and agrees with the Lenders that:</w:t>
      </w:r>
    </w:p>
    <w:p>
      <w:pPr>
        <w:spacing w:after="0" w:line="212" w:lineRule="exact"/>
        <w:rPr>
          <w:sz w:val="20"/>
          <w:szCs w:val="20"/>
          <w:color w:val="auto"/>
        </w:rPr>
      </w:pPr>
    </w:p>
    <w:p>
      <w:pPr>
        <w:ind w:left="4127"/>
        <w:spacing w:after="0"/>
        <w:tabs>
          <w:tab w:leader="none" w:pos="5687" w:val="left"/>
        </w:tabs>
        <w:rPr>
          <w:sz w:val="20"/>
          <w:szCs w:val="20"/>
          <w:color w:val="auto"/>
        </w:rPr>
      </w:pPr>
      <w:r>
        <w:rPr>
          <w:rFonts w:ascii="Arial" w:cs="Arial" w:eastAsia="Arial" w:hAnsi="Arial"/>
          <w:sz w:val="20"/>
          <w:szCs w:val="20"/>
          <w:color w:val="010000"/>
        </w:rPr>
        <w:t>SECTION 6.01</w:t>
      </w:r>
      <w:r>
        <w:rPr>
          <w:sz w:val="20"/>
          <w:szCs w:val="20"/>
          <w:color w:val="auto"/>
        </w:rPr>
        <w:tab/>
      </w:r>
      <w:r>
        <w:rPr>
          <w:rFonts w:ascii="Arial" w:cs="Arial" w:eastAsia="Arial" w:hAnsi="Arial"/>
          <w:sz w:val="16"/>
          <w:szCs w:val="16"/>
          <w:u w:val="single" w:color="auto"/>
          <w:color w:val="auto"/>
        </w:rPr>
        <w:t>Indebtedness; Certain Equity Securities</w:t>
      </w:r>
      <w:r>
        <w:rPr>
          <w:rFonts w:ascii="Arial" w:cs="Arial" w:eastAsia="Arial" w:hAnsi="Arial"/>
          <w:sz w:val="16"/>
          <w:szCs w:val="16"/>
          <w:color w:val="auto"/>
        </w:rPr>
        <w:t>.</w:t>
      </w:r>
    </w:p>
    <w:p>
      <w:pPr>
        <w:spacing w:after="0" w:line="242" w:lineRule="exact"/>
        <w:rPr>
          <w:sz w:val="20"/>
          <w:szCs w:val="20"/>
          <w:color w:val="auto"/>
        </w:rPr>
      </w:pPr>
    </w:p>
    <w:p>
      <w:pPr>
        <w:ind w:left="2047" w:hanging="550"/>
        <w:spacing w:after="0"/>
        <w:tabs>
          <w:tab w:leader="none" w:pos="2047"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Borrower will not, and will not permit any Restricted Subsidiary to, create, incur or assume any</w:t>
      </w:r>
    </w:p>
    <w:p>
      <w:pPr>
        <w:spacing w:after="0" w:line="15" w:lineRule="exact"/>
        <w:rPr>
          <w:rFonts w:ascii="Arial" w:cs="Arial" w:eastAsia="Arial" w:hAnsi="Arial"/>
          <w:sz w:val="20"/>
          <w:szCs w:val="20"/>
          <w:color w:val="auto"/>
        </w:rPr>
      </w:pPr>
    </w:p>
    <w:p>
      <w:pPr>
        <w:ind w:left="7"/>
        <w:spacing w:after="0"/>
        <w:rPr>
          <w:rFonts w:ascii="Arial" w:cs="Arial" w:eastAsia="Arial" w:hAnsi="Arial"/>
          <w:sz w:val="20"/>
          <w:szCs w:val="20"/>
          <w:color w:val="auto"/>
        </w:rPr>
      </w:pPr>
      <w:r>
        <w:rPr>
          <w:rFonts w:ascii="Arial" w:cs="Arial" w:eastAsia="Arial" w:hAnsi="Arial"/>
          <w:sz w:val="20"/>
          <w:szCs w:val="20"/>
          <w:color w:val="auto"/>
        </w:rPr>
        <w:t>Indebtedness, except:</w:t>
      </w:r>
    </w:p>
    <w:p>
      <w:pPr>
        <w:spacing w:after="0" w:line="185" w:lineRule="exact"/>
        <w:rPr>
          <w:rFonts w:ascii="Arial" w:cs="Arial" w:eastAsia="Arial" w:hAnsi="Arial"/>
          <w:sz w:val="20"/>
          <w:szCs w:val="20"/>
          <w:color w:val="auto"/>
        </w:rPr>
      </w:pPr>
    </w:p>
    <w:p>
      <w:pPr>
        <w:ind w:left="547" w:right="220" w:firstLine="1490"/>
        <w:spacing w:after="0" w:line="260" w:lineRule="auto"/>
        <w:tabs>
          <w:tab w:leader="none" w:pos="2559" w:val="left"/>
        </w:tabs>
        <w:numPr>
          <w:ilvl w:val="1"/>
          <w:numId w:val="264"/>
        </w:numPr>
        <w:rPr>
          <w:rFonts w:ascii="Arial" w:cs="Arial" w:eastAsia="Arial" w:hAnsi="Arial"/>
          <w:sz w:val="20"/>
          <w:szCs w:val="20"/>
          <w:color w:val="auto"/>
        </w:rPr>
      </w:pPr>
      <w:r>
        <w:rPr>
          <w:rFonts w:ascii="Arial" w:cs="Arial" w:eastAsia="Arial" w:hAnsi="Arial"/>
          <w:sz w:val="20"/>
          <w:szCs w:val="20"/>
          <w:color w:val="auto"/>
        </w:rPr>
        <w:t>Indebtedness of the Borrower and any of the Restricted Subsidiaries under the Loan Documents (including any Indebtedness incurred pursuant to Section 2.20 or 2.21);</w:t>
      </w:r>
    </w:p>
    <w:p>
      <w:pPr>
        <w:spacing w:after="0" w:line="148" w:lineRule="exact"/>
        <w:rPr>
          <w:rFonts w:ascii="Arial" w:cs="Arial" w:eastAsia="Arial" w:hAnsi="Arial"/>
          <w:sz w:val="20"/>
          <w:szCs w:val="20"/>
          <w:color w:val="auto"/>
        </w:rPr>
      </w:pPr>
    </w:p>
    <w:p>
      <w:pPr>
        <w:jc w:val="both"/>
        <w:ind w:left="547" w:right="220" w:firstLine="1490"/>
        <w:spacing w:after="0" w:line="269" w:lineRule="auto"/>
        <w:tabs>
          <w:tab w:leader="none" w:pos="2559" w:val="left"/>
        </w:tabs>
        <w:numPr>
          <w:ilvl w:val="1"/>
          <w:numId w:val="264"/>
        </w:numPr>
        <w:rPr>
          <w:rFonts w:ascii="Arial" w:cs="Arial" w:eastAsia="Arial" w:hAnsi="Arial"/>
          <w:sz w:val="19"/>
          <w:szCs w:val="19"/>
          <w:color w:val="auto"/>
        </w:rPr>
      </w:pPr>
      <w:r>
        <w:rPr>
          <w:rFonts w:ascii="Arial" w:cs="Arial" w:eastAsia="Arial" w:hAnsi="Arial"/>
          <w:sz w:val="19"/>
          <w:szCs w:val="19"/>
          <w:color w:val="auto"/>
        </w:rPr>
        <w:t xml:space="preserve">Indebtedness, including intercompany Indebtedness, outstanding on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in excess of $2,500,000 individually shall only be permitted if set forth on Schedule 6.01 (unless such Indebtedness is permitted by another clause in this Section 6.01), and any Permitted Refinancing thereof;</w:t>
      </w:r>
    </w:p>
    <w:p>
      <w:pPr>
        <w:spacing w:after="0" w:line="169" w:lineRule="exact"/>
        <w:rPr>
          <w:sz w:val="20"/>
          <w:szCs w:val="20"/>
          <w:color w:val="auto"/>
        </w:rPr>
      </w:pPr>
    </w:p>
    <w:p>
      <w:pPr>
        <w:jc w:val="center"/>
        <w:ind w:right="153"/>
        <w:spacing w:after="0"/>
        <w:rPr>
          <w:sz w:val="20"/>
          <w:szCs w:val="20"/>
          <w:color w:val="auto"/>
        </w:rPr>
      </w:pPr>
      <w:r>
        <w:rPr>
          <w:rFonts w:ascii="Arial" w:cs="Arial" w:eastAsia="Arial" w:hAnsi="Arial"/>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66040</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7"/>
          </w:cols>
          <w:pgMar w:left="493" w:top="122" w:right="339" w:bottom="1440" w:gutter="0" w:footer="0" w:header="0"/>
        </w:sectPr>
      </w:pPr>
    </w:p>
    <w:bookmarkStart w:id="302" w:name="page303"/>
    <w:bookmarkEnd w:id="302"/>
    <w:p>
      <w:pPr>
        <w:jc w:val="both"/>
        <w:ind w:firstLine="1490"/>
        <w:spacing w:after="0" w:line="260" w:lineRule="auto"/>
        <w:tabs>
          <w:tab w:leader="none" w:pos="2012"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Guarantees by the Borrower and any of the Restricted Subsidiaries in respect of Indebtedness of Holdings, the Borrower or any Restricted Subsidiary otherwise permitted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Guarantee is permitted under Section 6.04 (other than Section 6.04(u)) and (B)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w:t>
      </w:r>
    </w:p>
    <w:p>
      <w:pPr>
        <w:spacing w:after="0" w:line="151" w:lineRule="exact"/>
        <w:rPr>
          <w:rFonts w:ascii="Arial" w:cs="Arial" w:eastAsia="Arial" w:hAnsi="Arial"/>
          <w:sz w:val="19"/>
          <w:szCs w:val="19"/>
          <w:color w:val="auto"/>
        </w:rPr>
      </w:pPr>
    </w:p>
    <w:p>
      <w:pPr>
        <w:jc w:val="both"/>
        <w:ind w:firstLine="1490"/>
        <w:spacing w:after="0" w:line="278" w:lineRule="auto"/>
        <w:tabs>
          <w:tab w:leader="none" w:pos="201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Indebtedness of (x) the Borrower owing to Holdings or any Restricted Subsidiary or (y) any Restricted Subsidiary owing to Holdings, the Borrower or any other Restricted Subsidiary, in each case, to the extent permitted by Section 6.04;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Indebtedness of any Loan Party owing to any Restricted Subsidiary that is not a Loan Party shall be subordinated to the Loan Document Obligations on terms (i) at least as favorable to the Lenders as those set forth in the form of intercompany note attached as Exhibit F or (ii) otherwise reasonably satisfactory to the Administrative Agent;</w:t>
      </w:r>
    </w:p>
    <w:p>
      <w:pPr>
        <w:spacing w:after="0" w:line="149" w:lineRule="exact"/>
        <w:rPr>
          <w:rFonts w:ascii="Arial" w:cs="Arial" w:eastAsia="Arial" w:hAnsi="Arial"/>
          <w:sz w:val="18"/>
          <w:szCs w:val="18"/>
          <w:color w:val="auto"/>
        </w:rPr>
      </w:pPr>
    </w:p>
    <w:p>
      <w:pPr>
        <w:jc w:val="both"/>
        <w:ind w:right="20" w:firstLine="1490"/>
        <w:spacing w:after="0" w:line="272" w:lineRule="auto"/>
        <w:tabs>
          <w:tab w:leader="none" w:pos="201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(A) $40,000,000 and (B) 30.0% of Consolidated EBITDA computed on a Pro Forma Basis for the most recently ended Test Period as of such time;</w:t>
      </w:r>
    </w:p>
    <w:p>
      <w:pPr>
        <w:spacing w:after="0" w:line="154" w:lineRule="exact"/>
        <w:rPr>
          <w:rFonts w:ascii="Arial" w:cs="Arial" w:eastAsia="Arial" w:hAnsi="Arial"/>
          <w:sz w:val="18"/>
          <w:szCs w:val="18"/>
          <w:color w:val="auto"/>
        </w:rPr>
      </w:pPr>
    </w:p>
    <w:p>
      <w:pPr>
        <w:ind w:left="2000" w:hanging="510"/>
        <w:spacing w:after="0"/>
        <w:tabs>
          <w:tab w:leader="none" w:pos="20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Indebtedness in respect of Swap Agreements incurred in the ordinary course of business and not for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speculative purposes;</w:t>
      </w:r>
    </w:p>
    <w:p>
      <w:pPr>
        <w:spacing w:after="0" w:line="172" w:lineRule="exact"/>
        <w:rPr>
          <w:rFonts w:ascii="Arial" w:cs="Arial" w:eastAsia="Arial" w:hAnsi="Arial"/>
          <w:sz w:val="18"/>
          <w:szCs w:val="18"/>
          <w:color w:val="auto"/>
        </w:rPr>
      </w:pPr>
    </w:p>
    <w:p>
      <w:pPr>
        <w:jc w:val="both"/>
        <w:ind w:right="20" w:firstLine="1490"/>
        <w:spacing w:after="0" w:line="268" w:lineRule="auto"/>
        <w:tabs>
          <w:tab w:leader="none" w:pos="201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(a) Indebtedness (1) assumed or acquired in connection with a Permitted Acquisition or permitted Investment or secured by any assets so acquired so long as not incurred in contemplation thereof, (2) of any Unrestricted Subsidiary that is redesignated as a Restricted Subsidiary so long as such Indebtedness was not incurred by such Unrestricted Subsidiary in contemplation of such redesignation (it being acknowledged that (x) a Person that becomes a direct or indirect Restricted Subsidiary of the Borrower as a result of a Permitted Acquisition or permitted Investment may remain liable with respect to Indebtedness existing on the date of such acquisition (and not incurred in contemplation thereof) and (y) an Unrestricted Subsidiary that is redesignated as a Restricted Subsidiary may remain liable with respect to Indebtedness existing on the date of such redesignation (and not incurred in contemplation thereof)) or (3) incurred in contemplation of a Permitted Acquisition or other permitted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Indebtedness outstanding under this clause (3) at the time of incurrence (or as of the LCT Test Date if a Limited Condition Transaction) does not exceed at any time the sum of (I) the greater of (x) $56,000,000 and (y) 40.0% of Consolidated EBITDA computed on a Pro Forma Basis for the most recently ended Test Period as of such time, plus (II) unlimited additional Indebtedness if, for purposes of this clause (II), immediately after giving effect to such Permitted Acquisition or permitted Investment, as the case may be, and the assumption of such Indebtedness, on a Pro Forma Basis, the Borrower would be able to incur $1.00 of Indebtedness (of the same payment and lien priority as the Indebtedness incurred pursuant to this clause (3)) under the Ratio Incremental Amount (it being understood and agreed that unless notified by the Borrower, (A) the Borrower shall be deemed to have used capacity under this clause (II) (to the extent compliant therewith) prior to utilization of amounts of the type described in clause (I) above, (B) Indebtedness may be incurred in</w:t>
      </w:r>
    </w:p>
    <w:p>
      <w:pPr>
        <w:spacing w:after="0" w:line="182" w:lineRule="exact"/>
        <w:rPr>
          <w:sz w:val="20"/>
          <w:szCs w:val="20"/>
          <w:color w:val="auto"/>
        </w:rPr>
      </w:pPr>
    </w:p>
    <w:p>
      <w:pPr>
        <w:jc w:val="center"/>
        <w:ind w:right="500"/>
        <w:spacing w:after="0"/>
        <w:rPr>
          <w:sz w:val="20"/>
          <w:szCs w:val="20"/>
          <w:color w:val="auto"/>
        </w:rPr>
      </w:pPr>
      <w:r>
        <w:rPr>
          <w:rFonts w:ascii="Arial" w:cs="Arial" w:eastAsia="Arial" w:hAnsi="Arial"/>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66040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040" w:top="325" w:right="539" w:bottom="1440" w:gutter="0" w:footer="0" w:header="0"/>
        </w:sectPr>
      </w:pPr>
    </w:p>
    <w:bookmarkStart w:id="303" w:name="page304"/>
    <w:bookmarkEnd w:id="303"/>
    <w:p>
      <w:pPr>
        <w:jc w:val="both"/>
        <w:ind w:right="20"/>
        <w:spacing w:after="0" w:line="269" w:lineRule="auto"/>
        <w:rPr>
          <w:sz w:val="20"/>
          <w:szCs w:val="20"/>
          <w:color w:val="auto"/>
        </w:rPr>
      </w:pPr>
      <w:r>
        <w:rPr>
          <w:rFonts w:ascii="Arial" w:cs="Arial" w:eastAsia="Arial" w:hAnsi="Arial"/>
          <w:sz w:val="18"/>
          <w:szCs w:val="18"/>
          <w:color w:val="auto"/>
        </w:rPr>
        <w:t xml:space="preserve">respect of both this clause (II) and clause (I) above, and the proceeds from any such incurrence in respect of both clauses may be utilized in a single transaction by first calculating the incurrence in respect of this clause (II) (and any concurrent Borrowing of Revolving Loans) and then calculating the incurrence in respect of clause (I) above (and, for the avoidance of doubt, the Senior Secured First Lien Net Leverage Ratio, the Senior Secured Net Leverage Ratio or Total Net Leverage Ratio may be exceeded or the Cash Interest Coverage Ratio may be less than the required minimum, in each case as a result thereof) and (C) the Borrower may re-designate any such Indebtedness originally incurred in respect of clause (I) as incurred in respect of clause (II) if, at the time of such re-designation, the Borrower would be permitted to incur such Indebtedness under clause (II) the aggregate principal amount of Indebtedness being so re-designated (for purposes of clarity, with any such re-designation having the effect of increasing the Borrower’s ability to incur Indebtedness in respect of clause (I) as of the date of such re-designation by the amount of such Indebtedness so re-designated) (it being understood and agreed that such reclassification shall be automatic if at the end of any fiscal quarter such reclassification would be permitted); and (b) in respect of the foregoing, any Permitted Refinancing thereof;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such Indebtedness incurred pursuant to this clause (3), shall have a Weighted Average Life to Maturity not shorter than the remaining Weighted Average Life to Maturity of the Initial Term Loans outstanding at the time such Indebtedness is incurred and (y) if secured by the Collateral, shall be subject to the Pari Passu Intercreditor Agreement or the Junior Intercreditor Agreement, as applicable;</w:t>
      </w:r>
    </w:p>
    <w:p>
      <w:pPr>
        <w:spacing w:after="0" w:line="147" w:lineRule="exact"/>
        <w:rPr>
          <w:sz w:val="20"/>
          <w:szCs w:val="20"/>
          <w:color w:val="auto"/>
        </w:rPr>
      </w:pPr>
    </w:p>
    <w:p>
      <w:pPr>
        <w:jc w:val="both"/>
        <w:ind w:right="20" w:firstLine="1490"/>
        <w:spacing w:after="0" w:line="278" w:lineRule="auto"/>
        <w:tabs>
          <w:tab w:leader="none" w:pos="201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Indebtedness to the seller of any business or assets acquired by the Borrower or any Restricted Subsidiary in a transaction permitted hereunder (including Indebtedness to finance the payment of earnout obligations owing to such seller as a result of such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permitted under this Section 6.01(a)(viii) at any one time outstanding shall not exceed the greater of (A) $21,000,000 and (B) 15% of Consolidated EBITDA computed on a Pro Forma Basis for the most recently ended Test Period as of such time;</w:t>
      </w:r>
    </w:p>
    <w:p>
      <w:pPr>
        <w:spacing w:after="0" w:line="149" w:lineRule="exact"/>
        <w:rPr>
          <w:rFonts w:ascii="Arial" w:cs="Arial" w:eastAsia="Arial" w:hAnsi="Arial"/>
          <w:sz w:val="18"/>
          <w:szCs w:val="18"/>
          <w:color w:val="auto"/>
        </w:rPr>
      </w:pPr>
    </w:p>
    <w:p>
      <w:pPr>
        <w:ind w:left="2000" w:hanging="510"/>
        <w:spacing w:after="0"/>
        <w:tabs>
          <w:tab w:leader="none" w:pos="20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[Reserved];</w:t>
      </w:r>
    </w:p>
    <w:p>
      <w:pPr>
        <w:spacing w:after="0" w:line="201" w:lineRule="exact"/>
        <w:rPr>
          <w:rFonts w:ascii="Arial" w:cs="Arial" w:eastAsia="Arial" w:hAnsi="Arial"/>
          <w:sz w:val="20"/>
          <w:szCs w:val="20"/>
          <w:color w:val="auto"/>
        </w:rPr>
      </w:pPr>
    </w:p>
    <w:p>
      <w:pPr>
        <w:jc w:val="both"/>
        <w:ind w:right="20" w:firstLine="1490"/>
        <w:spacing w:after="0" w:line="290" w:lineRule="auto"/>
        <w:tabs>
          <w:tab w:leader="none" w:pos="201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Indebtedness incurred by the Borrower or any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126" w:lineRule="exact"/>
        <w:rPr>
          <w:rFonts w:ascii="Arial" w:cs="Arial" w:eastAsia="Arial" w:hAnsi="Arial"/>
          <w:sz w:val="18"/>
          <w:szCs w:val="18"/>
          <w:color w:val="auto"/>
        </w:rPr>
      </w:pPr>
    </w:p>
    <w:p>
      <w:pPr>
        <w:ind w:left="2000" w:hanging="510"/>
        <w:spacing w:after="0"/>
        <w:tabs>
          <w:tab w:leader="none" w:pos="20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Settlement Indebtedness;</w:t>
      </w:r>
    </w:p>
    <w:p>
      <w:pPr>
        <w:spacing w:after="0" w:line="201" w:lineRule="exact"/>
        <w:rPr>
          <w:rFonts w:ascii="Arial" w:cs="Arial" w:eastAsia="Arial" w:hAnsi="Arial"/>
          <w:sz w:val="20"/>
          <w:szCs w:val="20"/>
          <w:color w:val="auto"/>
        </w:rPr>
      </w:pPr>
    </w:p>
    <w:p>
      <w:pPr>
        <w:jc w:val="both"/>
        <w:ind w:right="20" w:firstLine="1490"/>
        <w:spacing w:after="0" w:line="246" w:lineRule="auto"/>
        <w:tabs>
          <w:tab w:leader="none" w:pos="2012"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Indebtedness in respect of Cash Management Obligations and other Indebtedness in respect of netting services, automated clearinghouse arrangements, overdraft protections and similar arrangements, in each case, in connection with securities or deposit accounts or from the honoring of a bank or other financial institution of a check, draft or similar instrument drawn against insufficient funds in the ordinary course of business;</w:t>
      </w:r>
    </w:p>
    <w:p>
      <w:pPr>
        <w:spacing w:after="0" w:line="176" w:lineRule="exact"/>
        <w:rPr>
          <w:rFonts w:ascii="Arial" w:cs="Arial" w:eastAsia="Arial" w:hAnsi="Arial"/>
          <w:sz w:val="20"/>
          <w:szCs w:val="20"/>
          <w:color w:val="auto"/>
        </w:rPr>
      </w:pPr>
    </w:p>
    <w:p>
      <w:pPr>
        <w:jc w:val="both"/>
        <w:ind w:right="20" w:firstLine="1490"/>
        <w:spacing w:after="0" w:line="246" w:lineRule="auto"/>
        <w:tabs>
          <w:tab w:leader="none" w:pos="2012"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Agreement;</w:t>
      </w:r>
    </w:p>
    <w:p>
      <w:pPr>
        <w:spacing w:after="0" w:line="162" w:lineRule="exact"/>
        <w:rPr>
          <w:rFonts w:ascii="Arial" w:cs="Arial" w:eastAsia="Arial" w:hAnsi="Arial"/>
          <w:sz w:val="20"/>
          <w:szCs w:val="20"/>
          <w:color w:val="auto"/>
        </w:rPr>
      </w:pPr>
    </w:p>
    <w:p>
      <w:pPr>
        <w:jc w:val="both"/>
        <w:ind w:firstLine="1490"/>
        <w:spacing w:after="0" w:line="246" w:lineRule="auto"/>
        <w:tabs>
          <w:tab w:leader="none" w:pos="2012"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Indebtedness of the Borrower or any Restricted Subsidiary or any Person that becomes a Restricted Subsidiary after the Effective Date (or of any Person not previously a Restricted Subsidiary that is merged, amalgamated or consolidated with or into the Borrower or any Restricted Subsidiary including the redesignation of an Unrestricted Subsidiary as a Restricted Subsidiary);</w:t>
      </w:r>
    </w:p>
    <w:p>
      <w:pPr>
        <w:spacing w:after="0" w:line="190" w:lineRule="exact"/>
        <w:rPr>
          <w:sz w:val="20"/>
          <w:szCs w:val="20"/>
          <w:color w:val="auto"/>
        </w:rPr>
      </w:pPr>
    </w:p>
    <w:p>
      <w:pPr>
        <w:jc w:val="center"/>
        <w:ind w:right="500"/>
        <w:spacing w:after="0"/>
        <w:rPr>
          <w:sz w:val="20"/>
          <w:szCs w:val="20"/>
          <w:color w:val="auto"/>
        </w:rPr>
      </w:pPr>
      <w:r>
        <w:rPr>
          <w:rFonts w:ascii="Arial" w:cs="Arial" w:eastAsia="Arial" w:hAnsi="Arial"/>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66040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040" w:top="325" w:right="539" w:bottom="1440" w:gutter="0" w:footer="0" w:header="0"/>
        </w:sectPr>
      </w:pPr>
    </w:p>
    <w:bookmarkStart w:id="304" w:name="page305"/>
    <w:bookmarkEnd w:id="304"/>
    <w:p>
      <w:pPr>
        <w:jc w:val="both"/>
        <w:spacing w:after="0" w:line="27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the incurrence thereof and after giving Pro Forma Effect thereto, the aggregate principal amount of Indebtedness outstanding in reliance on this clause (xiv) shall not exceed the sum of (A) the greater of (x) $60,000,000 and (y) 45.0% of Consolidated EBITDA computed on a Pro Forma Basis for the most recently ended Test Period as of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Available Amount that is Not Otherwise Applied as in effect immediately prior to the time of incurring of such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Available Equity Amount that is Not Otherwise Applied as in effect immediately prior to the time of incurring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amounts included in the definition of “Available Amount” may only be used for incurrence of such Indebtedness so long as no Specified Event of Default shall have occurred and be continuing at such time (it being understood that any Indebtedness deemed incurred or issued pursuant to this clause (xiv) will cease to be deemed incurred or issued or outstanding for the purpose of this clause (xiv) but will be deemed incurred or issued under clause (xvi) from and after the first date on which the Borrower or such Restricted Subsidiaries could have incurred such Indebtedness under clause (xvi));</w:t>
      </w:r>
    </w:p>
    <w:p>
      <w:pPr>
        <w:spacing w:after="0" w:line="144" w:lineRule="exact"/>
        <w:rPr>
          <w:sz w:val="20"/>
          <w:szCs w:val="20"/>
          <w:color w:val="auto"/>
        </w:rPr>
      </w:pPr>
    </w:p>
    <w:p>
      <w:pPr>
        <w:jc w:val="both"/>
        <w:ind w:firstLine="1490"/>
        <w:spacing w:after="0" w:line="267" w:lineRule="auto"/>
        <w:tabs>
          <w:tab w:leader="none" w:pos="201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(A) unsecured Indebtedness and Indebtedness secured by assets not constituting Collateral of the Borrower or any Restricted Subsidiary or any Person that becomes a Restricted Subsidiary after the Effective Date (or of any Person not previously a Restricted Subsidiary that is merged, amalgamated or consolidated with or into the Borrower or any Restricted Subsidiary including the redesignation of an Unrestricted Subsidiary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incurrence of such Indebtedness on a Pro Forma Basis, such amount shall not exceed the sum of (I) (x) the greater of $140,000,000 and 100% of Consolidated EBITDA computed on a Pro Forma Basis for the most recently ended Test Period as of such time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amounts of all Incremental Facilities and Incremental Equivalent Debt, in each case incurred pursuant to clause (I)(a) of the definition of “Incremental Cap” and all amounts previously incurred pursuant to clause (A)(I)(x) of this Section 6.01(a)(xv) or of Section 6.01(a)(xvi)),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Voluntary Prepayment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without duplication, the amounts of all Incremental Facilities and Incremental Equivalent Debt, in each case incurred pursuant to clause (I)(b) of the definition of “Incremental Cap” and all amounts previously incurred pursuant to clause (A)(I)(y) of this Section 6.01(a)(xv) or of Section 6.01(a)(xvi))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maximum aggregate principal amount that can be incurred without causing, at the election of the Borrower, either (i) the Total Net Leverage Ratio, on a Pro Forma Basis (calculated without deducting from the numerator of such Total Net Leverage Ratio any cash proceeds of such Indebtedness and assuming that, in the case of any revolving facility being established under this clause (xv), that all commitments with respect thereto were fully drawn;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the proceeds of any such Indebtedness are to be used to repay Indebtedness, the Borrower’s ability to give pro forma effect to such repayment and all other adjustments contemplated by the definition of “Pro Forma Basis” shall not be limited), to (1) exceed 6.00 to 1.00 for the most recent Test Period ended or (2) if incurred in connection with a Permitted Acquisition or other permitted Investment, to increase immediately after giving effect to such Permitted Acquisition or Investment or (ii) the Cash Interest Coverage Ratio, on a Pro Forma Basis, to (1) be less than 2.00 to 1.00 for the most recent Test Period ended or (2) if incurred in connection with a Permitted Acquisition or other permitted Investment, to decrease immediately after giving effect to such Permitted Acquisition or Investment and (B) any Permitted Refinancing of Indebtedness incurred pursuant to the foregoing subclause (A) so long as the obligors thereon do not include any Person that is not the Borrower or any Restricted Subsidiary;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Indebtedness complies with clauses (a), (b) and (c) of the definition of “Required Additional Debt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Indebtedness may be incurred under both clauses (I) and (II), and proceeds from any such incurrence may be utilized in a single transaction by first calculating the incurrence under clause (II) above (and any concurrent Borrowing of Revolving Loans) and then calculating the incurrence under clause (I) above) (if any) and, for the avoidance of doubt, the Total Net Leverage Ratio (or Cash Interest Coverage Ratio) shall be permitted to exceed the maximum (or minimum) ratio set forth in clause (II) above to the extent of such amounts incurred in reliance on</w:t>
      </w:r>
    </w:p>
    <w:p>
      <w:pPr>
        <w:spacing w:after="0" w:line="186"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66040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040" w:top="325" w:right="559" w:bottom="1440" w:gutter="0" w:footer="0" w:header="0"/>
        </w:sectPr>
      </w:pPr>
    </w:p>
    <w:bookmarkStart w:id="305" w:name="page306"/>
    <w:bookmarkEnd w:id="305"/>
    <w:p>
      <w:pPr>
        <w:jc w:val="both"/>
        <w:ind w:right="20"/>
        <w:spacing w:after="0" w:line="257" w:lineRule="auto"/>
        <w:rPr>
          <w:sz w:val="20"/>
          <w:szCs w:val="20"/>
          <w:color w:val="auto"/>
        </w:rPr>
      </w:pPr>
      <w:r>
        <w:rPr>
          <w:rFonts w:ascii="Arial" w:cs="Arial" w:eastAsia="Arial" w:hAnsi="Arial"/>
          <w:sz w:val="19"/>
          <w:szCs w:val="19"/>
          <w:color w:val="auto"/>
        </w:rPr>
        <w:t>clause (I) (and any concurrent Borrowing of Revolving Loans) at substantially the same time and the Borrower may re-designate any such Indebtedness originally incurred in respect of clause (I) as incurred in respect of clause (II) if, at the time of such re-designation, the Borrower would be permitted to incur such Indebtedness under clause (II) the aggregate principal amount of Indebtedness being so re-designated (for purposes of clarity, with any such re-designation having the effect of increasing the Borrower’s ability to incur Indebtedness in respect of clause (I) as of the date of such re-designation by the amount of such Indebtedness so re-designated (it being understood and agreed that such reclassification shall be automatic if at the end of any fiscal quarter such reclassification would be permitted));</w:t>
      </w:r>
    </w:p>
    <w:p>
      <w:pPr>
        <w:spacing w:after="0" w:line="156" w:lineRule="exact"/>
        <w:rPr>
          <w:sz w:val="20"/>
          <w:szCs w:val="20"/>
          <w:color w:val="auto"/>
        </w:rPr>
      </w:pPr>
    </w:p>
    <w:p>
      <w:pPr>
        <w:jc w:val="both"/>
        <w:ind w:firstLine="1490"/>
        <w:spacing w:after="0" w:line="267" w:lineRule="auto"/>
        <w:tabs>
          <w:tab w:leader="none" w:pos="201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(A) Indebtedness of the Borrower or any Restricted Subsidiary or any Person that becomes a Restricted Subsidiary after the Effective Date (or of any Person not previously a Restricted Subsidiary that is merged, amalgamated or consolidated with or into the Borrower or any Restricted Subsidiary including the redesignation of an Unrestricted Subsidiary as a Restricted Subsidiary) that is secured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or junior basis to the Secured Obligations and the agent for such Indebtedness has become a party to the applicable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incurrence of such Indebtedness on a Pro Forma Basis, such amount shall not exceed the sum of (I) (x) the greater of $140,000,000 and 100% of Consolidated EBITDA computed on a Pro Forma Basis for the most recently ended Test Period as of such time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amounts of all Incremental Facilities and Incremental Equivalent Debt, in each case incurred pursuant to clause (I)(a) of the definition of “Incremental Cap” and all amounts previously incurred pursuant to clause (A)(I)(x) of this Section 6.01(a)(xvi) or of Section 6.01(a)(xv)),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Voluntary Prepayment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without duplication, the amounts of all Incremental Facilities and Incremental Equivalent Debt, in each case incurred pursuant to clause (I)(b) of the definition of “Incremental Cap” and all amounts previously incurred pursuant to clause (A)(I)(y) of this Section 6.01(a)(xvi) or of Section 6.01(a)(xv)),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in the case of Indebtedness secured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basis with the Secured Obligations, the maximum aggregate principal amount that can be incurred without causing the Senior Secured First Lien Net Leverage Ratio, on a Pro Forma Basis (calculated without deducting from the numerator of such Senior Secured First Lien Net Leverage Ratio any cash proceeds of such Indebtedness and assuming that, in the case of any revolving facility being established under this clause (xvi), that all commitments with respect thereto were fully drawn;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the proceeds of any such Indebtedness are to be used to repay Indebtedness, the Borrower’s ability to give pro forma effect to such repayment and all other adjustments contemplated by the definition of “Pro Forma Basis” shall not be limited), to (1) exceed 5.00 to 1.00 for the most recent Test Period ended or (2) if incurred in connection with a Permitted Acquisition or other permitted Investment, increase immediately after giving effect to such Permitted Acquisition or Investment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in the case of Indebtedness secured on a junior basis to the Secured Obligations, the maximum aggregate principal amount that can be incurred without causing the Senior Secured Net Leverage Ratio, on a Pro Forma Basis (calculated without deducting from the numerator of such Senior Secured Net Leverage Ratio any cash proceeds of such Indebtedness and assuming that, in the case of any revolving facility being established under this clause (xvi), that all commitments with respect thereto were fully drawn;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the proceeds of any such Indebtedness are to be used to repay Indebtedness, the Borrower’s ability to give pro forma effect to such repayment and all other adjustments contemplated by the definition of “Pro Forma Basis” shall not be limited), to (1) exceed 5.50 to 1.00 for the most recent Test Period ended or (2) if incurred in connection with a Permitted Acquisition or other permitted Investment, increase immediately after giving effect to such Permitted Acquisition or Investment), and (B) any Permitted Refinancing of Indebtedness incurred pursuant to the foregoing subclause (A) so long as the obligors thereon do not include any Person that is not the Borrower or any Restricted Subsidiary;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Indebtedness complies with clauses (a), (b), (c) and (e) of the definition of “Required Additional Debt Terms”;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Indebtedness may be incurred under both clauses (I)</w:t>
      </w:r>
    </w:p>
    <w:p>
      <w:pPr>
        <w:spacing w:after="0" w:line="182" w:lineRule="exact"/>
        <w:rPr>
          <w:sz w:val="20"/>
          <w:szCs w:val="20"/>
          <w:color w:val="auto"/>
        </w:rPr>
      </w:pPr>
    </w:p>
    <w:p>
      <w:pPr>
        <w:jc w:val="center"/>
        <w:ind w:right="500"/>
        <w:spacing w:after="0"/>
        <w:rPr>
          <w:sz w:val="20"/>
          <w:szCs w:val="20"/>
          <w:color w:val="auto"/>
        </w:rPr>
      </w:pPr>
      <w:r>
        <w:rPr>
          <w:rFonts w:ascii="Arial" w:cs="Arial" w:eastAsia="Arial" w:hAnsi="Arial"/>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66040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040" w:top="325" w:right="539" w:bottom="1440" w:gutter="0" w:footer="0" w:header="0"/>
        </w:sectPr>
      </w:pPr>
    </w:p>
    <w:bookmarkStart w:id="306" w:name="page307"/>
    <w:bookmarkEnd w:id="306"/>
    <w:p>
      <w:pPr>
        <w:jc w:val="both"/>
        <w:ind w:right="20"/>
        <w:spacing w:after="0" w:line="270" w:lineRule="auto"/>
        <w:rPr>
          <w:sz w:val="20"/>
          <w:szCs w:val="20"/>
          <w:color w:val="auto"/>
        </w:rPr>
      </w:pPr>
      <w:r>
        <w:rPr>
          <w:rFonts w:ascii="Arial" w:cs="Arial" w:eastAsia="Arial" w:hAnsi="Arial"/>
          <w:sz w:val="18"/>
          <w:szCs w:val="18"/>
          <w:color w:val="auto"/>
        </w:rPr>
        <w:t>and (II) or clauses (I) and (III) and proceeds from any such incurrence may be utilized in a single transaction by first calculating the incurrence under clause (II) or (III) above (and any concurrent Borrowing of Revolving Loans) and then calculating the incurrence under clause (I) above) (if any) and, for the avoidance of doubt, the Senior Secured First Lien Net Leverage Ratio or Senior Secured Net Leverage Ratio, as applicable, shall be permitted to exceed the maximum ratio set forth in clause (II) or (III) above to the extent of such amounts incurred in reliance on clause (I) (and any concurrent Borrowing of Revolving Loans) at substantially the same time and the Borrower may re-designate any such Indebtedness originally incurred in respect of clause (I) as incurred in respect of clause (II) if, at the time of such re-designation, the Borrower would be permitted to incur such Indebtedness under clause (II) the aggregate principal amount of Indebtedness being so re-designated (for purposes of clarity, with any such re-designation having the effect of increasing the Borrower’s ability to incur Indebtedness in respect of clause (I) as of the date of such re-designation by the amount of such Indebtedness so re-designated (it being understood and agreed that such reclassification shall be automatic if at the end of any fiscal quarter such reclassification would be permitted));</w:t>
      </w:r>
    </w:p>
    <w:p>
      <w:pPr>
        <w:spacing w:after="0" w:line="149" w:lineRule="exact"/>
        <w:rPr>
          <w:sz w:val="20"/>
          <w:szCs w:val="20"/>
          <w:color w:val="auto"/>
        </w:rPr>
      </w:pPr>
    </w:p>
    <w:p>
      <w:pPr>
        <w:jc w:val="both"/>
        <w:ind w:right="20" w:firstLine="1490"/>
        <w:spacing w:after="0" w:line="249" w:lineRule="auto"/>
        <w:tabs>
          <w:tab w:leader="none" w:pos="2012" w:val="left"/>
        </w:tabs>
        <w:numPr>
          <w:ilvl w:val="0"/>
          <w:numId w:val="269"/>
        </w:numPr>
        <w:rPr>
          <w:rFonts w:ascii="Arial" w:cs="Arial" w:eastAsia="Arial" w:hAnsi="Arial"/>
          <w:sz w:val="20"/>
          <w:szCs w:val="20"/>
          <w:color w:val="auto"/>
        </w:rPr>
      </w:pPr>
      <w:r>
        <w:rPr>
          <w:rFonts w:ascii="Arial" w:cs="Arial" w:eastAsia="Arial" w:hAnsi="Arial"/>
          <w:sz w:val="20"/>
          <w:szCs w:val="20"/>
          <w:color w:val="auto"/>
        </w:rPr>
        <w:t>Indebtedness in an amount not to exceed one times the unutilized amounts pursuant to clause (xvi) of Section 6.07 (provided that any such usage under this clause shall reduce the amounts available under such clause (xvi) of Section 6.07);</w:t>
      </w:r>
    </w:p>
    <w:p>
      <w:pPr>
        <w:spacing w:after="0" w:line="174" w:lineRule="exact"/>
        <w:rPr>
          <w:sz w:val="20"/>
          <w:szCs w:val="20"/>
          <w:color w:val="auto"/>
        </w:rPr>
      </w:pPr>
    </w:p>
    <w:p>
      <w:pPr>
        <w:ind w:right="20" w:firstLine="1498"/>
        <w:spacing w:after="0" w:line="260" w:lineRule="auto"/>
        <w:rPr>
          <w:sz w:val="20"/>
          <w:szCs w:val="20"/>
          <w:color w:val="auto"/>
        </w:rPr>
      </w:pPr>
      <w:r>
        <w:rPr>
          <w:rFonts w:ascii="Arial" w:cs="Arial" w:eastAsia="Arial" w:hAnsi="Arial"/>
          <w:sz w:val="20"/>
          <w:szCs w:val="20"/>
          <w:color w:val="auto"/>
        </w:rPr>
        <w:t>(xviii)Indebtedness consisting of (A) the financing of insurance premiums or (B) take-or-pay obligations contained in supply arrangements, in each case, in the ordinary course of business;</w:t>
      </w:r>
    </w:p>
    <w:p>
      <w:pPr>
        <w:spacing w:after="0" w:line="162" w:lineRule="exact"/>
        <w:rPr>
          <w:sz w:val="20"/>
          <w:szCs w:val="20"/>
          <w:color w:val="auto"/>
        </w:rPr>
      </w:pPr>
    </w:p>
    <w:p>
      <w:pPr>
        <w:ind w:left="2000" w:hanging="510"/>
        <w:spacing w:after="0"/>
        <w:tabs>
          <w:tab w:leader="none" w:pos="20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Indebtedness supported by a Letter of Credit, in a principal amount not to exceed the face amount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such Letter of Credit;</w:t>
      </w:r>
    </w:p>
    <w:p>
      <w:pPr>
        <w:spacing w:after="0" w:line="172" w:lineRule="exact"/>
        <w:rPr>
          <w:rFonts w:ascii="Arial" w:cs="Arial" w:eastAsia="Arial" w:hAnsi="Arial"/>
          <w:sz w:val="18"/>
          <w:szCs w:val="18"/>
          <w:color w:val="auto"/>
        </w:rPr>
      </w:pPr>
    </w:p>
    <w:p>
      <w:pPr>
        <w:ind w:left="2000" w:hanging="510"/>
        <w:spacing w:after="0"/>
        <w:tabs>
          <w:tab w:leader="none" w:pos="2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[reserved];</w:t>
      </w:r>
    </w:p>
    <w:p>
      <w:pPr>
        <w:spacing w:after="0" w:line="201" w:lineRule="exact"/>
        <w:rPr>
          <w:rFonts w:ascii="Arial" w:cs="Arial" w:eastAsia="Arial" w:hAnsi="Arial"/>
          <w:sz w:val="20"/>
          <w:szCs w:val="20"/>
          <w:color w:val="auto"/>
        </w:rPr>
      </w:pPr>
    </w:p>
    <w:p>
      <w:pPr>
        <w:jc w:val="both"/>
        <w:ind w:firstLine="1490"/>
        <w:spacing w:after="0" w:line="242" w:lineRule="auto"/>
        <w:tabs>
          <w:tab w:leader="none" w:pos="2012" w:val="left"/>
        </w:tabs>
        <w:numPr>
          <w:ilvl w:val="0"/>
          <w:numId w:val="270"/>
        </w:numPr>
        <w:rPr>
          <w:rFonts w:ascii="Arial" w:cs="Arial" w:eastAsia="Arial" w:hAnsi="Arial"/>
          <w:sz w:val="20"/>
          <w:szCs w:val="20"/>
          <w:color w:val="auto"/>
        </w:rPr>
      </w:pPr>
      <w:r>
        <w:rPr>
          <w:rFonts w:ascii="Arial" w:cs="Arial" w:eastAsia="Arial" w:hAnsi="Arial"/>
          <w:sz w:val="20"/>
          <w:szCs w:val="20"/>
          <w:color w:val="auto"/>
        </w:rPr>
        <w:t xml:space="preserve">Permitted Unsecured Refinancing Debt, and any Permitted Refinancing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in the case of any Permitted Unsecured Refinancing Debt that constitutes a Permitted Refinancing of Incremental Equivalent Debt, the obligor thereon shall be the Borrower and (B) in the case of any Permitted Refinancing of any Permitted Unsecured Refinancing Debt, the obligor thereon shall be the Borrower or a Subsidiary Loan Party;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the case of any Permitted Unsecured Refinancing Debt that constitutes a Permitted Refinancing of Incremental Equivalent Debt (or any Permitted Refinancing thereof), such Indebtedness shall comply with clauses (c) and (e) of the definition of “Credit Agreement Refinancing Indebtedness”;</w:t>
      </w:r>
    </w:p>
    <w:p>
      <w:pPr>
        <w:spacing w:after="0" w:line="183" w:lineRule="exact"/>
        <w:rPr>
          <w:rFonts w:ascii="Arial" w:cs="Arial" w:eastAsia="Arial" w:hAnsi="Arial"/>
          <w:sz w:val="20"/>
          <w:szCs w:val="20"/>
          <w:color w:val="auto"/>
        </w:rPr>
      </w:pPr>
    </w:p>
    <w:p>
      <w:pPr>
        <w:jc w:val="both"/>
        <w:ind w:right="20" w:firstLine="1490"/>
        <w:spacing w:after="0" w:line="272" w:lineRule="auto"/>
        <w:tabs>
          <w:tab w:leader="none" w:pos="201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Permitted First Priority Refinancing Debt and Permitted Junior Priority Refinancing Debt, and any Permitted Refinancing of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(A)in the case of any Permitted First Priority Refinancing Debt or Permitted Junior Priority Refinancing Debt that constitutes a Permitted Refinancing of Incremental Equivalent Debt, the obligor thereon shall be the Borrower and (B) in the case of any Permitted Refinancing of any Permitted First Priority Refinancing Debt or Permitted Junior Priority Refinancing Debt, the obligor thereon shall be the Borrower or a Subsidiary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the case of any Permitted First Priority Refinancing Debt or Permitted Junior Priority Refinancing Debt that constitutes a Permitted Refinancing of Incremental Equivalent Debt (or any Permitted Refinancing thereof), such Indebtedness shall comply with clauses (c), (d) and (e) of the definition of “Credit Agreement Refinancing Indebtedness”;</w:t>
      </w:r>
    </w:p>
    <w:p>
      <w:pPr>
        <w:spacing w:after="0" w:line="146" w:lineRule="exact"/>
        <w:rPr>
          <w:sz w:val="20"/>
          <w:szCs w:val="20"/>
          <w:color w:val="auto"/>
        </w:rPr>
      </w:pPr>
    </w:p>
    <w:p>
      <w:pPr>
        <w:jc w:val="both"/>
        <w:ind w:right="20" w:firstLine="1498"/>
        <w:spacing w:after="0" w:line="246" w:lineRule="auto"/>
        <w:rPr>
          <w:sz w:val="20"/>
          <w:szCs w:val="20"/>
          <w:color w:val="auto"/>
        </w:rPr>
      </w:pPr>
      <w:r>
        <w:rPr>
          <w:rFonts w:ascii="Arial" w:cs="Arial" w:eastAsia="Arial" w:hAnsi="Arial"/>
          <w:sz w:val="20"/>
          <w:szCs w:val="20"/>
          <w:color w:val="auto"/>
        </w:rPr>
        <w:t xml:space="preserve">(xxiii)Indebtedness of the Borrower issued in lieu of Incremental Facilities consisting of one or more series of secured or unsecured loans, bonds, notes or debentures (which loans, bonds, notes or debentures, if secured, may be secured either by Liens </w:t>
      </w:r>
      <w:r>
        <w:rPr>
          <w:rFonts w:ascii="Arial" w:cs="Arial" w:eastAsia="Arial" w:hAnsi="Arial"/>
          <w:sz w:val="20"/>
          <w:szCs w:val="20"/>
          <w:u w:val="single" w:color="auto"/>
          <w:color w:val="auto"/>
        </w:rPr>
        <w:t>pari passu</w:t>
      </w:r>
      <w:r>
        <w:rPr>
          <w:rFonts w:ascii="Arial" w:cs="Arial" w:eastAsia="Arial" w:hAnsi="Arial"/>
          <w:sz w:val="20"/>
          <w:szCs w:val="20"/>
          <w:color w:val="auto"/>
        </w:rPr>
        <w:t xml:space="preserve"> with the Liens on the Collateral securing the Secured Obligations (but without regard to control of remedies) or by Liens</w:t>
      </w:r>
    </w:p>
    <w:p>
      <w:pPr>
        <w:spacing w:after="0" w:line="190" w:lineRule="exact"/>
        <w:rPr>
          <w:sz w:val="20"/>
          <w:szCs w:val="20"/>
          <w:color w:val="auto"/>
        </w:rPr>
      </w:pPr>
    </w:p>
    <w:p>
      <w:pPr>
        <w:jc w:val="center"/>
        <w:ind w:right="500"/>
        <w:spacing w:after="0"/>
        <w:rPr>
          <w:sz w:val="20"/>
          <w:szCs w:val="20"/>
          <w:color w:val="auto"/>
        </w:rPr>
      </w:pPr>
      <w:r>
        <w:rPr>
          <w:rFonts w:ascii="Arial" w:cs="Arial" w:eastAsia="Arial" w:hAnsi="Arial"/>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66040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040" w:top="325" w:right="539" w:bottom="1440" w:gutter="0" w:footer="0" w:header="0"/>
        </w:sectPr>
      </w:pPr>
    </w:p>
    <w:bookmarkStart w:id="307" w:name="page308"/>
    <w:bookmarkEnd w:id="307"/>
    <w:p>
      <w:pPr>
        <w:jc w:val="both"/>
        <w:spacing w:after="0" w:line="275" w:lineRule="auto"/>
        <w:rPr>
          <w:sz w:val="20"/>
          <w:szCs w:val="20"/>
          <w:color w:val="auto"/>
        </w:rPr>
      </w:pPr>
      <w:r>
        <w:rPr>
          <w:rFonts w:ascii="Arial" w:cs="Arial" w:eastAsia="Arial" w:hAnsi="Arial"/>
          <w:sz w:val="18"/>
          <w:szCs w:val="18"/>
          <w:color w:val="auto"/>
        </w:rPr>
        <w:t>having a junior priority relative to the Liens on the Collateral securing the Secured Obligations) (and any Registered Equivalent Notes issued in exchange therefor) (the Indebtedness incurred under this clause (xxiii) being “</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aggregate principal amount of all such Indebtedness incurred pursuant to this clause (xxiii) shall not exceed, at the time of incurrence, the Incremental Cap at such time, and (y) such Indebtedness complies with the provisions of the Required Additional Debt Terms (other than clause (g) thereof except in the case of floating rate U.S. dollar denominated term loans secured on a pari passu basis in right of payment with the Initial Term Loans);</w:t>
      </w:r>
    </w:p>
    <w:p>
      <w:pPr>
        <w:spacing w:after="0" w:line="141" w:lineRule="exact"/>
        <w:rPr>
          <w:sz w:val="20"/>
          <w:szCs w:val="20"/>
          <w:color w:val="auto"/>
        </w:rPr>
      </w:pPr>
    </w:p>
    <w:p>
      <w:pPr>
        <w:jc w:val="both"/>
        <w:ind w:firstLine="1490"/>
        <w:spacing w:after="0" w:line="278" w:lineRule="auto"/>
        <w:tabs>
          <w:tab w:leader="none" w:pos="201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Indebtedness of any Restricted Subsidiary that is not a Loan Party in an amount not to exceed, at the time of incurrence thereof and after giving Pro Forma Effect thereto, the sum of (I) the greater of (A) $50,000,000 and (B) 36% of Consolidated EBITDA computed on a Pro Forma Basis for the most recently ended Test Period as of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an unlimited amount of Indebtedness if such Indebtedness is in the form of ordinary course working capital lines of credit or other local lines of credit that is non-recourse to any Loan Party and is not secured by assets constituting Collateral;</w:t>
      </w:r>
    </w:p>
    <w:p>
      <w:pPr>
        <w:spacing w:after="0" w:line="149" w:lineRule="exact"/>
        <w:rPr>
          <w:rFonts w:ascii="Arial" w:cs="Arial" w:eastAsia="Arial" w:hAnsi="Arial"/>
          <w:sz w:val="18"/>
          <w:szCs w:val="18"/>
          <w:color w:val="auto"/>
        </w:rPr>
      </w:pPr>
    </w:p>
    <w:p>
      <w:pPr>
        <w:jc w:val="both"/>
        <w:ind w:right="20" w:firstLine="1490"/>
        <w:spacing w:after="0" w:line="327" w:lineRule="auto"/>
        <w:tabs>
          <w:tab w:leader="none" w:pos="201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Indebtedness incurred by the Borrower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indemnification or reimbursement-type obligations;</w:t>
      </w:r>
    </w:p>
    <w:p>
      <w:pPr>
        <w:spacing w:after="0" w:line="116" w:lineRule="exact"/>
        <w:rPr>
          <w:rFonts w:ascii="Arial" w:cs="Arial" w:eastAsia="Arial" w:hAnsi="Arial"/>
          <w:sz w:val="16"/>
          <w:szCs w:val="16"/>
          <w:color w:val="auto"/>
        </w:rPr>
      </w:pPr>
    </w:p>
    <w:p>
      <w:pPr>
        <w:jc w:val="both"/>
        <w:ind w:right="20" w:firstLine="1490"/>
        <w:spacing w:after="0" w:line="246" w:lineRule="auto"/>
        <w:tabs>
          <w:tab w:leader="none" w:pos="2012" w:val="left"/>
        </w:tabs>
        <w:numPr>
          <w:ilvl w:val="0"/>
          <w:numId w:val="271"/>
        </w:numPr>
        <w:rPr>
          <w:rFonts w:ascii="Arial" w:cs="Arial" w:eastAsia="Arial" w:hAnsi="Arial"/>
          <w:sz w:val="20"/>
          <w:szCs w:val="20"/>
          <w:color w:val="auto"/>
        </w:rPr>
      </w:pPr>
      <w:r>
        <w:rPr>
          <w:rFonts w:ascii="Arial" w:cs="Arial" w:eastAsia="Arial" w:hAnsi="Arial"/>
          <w:sz w:val="20"/>
          <w:szCs w:val="20"/>
          <w:color w:val="auto"/>
        </w:rPr>
        <w:t>obligations in respect of self-insurance and obligations in respect of performance, bid, appeal and surety bonds and performance and completion guarantees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163" w:lineRule="exact"/>
        <w:rPr>
          <w:sz w:val="20"/>
          <w:szCs w:val="20"/>
          <w:color w:val="auto"/>
        </w:rPr>
      </w:pPr>
    </w:p>
    <w:p>
      <w:pPr>
        <w:jc w:val="both"/>
        <w:ind w:right="20" w:firstLine="1498"/>
        <w:spacing w:after="0" w:line="315" w:lineRule="auto"/>
        <w:rPr>
          <w:sz w:val="20"/>
          <w:szCs w:val="20"/>
          <w:color w:val="auto"/>
        </w:rPr>
      </w:pPr>
      <w:r>
        <w:rPr>
          <w:rFonts w:ascii="Arial" w:cs="Arial" w:eastAsia="Arial" w:hAnsi="Arial"/>
          <w:sz w:val="18"/>
          <w:szCs w:val="18"/>
          <w:color w:val="auto"/>
        </w:rPr>
        <w:t>(xxvii)Indebtedness representing deferred compensation or stock-based compensation owed to employees of the Borrower or the Restricted Subsidiaries incurred in the ordinary course of business or consistent with past practice;</w:t>
      </w:r>
    </w:p>
    <w:p>
      <w:pPr>
        <w:spacing w:after="0" w:line="117" w:lineRule="exact"/>
        <w:rPr>
          <w:sz w:val="20"/>
          <w:szCs w:val="20"/>
          <w:color w:val="auto"/>
        </w:rPr>
      </w:pPr>
    </w:p>
    <w:p>
      <w:pPr>
        <w:jc w:val="both"/>
        <w:ind w:right="20" w:firstLine="1498"/>
        <w:spacing w:after="0" w:line="246" w:lineRule="auto"/>
        <w:rPr>
          <w:sz w:val="20"/>
          <w:szCs w:val="20"/>
          <w:color w:val="auto"/>
        </w:rPr>
      </w:pPr>
      <w:r>
        <w:rPr>
          <w:rFonts w:ascii="Arial" w:cs="Arial" w:eastAsia="Arial" w:hAnsi="Arial"/>
          <w:sz w:val="20"/>
          <w:szCs w:val="20"/>
          <w:color w:val="auto"/>
        </w:rPr>
        <w:t>(xxviii)Indebtedness consisting of promissory notes issued by the Borrower or any Restricted Subsidiary to future, current or former officers, directors, employees, managers and consultants or their respective estates, spouses or former spouses, in each case to finance the purchase or redemption of Equity Interests of the Borrower or any direct or indirect parent of the Borrower to the extent permitted by Section 6.07(a);</w:t>
      </w:r>
    </w:p>
    <w:p>
      <w:pPr>
        <w:spacing w:after="0" w:line="176" w:lineRule="exact"/>
        <w:rPr>
          <w:sz w:val="20"/>
          <w:szCs w:val="20"/>
          <w:color w:val="auto"/>
        </w:rPr>
      </w:pPr>
    </w:p>
    <w:p>
      <w:pPr>
        <w:jc w:val="both"/>
        <w:ind w:right="20" w:firstLine="1490"/>
        <w:spacing w:after="0" w:line="269" w:lineRule="auto"/>
        <w:tabs>
          <w:tab w:leader="none" w:pos="2012" w:val="left"/>
        </w:tabs>
        <w:numPr>
          <w:ilvl w:val="0"/>
          <w:numId w:val="272"/>
        </w:numPr>
        <w:rPr>
          <w:rFonts w:ascii="Arial" w:cs="Arial" w:eastAsia="Arial" w:hAnsi="Arial"/>
          <w:sz w:val="19"/>
          <w:szCs w:val="19"/>
          <w:color w:val="auto"/>
        </w:rPr>
      </w:pPr>
      <w:r>
        <w:rPr>
          <w:rFonts w:ascii="Arial" w:cs="Arial" w:eastAsia="Arial" w:hAnsi="Arial"/>
          <w:sz w:val="19"/>
          <w:szCs w:val="19"/>
          <w:color w:val="auto"/>
        </w:rPr>
        <w:t>Indebtedness incurred in connection with a Qualified Securitization Facility in an amount not to exceed, at the time of incurrence thereof and after giving Pro Forma Effect thereto, the greater of (A) $40,000,000 and (B) 30.0% of Consolidated EBITDA computed on a Pro Forma Basis for the most recently ended Rest Period as of such time;</w:t>
      </w:r>
    </w:p>
    <w:p>
      <w:pPr>
        <w:spacing w:after="0" w:line="141" w:lineRule="exact"/>
        <w:rPr>
          <w:rFonts w:ascii="Arial" w:cs="Arial" w:eastAsia="Arial" w:hAnsi="Arial"/>
          <w:sz w:val="19"/>
          <w:szCs w:val="19"/>
          <w:color w:val="auto"/>
        </w:rPr>
      </w:pPr>
    </w:p>
    <w:p>
      <w:pPr>
        <w:jc w:val="both"/>
        <w:ind w:right="20" w:firstLine="1490"/>
        <w:spacing w:after="0" w:line="269" w:lineRule="auto"/>
        <w:tabs>
          <w:tab w:leader="none" w:pos="2012" w:val="left"/>
        </w:tabs>
        <w:numPr>
          <w:ilvl w:val="0"/>
          <w:numId w:val="272"/>
        </w:numPr>
        <w:rPr>
          <w:rFonts w:ascii="Arial" w:cs="Arial" w:eastAsia="Arial" w:hAnsi="Arial"/>
          <w:sz w:val="19"/>
          <w:szCs w:val="19"/>
          <w:color w:val="auto"/>
        </w:rPr>
      </w:pPr>
      <w:r>
        <w:rPr>
          <w:rFonts w:ascii="Arial" w:cs="Arial" w:eastAsia="Arial" w:hAnsi="Arial"/>
          <w:sz w:val="19"/>
          <w:szCs w:val="19"/>
          <w:color w:val="auto"/>
        </w:rPr>
        <w:t>Indebtedness of any Restricted Subsidiary that is a joint venture in an amount not to exceed, at the time of incurrence thereof and after giving Pro Forma Effect thereto, the greater of (A) $35,000,000 and (B) 25.0% of Consolidated EBITDA computed on a Pro Forma Basis for the most recently ended Test Period as of such time; and</w:t>
      </w:r>
    </w:p>
    <w:p>
      <w:pPr>
        <w:spacing w:after="0" w:line="155" w:lineRule="exact"/>
        <w:rPr>
          <w:rFonts w:ascii="Arial" w:cs="Arial" w:eastAsia="Arial" w:hAnsi="Arial"/>
          <w:sz w:val="19"/>
          <w:szCs w:val="19"/>
          <w:color w:val="auto"/>
        </w:rPr>
      </w:pPr>
    </w:p>
    <w:p>
      <w:pPr>
        <w:ind w:left="2000" w:hanging="510"/>
        <w:spacing w:after="0"/>
        <w:tabs>
          <w:tab w:leader="none" w:pos="200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endorsement of instruments or other payment items for deposit in the ordinary course of business;</w:t>
      </w:r>
    </w:p>
    <w:p>
      <w:pPr>
        <w:spacing w:after="0" w:line="226" w:lineRule="exact"/>
        <w:rPr>
          <w:sz w:val="20"/>
          <w:szCs w:val="20"/>
          <w:color w:val="auto"/>
        </w:rPr>
      </w:pPr>
    </w:p>
    <w:p>
      <w:pPr>
        <w:jc w:val="center"/>
        <w:ind w:right="500"/>
        <w:spacing w:after="0"/>
        <w:rPr>
          <w:sz w:val="20"/>
          <w:szCs w:val="20"/>
          <w:color w:val="auto"/>
        </w:rPr>
      </w:pPr>
      <w:r>
        <w:rPr>
          <w:rFonts w:ascii="Arial" w:cs="Arial" w:eastAsia="Arial" w:hAnsi="Arial"/>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66040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040" w:top="325" w:right="539" w:bottom="1440" w:gutter="0" w:footer="0" w:header="0"/>
        </w:sectPr>
      </w:pPr>
    </w:p>
    <w:bookmarkStart w:id="308" w:name="page309"/>
    <w:bookmarkEnd w:id="308"/>
    <w:p>
      <w:pPr>
        <w:jc w:val="both"/>
        <w:ind w:left="540" w:right="220" w:firstLine="1498"/>
        <w:spacing w:after="0" w:line="260" w:lineRule="auto"/>
        <w:rPr>
          <w:sz w:val="20"/>
          <w:szCs w:val="20"/>
          <w:color w:val="auto"/>
        </w:rPr>
      </w:pPr>
      <w:r>
        <w:rPr>
          <w:rFonts w:ascii="Arial" w:cs="Arial" w:eastAsia="Arial" w:hAnsi="Arial"/>
          <w:sz w:val="20"/>
          <w:szCs w:val="20"/>
          <w:color w:val="auto"/>
        </w:rPr>
        <w:t>(xxxii)to the extent constituting Indebtedness, Guarantees in the ordinary course of business of the obligations of suppliers, customers, franchisees and licensees of the Borrower and its Restricted Subsidiaries;</w:t>
      </w:r>
    </w:p>
    <w:p>
      <w:pPr>
        <w:spacing w:after="0" w:line="149" w:lineRule="exact"/>
        <w:rPr>
          <w:sz w:val="20"/>
          <w:szCs w:val="20"/>
          <w:color w:val="auto"/>
        </w:rPr>
      </w:pPr>
    </w:p>
    <w:p>
      <w:pPr>
        <w:jc w:val="both"/>
        <w:ind w:left="540" w:right="220" w:firstLine="1498"/>
        <w:spacing w:after="0" w:line="249" w:lineRule="auto"/>
        <w:rPr>
          <w:sz w:val="20"/>
          <w:szCs w:val="20"/>
          <w:color w:val="auto"/>
        </w:rPr>
      </w:pPr>
      <w:r>
        <w:rPr>
          <w:rFonts w:ascii="Arial" w:cs="Arial" w:eastAsia="Arial" w:hAnsi="Arial"/>
          <w:sz w:val="20"/>
          <w:szCs w:val="20"/>
          <w:color w:val="auto"/>
        </w:rPr>
        <w:t>(xxxiii)performance Guarantees of the Borrower and the Restricted Subsidiaries primarily guaranteeing performance of contractual obligations of the Borrower or Restricted Subsidiaries to a third party and not primarily for the purpose of guaranteeing payment of Indebtedness;</w:t>
      </w:r>
    </w:p>
    <w:p>
      <w:pPr>
        <w:spacing w:after="0" w:line="174" w:lineRule="exact"/>
        <w:rPr>
          <w:sz w:val="20"/>
          <w:szCs w:val="20"/>
          <w:color w:val="auto"/>
        </w:rPr>
      </w:pPr>
    </w:p>
    <w:p>
      <w:pPr>
        <w:ind w:left="2020"/>
        <w:spacing w:after="0"/>
        <w:rPr>
          <w:sz w:val="20"/>
          <w:szCs w:val="20"/>
          <w:color w:val="auto"/>
        </w:rPr>
      </w:pPr>
      <w:r>
        <w:rPr>
          <w:rFonts w:ascii="Arial" w:cs="Arial" w:eastAsia="Arial" w:hAnsi="Arial"/>
          <w:sz w:val="19"/>
          <w:szCs w:val="19"/>
          <w:color w:val="auto"/>
        </w:rPr>
        <w:t>(xxxiv)Indebtedness in respect of trade letters of credit not to exceed $10,000,000 at any time outstanding;</w:t>
      </w:r>
    </w:p>
    <w:p>
      <w:pPr>
        <w:spacing w:after="0" w:line="213" w:lineRule="exact"/>
        <w:rPr>
          <w:sz w:val="20"/>
          <w:szCs w:val="20"/>
          <w:color w:val="auto"/>
        </w:rPr>
      </w:pPr>
    </w:p>
    <w:p>
      <w:pPr>
        <w:jc w:val="both"/>
        <w:ind w:left="540" w:right="220" w:firstLine="1498"/>
        <w:spacing w:after="0" w:line="249" w:lineRule="auto"/>
        <w:rPr>
          <w:sz w:val="20"/>
          <w:szCs w:val="20"/>
          <w:color w:val="auto"/>
        </w:rPr>
      </w:pPr>
      <w:r>
        <w:rPr>
          <w:rFonts w:ascii="Arial" w:cs="Arial" w:eastAsia="Arial" w:hAnsi="Arial"/>
          <w:sz w:val="20"/>
          <w:szCs w:val="20"/>
          <w:color w:val="auto"/>
        </w:rPr>
        <w:t>(xxxv)obligations in respect of letters of support, guarantees or similar obligations issued, made or incurred for the benefit of the Borrower or any Subsidiary of the Borrower to the extent required by law or in connection with any statutory filing or the delivery of audit opinions; and</w:t>
      </w:r>
    </w:p>
    <w:p>
      <w:pPr>
        <w:spacing w:after="0" w:line="161" w:lineRule="exact"/>
        <w:rPr>
          <w:sz w:val="20"/>
          <w:szCs w:val="20"/>
          <w:color w:val="auto"/>
        </w:rPr>
      </w:pPr>
    </w:p>
    <w:p>
      <w:pPr>
        <w:jc w:val="both"/>
        <w:ind w:left="540" w:right="220" w:firstLine="1498"/>
        <w:spacing w:after="0" w:line="260" w:lineRule="auto"/>
        <w:rPr>
          <w:sz w:val="20"/>
          <w:szCs w:val="20"/>
          <w:color w:val="auto"/>
        </w:rPr>
      </w:pPr>
      <w:r>
        <w:rPr>
          <w:rFonts w:ascii="Arial" w:cs="Arial" w:eastAsia="Arial" w:hAnsi="Arial"/>
          <w:sz w:val="20"/>
          <w:szCs w:val="20"/>
          <w:color w:val="auto"/>
        </w:rPr>
        <w:t>(xxxvi)all premiums (if any), interest (including post-petition interest), fees, expenses, charges and additional or contingent interest on obligations described in clauses (i) through (xxxv) above.</w:t>
      </w:r>
    </w:p>
    <w:p>
      <w:pPr>
        <w:spacing w:after="0" w:line="189" w:lineRule="exact"/>
        <w:rPr>
          <w:sz w:val="20"/>
          <w:szCs w:val="20"/>
          <w:color w:val="auto"/>
        </w:rPr>
      </w:pPr>
    </w:p>
    <w:p>
      <w:pPr>
        <w:jc w:val="both"/>
        <w:ind w:firstLine="1490"/>
        <w:spacing w:after="0" w:line="275" w:lineRule="auto"/>
        <w:tabs>
          <w:tab w:leader="none" w:pos="204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The Borrower will not, and will not permit any Restricted Subsidiary to, issue any Disqualified Equity Interests in excess of the greater of (A) $20,000,000 and (B) 15.0% of Consolidated EBITDA computed on a Pro Forma Basis for the most recently ended Test Period as of such time, except (x) to the extent incurred as Indebtedness under Section 6.01(a) and (y) (i) preferred Equity Interests issued to and held by Holdings, the Borrower or any Restricted Subsidiary, and (ii) preferred Equity Interests issued to and held by joint venture partners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(ii) any such issuance of preferred Equity Interests shall be deemed to be incurred Indebtedness and subject to the provisions set forth in Section 6.01(a) and (b).</w:t>
      </w:r>
    </w:p>
    <w:p>
      <w:pPr>
        <w:spacing w:after="0" w:line="182" w:lineRule="exact"/>
        <w:rPr>
          <w:sz w:val="20"/>
          <w:szCs w:val="20"/>
          <w:color w:val="auto"/>
        </w:rPr>
      </w:pPr>
    </w:p>
    <w:p>
      <w:pPr>
        <w:jc w:val="both"/>
        <w:ind w:right="200" w:firstLine="1499"/>
        <w:spacing w:after="0" w:line="258" w:lineRule="auto"/>
        <w:rPr>
          <w:sz w:val="20"/>
          <w:szCs w:val="20"/>
          <w:color w:val="auto"/>
        </w:rPr>
      </w:pPr>
      <w:r>
        <w:rPr>
          <w:rFonts w:ascii="Arial" w:cs="Arial" w:eastAsia="Arial" w:hAnsi="Arial"/>
          <w:sz w:val="19"/>
          <w:szCs w:val="19"/>
          <w:color w:val="auto"/>
        </w:rPr>
        <w:t xml:space="preserve">For purposes of determining compliance with this Section 6.01, in the event that an item of Indebtedness (or any portion thereof) meets the criteria of more than one of the categories of Indebtedness described in clauses (a)(i) through (a)(xxxvi) above, the Borrower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Indebtedness outstanding under the Loan Documents will be deemed to have been incurred in reliance only on the exception in clause (a)(i).</w:t>
      </w:r>
    </w:p>
    <w:p>
      <w:pPr>
        <w:spacing w:after="0" w:line="195" w:lineRule="exact"/>
        <w:rPr>
          <w:sz w:val="20"/>
          <w:szCs w:val="20"/>
          <w:color w:val="auto"/>
        </w:rPr>
      </w:pPr>
    </w:p>
    <w:p>
      <w:pPr>
        <w:jc w:val="both"/>
        <w:ind w:right="180" w:firstLine="1499"/>
        <w:spacing w:after="0" w:line="308" w:lineRule="auto"/>
        <w:rPr>
          <w:sz w:val="20"/>
          <w:szCs w:val="20"/>
          <w:color w:val="auto"/>
        </w:rPr>
      </w:pPr>
      <w:r>
        <w:rPr>
          <w:rFonts w:ascii="Arial" w:cs="Arial" w:eastAsia="Arial" w:hAnsi="Arial"/>
          <w:sz w:val="16"/>
          <w:szCs w:val="16"/>
          <w:color w:val="auto"/>
        </w:rPr>
        <w:t>For purposes of determining compliance with any restriction on the incurrence of Indebtedness, the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extend, replace, refund, refinance, renew or defease other Indebtedness denominated in a foreign currency,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shall be deemed not to have been exceeded so long as the principal amount of such refinancing Indebtedness does not exceed the principal amount of such Indebtedness being extended, replaced, refunded, refinanced, renewed or defeased, plus the amount of any premium paid, and fees and expenses incurred, in connection with such extension, replacement, refunding refinancing, renewal or defeasance (including any fees and original issue discount incurred in respect of such resulting Indebtedness).</w:t>
      </w:r>
    </w:p>
    <w:p>
      <w:pPr>
        <w:spacing w:after="0" w:line="147"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325" w:right="339" w:bottom="1440" w:gutter="0" w:footer="0" w:header="0"/>
        </w:sectPr>
      </w:pPr>
    </w:p>
    <w:bookmarkStart w:id="309" w:name="page310"/>
    <w:bookmarkEnd w:id="309"/>
    <w:p>
      <w:pPr>
        <w:ind w:left="4120"/>
        <w:spacing w:after="0"/>
        <w:tabs>
          <w:tab w:leader="none" w:pos="5680" w:val="left"/>
        </w:tabs>
        <w:rPr>
          <w:sz w:val="20"/>
          <w:szCs w:val="20"/>
          <w:color w:val="auto"/>
        </w:rPr>
      </w:pPr>
      <w:r>
        <w:rPr>
          <w:rFonts w:ascii="Arial" w:cs="Arial" w:eastAsia="Arial" w:hAnsi="Arial"/>
          <w:sz w:val="20"/>
          <w:szCs w:val="20"/>
          <w:color w:val="010000"/>
        </w:rPr>
        <w:t>SECTION 6.02</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24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Borrower will not, and will not permit any Restricted Subsidiary to, create, incur, assume or permit to exist any</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Lien on any property or asset now owned (but not leased) or hereafter acquired (but not leased) by it, except:</w:t>
      </w:r>
    </w:p>
    <w:p>
      <w:pPr>
        <w:spacing w:after="0" w:line="200" w:lineRule="exact"/>
        <w:rPr>
          <w:sz w:val="20"/>
          <w:szCs w:val="20"/>
          <w:color w:val="auto"/>
        </w:rPr>
      </w:pPr>
    </w:p>
    <w:p>
      <w:pPr>
        <w:spacing w:after="0" w:line="215" w:lineRule="exact"/>
        <w:rPr>
          <w:sz w:val="20"/>
          <w:szCs w:val="20"/>
          <w:color w:val="auto"/>
        </w:rPr>
      </w:pPr>
    </w:p>
    <w:p>
      <w:pPr>
        <w:ind w:left="2460" w:hanging="506"/>
        <w:spacing w:after="0"/>
        <w:tabs>
          <w:tab w:leader="none" w:pos="2460" w:val="left"/>
        </w:tabs>
        <w:numPr>
          <w:ilvl w:val="1"/>
          <w:numId w:val="274"/>
        </w:numPr>
        <w:rPr>
          <w:rFonts w:ascii="Arial" w:cs="Arial" w:eastAsia="Arial" w:hAnsi="Arial"/>
          <w:sz w:val="20"/>
          <w:szCs w:val="20"/>
          <w:color w:val="auto"/>
        </w:rPr>
      </w:pPr>
      <w:r>
        <w:rPr>
          <w:rFonts w:ascii="Arial" w:cs="Arial" w:eastAsia="Arial" w:hAnsi="Arial"/>
          <w:sz w:val="20"/>
          <w:szCs w:val="20"/>
          <w:color w:val="auto"/>
        </w:rPr>
        <w:t>Liens created under the Loan Documents;</w:t>
      </w:r>
    </w:p>
    <w:p>
      <w:pPr>
        <w:spacing w:after="0" w:line="201" w:lineRule="exact"/>
        <w:rPr>
          <w:rFonts w:ascii="Arial" w:cs="Arial" w:eastAsia="Arial" w:hAnsi="Arial"/>
          <w:sz w:val="20"/>
          <w:szCs w:val="20"/>
          <w:color w:val="auto"/>
        </w:rPr>
      </w:pPr>
    </w:p>
    <w:p>
      <w:pPr>
        <w:ind w:left="2460" w:hanging="506"/>
        <w:spacing w:after="0"/>
        <w:tabs>
          <w:tab w:leader="none" w:pos="2460" w:val="left"/>
        </w:tabs>
        <w:numPr>
          <w:ilvl w:val="1"/>
          <w:numId w:val="274"/>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188" w:lineRule="exact"/>
        <w:rPr>
          <w:rFonts w:ascii="Arial" w:cs="Arial" w:eastAsia="Arial" w:hAnsi="Arial"/>
          <w:sz w:val="20"/>
          <w:szCs w:val="20"/>
          <w:color w:val="auto"/>
        </w:rPr>
      </w:pPr>
    </w:p>
    <w:p>
      <w:pPr>
        <w:jc w:val="both"/>
        <w:ind w:left="740" w:right="20" w:firstLine="1214"/>
        <w:spacing w:after="0" w:line="278" w:lineRule="auto"/>
        <w:tabs>
          <w:tab w:leader="none" w:pos="2457"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Liens existing on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securing Indebtedness or other obligations in excess of $2,500,000 individually shall only be permitted if set forth on Schedule 6.02 (unless such Lien is permitted by another clause in this Section 6.02) and any modifications, replacements, renewals or extensions thereof;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modified, replacement, renewal or extension Lien does not extend to any additional property other than (1) after-acquired property that is affixed or incorporated into the property covered by such Lien and (2) proceeds and products thereof;</w:t>
      </w:r>
    </w:p>
    <w:p>
      <w:pPr>
        <w:spacing w:after="0" w:line="149" w:lineRule="exact"/>
        <w:rPr>
          <w:rFonts w:ascii="Arial" w:cs="Arial" w:eastAsia="Arial" w:hAnsi="Arial"/>
          <w:sz w:val="18"/>
          <w:szCs w:val="18"/>
          <w:color w:val="auto"/>
        </w:rPr>
      </w:pPr>
    </w:p>
    <w:p>
      <w:pPr>
        <w:jc w:val="both"/>
        <w:ind w:left="740" w:firstLine="1214"/>
        <w:spacing w:after="0" w:line="303" w:lineRule="auto"/>
        <w:tabs>
          <w:tab w:leader="none" w:pos="2457"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Section 6.01(a)(v);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w:t>
      </w:r>
    </w:p>
    <w:p>
      <w:pPr>
        <w:jc w:val="both"/>
        <w:ind w:left="740" w:right="20" w:firstLine="1"/>
        <w:spacing w:after="0"/>
        <w:tabs>
          <w:tab w:leader="none" w:pos="1094" w:val="left"/>
        </w:tabs>
        <w:numPr>
          <w:ilvl w:val="0"/>
          <w:numId w:val="275"/>
        </w:numPr>
        <w:rPr>
          <w:rFonts w:ascii="Arial" w:cs="Arial" w:eastAsia="Arial" w:hAnsi="Arial"/>
          <w:sz w:val="20"/>
          <w:szCs w:val="20"/>
          <w:color w:val="auto"/>
        </w:rPr>
      </w:pPr>
      <w:r>
        <w:rPr>
          <w:rFonts w:ascii="Arial" w:cs="Arial" w:eastAsia="Arial" w:hAnsi="Arial"/>
          <w:sz w:val="20"/>
          <w:szCs w:val="20"/>
          <w:color w:val="auto"/>
        </w:rPr>
        <w:t xml:space="preserve">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individual financings of equipment provided by one lender may be cross collateralized to other financings of equipment provided by such lender;</w:t>
      </w:r>
    </w:p>
    <w:p>
      <w:pPr>
        <w:spacing w:after="0" w:line="183" w:lineRule="exact"/>
        <w:rPr>
          <w:rFonts w:ascii="Arial" w:cs="Arial" w:eastAsia="Arial" w:hAnsi="Arial"/>
          <w:sz w:val="20"/>
          <w:szCs w:val="20"/>
          <w:color w:val="auto"/>
        </w:rPr>
      </w:pPr>
    </w:p>
    <w:p>
      <w:pPr>
        <w:jc w:val="both"/>
        <w:ind w:left="740" w:right="20" w:firstLine="1214"/>
        <w:spacing w:after="0" w:line="260" w:lineRule="auto"/>
        <w:tabs>
          <w:tab w:leader="none" w:pos="2457" w:val="left"/>
        </w:tabs>
        <w:numPr>
          <w:ilvl w:val="1"/>
          <w:numId w:val="275"/>
        </w:numPr>
        <w:rPr>
          <w:rFonts w:ascii="Arial" w:cs="Arial" w:eastAsia="Arial" w:hAnsi="Arial"/>
          <w:sz w:val="19"/>
          <w:szCs w:val="19"/>
          <w:color w:val="auto"/>
        </w:rPr>
      </w:pPr>
      <w:r>
        <w:rPr>
          <w:rFonts w:ascii="Arial" w:cs="Arial" w:eastAsia="Arial" w:hAnsi="Arial"/>
          <w:sz w:val="19"/>
          <w:szCs w:val="19"/>
          <w:color w:val="auto"/>
        </w:rPr>
        <w:t>(i) easements, leases, licenses, subleases or sublicenses granted to others (including licenses and sublicenses of Intellectual Property) in the ordinary course of business that do not (A) interfere in any material respect with the business of the Borrower and its Restricted Subsidiaries, taken as a whole, or (B) secure any Indebtedness and (ii) any interest or title of a lessor, licensor, sublicensor or sublessor under any lease or license entered into by the Borrower or any Restricted Subsidiary in the ordinary course of its business or consistent with past practice;</w:t>
      </w:r>
    </w:p>
    <w:p>
      <w:pPr>
        <w:spacing w:after="0" w:line="151" w:lineRule="exact"/>
        <w:rPr>
          <w:rFonts w:ascii="Arial" w:cs="Arial" w:eastAsia="Arial" w:hAnsi="Arial"/>
          <w:sz w:val="19"/>
          <w:szCs w:val="19"/>
          <w:color w:val="auto"/>
        </w:rPr>
      </w:pPr>
    </w:p>
    <w:p>
      <w:pPr>
        <w:ind w:left="740" w:right="20" w:firstLine="1214"/>
        <w:spacing w:after="0" w:line="260" w:lineRule="auto"/>
        <w:tabs>
          <w:tab w:leader="none" w:pos="2457" w:val="left"/>
        </w:tabs>
        <w:numPr>
          <w:ilvl w:val="1"/>
          <w:numId w:val="275"/>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w:t>
      </w:r>
    </w:p>
    <w:p>
      <w:pPr>
        <w:spacing w:after="0" w:line="162" w:lineRule="exact"/>
        <w:rPr>
          <w:rFonts w:ascii="Arial" w:cs="Arial" w:eastAsia="Arial" w:hAnsi="Arial"/>
          <w:sz w:val="20"/>
          <w:szCs w:val="20"/>
          <w:color w:val="auto"/>
        </w:rPr>
      </w:pPr>
    </w:p>
    <w:p>
      <w:pPr>
        <w:jc w:val="both"/>
        <w:ind w:left="740" w:right="20" w:firstLine="1214"/>
        <w:spacing w:after="0" w:line="278" w:lineRule="auto"/>
        <w:tabs>
          <w:tab w:leader="none" w:pos="2457" w:val="left"/>
        </w:tabs>
        <w:numPr>
          <w:ilvl w:val="1"/>
          <w:numId w:val="275"/>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149" w:lineRule="exact"/>
        <w:rPr>
          <w:rFonts w:ascii="Arial" w:cs="Arial" w:eastAsia="Arial" w:hAnsi="Arial"/>
          <w:sz w:val="18"/>
          <w:szCs w:val="18"/>
          <w:color w:val="auto"/>
        </w:rPr>
      </w:pPr>
    </w:p>
    <w:p>
      <w:pPr>
        <w:jc w:val="both"/>
        <w:ind w:left="740" w:right="20" w:firstLine="1214"/>
        <w:spacing w:after="0" w:line="249" w:lineRule="auto"/>
        <w:tabs>
          <w:tab w:leader="none" w:pos="2457" w:val="left"/>
        </w:tabs>
        <w:numPr>
          <w:ilvl w:val="1"/>
          <w:numId w:val="275"/>
        </w:numPr>
        <w:rPr>
          <w:rFonts w:ascii="Arial" w:cs="Arial" w:eastAsia="Arial" w:hAnsi="Arial"/>
          <w:sz w:val="20"/>
          <w:szCs w:val="20"/>
          <w:color w:val="auto"/>
        </w:rPr>
      </w:pPr>
      <w:r>
        <w:rPr>
          <w:rFonts w:ascii="Arial" w:cs="Arial" w:eastAsia="Arial" w:hAnsi="Arial"/>
          <w:sz w:val="20"/>
          <w:szCs w:val="20"/>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352" w:right="539" w:bottom="1440" w:gutter="0" w:footer="0" w:header="0"/>
        </w:sectPr>
      </w:pPr>
    </w:p>
    <w:bookmarkStart w:id="310" w:name="page311"/>
    <w:bookmarkEnd w:id="310"/>
    <w:p>
      <w:pPr>
        <w:jc w:val="both"/>
        <w:ind w:right="20"/>
        <w:spacing w:after="0" w:line="263" w:lineRule="auto"/>
        <w:rPr>
          <w:sz w:val="20"/>
          <w:szCs w:val="20"/>
          <w:color w:val="auto"/>
        </w:rPr>
      </w:pPr>
      <w:r>
        <w:rPr>
          <w:rFonts w:ascii="Arial" w:cs="Arial" w:eastAsia="Arial" w:hAnsi="Arial"/>
          <w:sz w:val="19"/>
          <w:szCs w:val="19"/>
          <w:color w:val="auto"/>
        </w:rPr>
        <w:t>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148" w:lineRule="exact"/>
        <w:rPr>
          <w:sz w:val="20"/>
          <w:szCs w:val="20"/>
          <w:color w:val="auto"/>
        </w:rPr>
      </w:pPr>
    </w:p>
    <w:p>
      <w:pPr>
        <w:jc w:val="both"/>
        <w:ind w:firstLine="1214"/>
        <w:spacing w:after="0" w:line="249" w:lineRule="auto"/>
        <w:tabs>
          <w:tab w:leader="none" w:pos="1717" w:val="left"/>
        </w:tabs>
        <w:numPr>
          <w:ilvl w:val="0"/>
          <w:numId w:val="276"/>
        </w:numPr>
        <w:rPr>
          <w:rFonts w:ascii="Arial" w:cs="Arial" w:eastAsia="Arial" w:hAnsi="Arial"/>
          <w:sz w:val="20"/>
          <w:szCs w:val="20"/>
          <w:color w:val="auto"/>
        </w:rPr>
      </w:pPr>
      <w:r>
        <w:rPr>
          <w:rFonts w:ascii="Arial" w:cs="Arial" w:eastAsia="Arial" w:hAnsi="Arial"/>
          <w:sz w:val="20"/>
          <w:szCs w:val="20"/>
          <w:color w:val="auto"/>
        </w:rPr>
        <w:t>Liens on property or other assets of any Restricted Subsidiary that is not a Loan Party, which Liens secure Indebtedness of such Restricted Subsidiary or another Restricted Subsidiary that is not a Loan Party, in each case permitted under Section 6.01;</w:t>
      </w:r>
    </w:p>
    <w:p>
      <w:pPr>
        <w:spacing w:after="0" w:line="174" w:lineRule="exact"/>
        <w:rPr>
          <w:rFonts w:ascii="Arial" w:cs="Arial" w:eastAsia="Arial" w:hAnsi="Arial"/>
          <w:sz w:val="20"/>
          <w:szCs w:val="20"/>
          <w:color w:val="auto"/>
        </w:rPr>
      </w:pPr>
    </w:p>
    <w:p>
      <w:pPr>
        <w:ind w:left="1720" w:hanging="506"/>
        <w:spacing w:after="0"/>
        <w:tabs>
          <w:tab w:leader="none" w:pos="172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Liens granted in favor of the Borrower or any Restricted Subsidiary;</w:t>
      </w:r>
    </w:p>
    <w:p>
      <w:pPr>
        <w:spacing w:after="0" w:line="201" w:lineRule="exact"/>
        <w:rPr>
          <w:rFonts w:ascii="Arial" w:cs="Arial" w:eastAsia="Arial" w:hAnsi="Arial"/>
          <w:sz w:val="20"/>
          <w:szCs w:val="20"/>
          <w:color w:val="auto"/>
        </w:rPr>
      </w:pPr>
    </w:p>
    <w:p>
      <w:pPr>
        <w:jc w:val="both"/>
        <w:ind w:firstLine="1214"/>
        <w:spacing w:after="0" w:line="272" w:lineRule="auto"/>
        <w:tabs>
          <w:tab w:leader="none" w:pos="171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was not created in contemplation of such acquisition or such Person becoming a Restricted Subsidiary and (B) 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and proceeds or products thereof and, in the case of multiple equipment financings provided by any lender, other equipment financed by such lender);</w:t>
      </w:r>
    </w:p>
    <w:p>
      <w:pPr>
        <w:spacing w:after="0" w:line="140" w:lineRule="exact"/>
        <w:rPr>
          <w:rFonts w:ascii="Arial" w:cs="Arial" w:eastAsia="Arial" w:hAnsi="Arial"/>
          <w:sz w:val="18"/>
          <w:szCs w:val="18"/>
          <w:color w:val="auto"/>
        </w:rPr>
      </w:pPr>
    </w:p>
    <w:p>
      <w:pPr>
        <w:jc w:val="both"/>
        <w:ind w:right="20" w:firstLine="1214"/>
        <w:spacing w:after="0" w:line="269" w:lineRule="auto"/>
        <w:tabs>
          <w:tab w:leader="none" w:pos="1717" w:val="left"/>
        </w:tabs>
        <w:numPr>
          <w:ilvl w:val="0"/>
          <w:numId w:val="276"/>
        </w:numPr>
        <w:rPr>
          <w:rFonts w:ascii="Arial" w:cs="Arial" w:eastAsia="Arial" w:hAnsi="Arial"/>
          <w:sz w:val="19"/>
          <w:szCs w:val="19"/>
          <w:color w:val="auto"/>
        </w:rPr>
      </w:pPr>
      <w:r>
        <w:rPr>
          <w:rFonts w:ascii="Arial" w:cs="Arial" w:eastAsia="Arial" w:hAnsi="Arial"/>
          <w:sz w:val="19"/>
          <w:szCs w:val="19"/>
          <w:color w:val="auto"/>
        </w:rPr>
        <w:t>Liens on cash, Permitted Investments or other marketable securities securing Letters of Credit of any Loan Party that are cash collateralized on the Effective Date in an amount of cash, Permitted Investments or other marketable securities with a fair market value of up to 105% of the face amount of such Letters of Credit being secured;</w:t>
      </w:r>
    </w:p>
    <w:p>
      <w:pPr>
        <w:spacing w:after="0" w:line="155" w:lineRule="exact"/>
        <w:rPr>
          <w:rFonts w:ascii="Arial" w:cs="Arial" w:eastAsia="Arial" w:hAnsi="Arial"/>
          <w:sz w:val="19"/>
          <w:szCs w:val="19"/>
          <w:color w:val="auto"/>
        </w:rPr>
      </w:pPr>
    </w:p>
    <w:p>
      <w:pPr>
        <w:ind w:right="20" w:firstLine="1214"/>
        <w:spacing w:after="0" w:line="260" w:lineRule="auto"/>
        <w:tabs>
          <w:tab w:leader="none" w:pos="1717" w:val="left"/>
        </w:tabs>
        <w:numPr>
          <w:ilvl w:val="0"/>
          <w:numId w:val="276"/>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sale or purchase of goods by the Borrower or any Restricted Subsidiary in the ordinary course of business;</w:t>
      </w:r>
    </w:p>
    <w:p>
      <w:pPr>
        <w:spacing w:after="0" w:line="162" w:lineRule="exact"/>
        <w:rPr>
          <w:rFonts w:ascii="Arial" w:cs="Arial" w:eastAsia="Arial" w:hAnsi="Arial"/>
          <w:sz w:val="20"/>
          <w:szCs w:val="20"/>
          <w:color w:val="auto"/>
        </w:rPr>
      </w:pPr>
    </w:p>
    <w:p>
      <w:pPr>
        <w:ind w:right="20" w:firstLine="1214"/>
        <w:spacing w:after="0" w:line="260" w:lineRule="auto"/>
        <w:tabs>
          <w:tab w:leader="none" w:pos="1717" w:val="left"/>
        </w:tabs>
        <w:numPr>
          <w:ilvl w:val="0"/>
          <w:numId w:val="276"/>
        </w:numPr>
        <w:rPr>
          <w:rFonts w:ascii="Arial" w:cs="Arial" w:eastAsia="Arial" w:hAnsi="Arial"/>
          <w:sz w:val="20"/>
          <w:szCs w:val="20"/>
          <w:color w:val="auto"/>
        </w:rPr>
      </w:pPr>
      <w:r>
        <w:rPr>
          <w:rFonts w:ascii="Arial" w:cs="Arial" w:eastAsia="Arial" w:hAnsi="Arial"/>
          <w:sz w:val="20"/>
          <w:szCs w:val="20"/>
          <w:color w:val="auto"/>
        </w:rPr>
        <w:t>Liens deemed to exist in connection with Investments in repurchase agreements under clause (e) of the definition of the term “Permitted Investments”;</w:t>
      </w:r>
    </w:p>
    <w:p>
      <w:pPr>
        <w:spacing w:after="0" w:line="148" w:lineRule="exact"/>
        <w:rPr>
          <w:rFonts w:ascii="Arial" w:cs="Arial" w:eastAsia="Arial" w:hAnsi="Arial"/>
          <w:sz w:val="20"/>
          <w:szCs w:val="20"/>
          <w:color w:val="auto"/>
        </w:rPr>
      </w:pPr>
    </w:p>
    <w:p>
      <w:pPr>
        <w:jc w:val="both"/>
        <w:ind w:right="20" w:firstLine="1214"/>
        <w:spacing w:after="0" w:line="249" w:lineRule="auto"/>
        <w:tabs>
          <w:tab w:leader="none" w:pos="1717" w:val="left"/>
        </w:tabs>
        <w:numPr>
          <w:ilvl w:val="0"/>
          <w:numId w:val="276"/>
        </w:numPr>
        <w:rPr>
          <w:rFonts w:ascii="Arial" w:cs="Arial" w:eastAsia="Arial" w:hAnsi="Arial"/>
          <w:sz w:val="20"/>
          <w:szCs w:val="20"/>
          <w:color w:val="auto"/>
        </w:rPr>
      </w:pPr>
      <w:r>
        <w:rPr>
          <w:rFonts w:ascii="Arial" w:cs="Arial" w:eastAsia="Arial" w:hAnsi="Arial"/>
          <w:sz w:val="20"/>
          <w:szCs w:val="20"/>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74" w:lineRule="exact"/>
        <w:rPr>
          <w:rFonts w:ascii="Arial" w:cs="Arial" w:eastAsia="Arial" w:hAnsi="Arial"/>
          <w:sz w:val="20"/>
          <w:szCs w:val="20"/>
          <w:color w:val="auto"/>
        </w:rPr>
      </w:pPr>
    </w:p>
    <w:p>
      <w:pPr>
        <w:jc w:val="both"/>
        <w:ind w:right="20" w:firstLine="1214"/>
        <w:spacing w:after="0" w:line="244" w:lineRule="auto"/>
        <w:tabs>
          <w:tab w:leader="none" w:pos="1717" w:val="left"/>
        </w:tabs>
        <w:numPr>
          <w:ilvl w:val="0"/>
          <w:numId w:val="276"/>
        </w:numPr>
        <w:rPr>
          <w:rFonts w:ascii="Arial" w:cs="Arial" w:eastAsia="Arial" w:hAnsi="Arial"/>
          <w:sz w:val="20"/>
          <w:szCs w:val="20"/>
          <w:color w:val="auto"/>
        </w:rPr>
      </w:pPr>
      <w:r>
        <w:rPr>
          <w:rFonts w:ascii="Arial" w:cs="Arial" w:eastAsia="Arial" w:hAnsi="Arial"/>
          <w:sz w:val="20"/>
          <w:szCs w:val="20"/>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the Restricted Subsidiaries or (C) relating to purchase orders and other agreements entered into with customers of the Borrower or any Restricted Subsidiary in the ordinary course of business;</w:t>
      </w:r>
    </w:p>
    <w:p>
      <w:pPr>
        <w:spacing w:after="0" w:line="179" w:lineRule="exact"/>
        <w:rPr>
          <w:rFonts w:ascii="Arial" w:cs="Arial" w:eastAsia="Arial" w:hAnsi="Arial"/>
          <w:sz w:val="20"/>
          <w:szCs w:val="20"/>
          <w:color w:val="auto"/>
        </w:rPr>
      </w:pPr>
    </w:p>
    <w:p>
      <w:pPr>
        <w:ind w:right="20" w:firstLine="1214"/>
        <w:spacing w:after="0" w:line="260" w:lineRule="auto"/>
        <w:tabs>
          <w:tab w:leader="none" w:pos="1717" w:val="left"/>
        </w:tabs>
        <w:numPr>
          <w:ilvl w:val="0"/>
          <w:numId w:val="276"/>
        </w:numPr>
        <w:rPr>
          <w:rFonts w:ascii="Arial" w:cs="Arial" w:eastAsia="Arial" w:hAnsi="Arial"/>
          <w:sz w:val="20"/>
          <w:szCs w:val="20"/>
          <w:color w:val="auto"/>
        </w:rPr>
      </w:pPr>
      <w:r>
        <w:rPr>
          <w:rFonts w:ascii="Arial" w:cs="Arial" w:eastAsia="Arial" w:hAnsi="Arial"/>
          <w:sz w:val="20"/>
          <w:szCs w:val="20"/>
          <w:color w:val="auto"/>
        </w:rPr>
        <w:t>ground leases in respect of real property on which facilities owned or leased by the Borrower or any of the Restricted Subsidiaries are located;</w:t>
      </w:r>
    </w:p>
    <w:p>
      <w:pPr>
        <w:spacing w:after="0" w:line="17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66040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240" w:top="325" w:right="539" w:bottom="1440" w:gutter="0" w:footer="0" w:header="0"/>
        </w:sectPr>
      </w:pPr>
    </w:p>
    <w:bookmarkStart w:id="311" w:name="page312"/>
    <w:bookmarkEnd w:id="311"/>
    <w:p>
      <w:pPr>
        <w:ind w:left="1220"/>
        <w:spacing w:after="0"/>
        <w:rPr>
          <w:sz w:val="20"/>
          <w:szCs w:val="20"/>
          <w:color w:val="auto"/>
        </w:rPr>
      </w:pPr>
      <w:r>
        <w:rPr>
          <w:rFonts w:ascii="Arial" w:cs="Arial" w:eastAsia="Arial" w:hAnsi="Arial"/>
          <w:sz w:val="18"/>
          <w:szCs w:val="18"/>
          <w:color w:val="auto"/>
        </w:rPr>
        <w:t>(xviii)Liens on insurance policies and the proceeds thereof securing the financing of the premiums with respect</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172" w:lineRule="exact"/>
        <w:rPr>
          <w:sz w:val="20"/>
          <w:szCs w:val="20"/>
          <w:color w:val="auto"/>
        </w:rPr>
      </w:pPr>
    </w:p>
    <w:p>
      <w:pPr>
        <w:jc w:val="both"/>
        <w:ind w:firstLine="1213"/>
        <w:spacing w:after="0" w:line="249" w:lineRule="auto"/>
        <w:rPr>
          <w:sz w:val="20"/>
          <w:szCs w:val="20"/>
          <w:color w:val="auto"/>
        </w:rPr>
      </w:pPr>
      <w:r>
        <w:rPr>
          <w:rFonts w:ascii="Arial" w:cs="Arial" w:eastAsia="Arial" w:hAnsi="Arial"/>
          <w:sz w:val="20"/>
          <w:szCs w:val="20"/>
          <w:color w:val="auto"/>
        </w:rPr>
        <w:t>(xix) Liens on the Collateral securing Indebtedness permitted under Section 6.01(a)(xxii) (to the extent not secured by assets that constitute Collateral) or 6.01(a)(xxiii), as long as such Liens are subject to the applicable Intercreditor Agreement;</w:t>
      </w:r>
    </w:p>
    <w:p>
      <w:pPr>
        <w:spacing w:after="0" w:line="174" w:lineRule="exact"/>
        <w:rPr>
          <w:sz w:val="20"/>
          <w:szCs w:val="20"/>
          <w:color w:val="auto"/>
        </w:rPr>
      </w:pPr>
    </w:p>
    <w:p>
      <w:pPr>
        <w:ind w:left="1720" w:hanging="506"/>
        <w:spacing w:after="0"/>
        <w:tabs>
          <w:tab w:leader="none" w:pos="17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Liens securing Indebtedness on real property other than the Material Real Properties (except as required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by this Agreement);</w:t>
      </w:r>
    </w:p>
    <w:p>
      <w:pPr>
        <w:spacing w:after="0" w:line="185" w:lineRule="exact"/>
        <w:rPr>
          <w:rFonts w:ascii="Arial" w:cs="Arial" w:eastAsia="Arial" w:hAnsi="Arial"/>
          <w:sz w:val="18"/>
          <w:szCs w:val="18"/>
          <w:color w:val="auto"/>
        </w:rPr>
      </w:pPr>
    </w:p>
    <w:p>
      <w:pPr>
        <w:ind w:left="1720" w:hanging="506"/>
        <w:spacing w:after="0"/>
        <w:tabs>
          <w:tab w:leader="none" w:pos="172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Settlement Liens;</w:t>
      </w:r>
    </w:p>
    <w:p>
      <w:pPr>
        <w:spacing w:after="0" w:line="188" w:lineRule="exact"/>
        <w:rPr>
          <w:rFonts w:ascii="Arial" w:cs="Arial" w:eastAsia="Arial" w:hAnsi="Arial"/>
          <w:sz w:val="20"/>
          <w:szCs w:val="20"/>
          <w:color w:val="auto"/>
        </w:rPr>
      </w:pPr>
    </w:p>
    <w:p>
      <w:pPr>
        <w:jc w:val="both"/>
        <w:ind w:firstLine="1214"/>
        <w:spacing w:after="0" w:line="282" w:lineRule="auto"/>
        <w:tabs>
          <w:tab w:leader="none" w:pos="171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Section 6.01(a)(iv), (vii)(2), (vii)(3), (viii), (xiv), (xv), (xvi) (to the extent secured by the Collateral on a pari passu or junior lien basis to the Initial Term Loans), (xvii) or (xxxiv);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such Liens are secured by the Collateral on a pari passu basis with, or junior basis to, the Liens that secure the Initial Term Loans, the agent for such Indebtedness shall have entered into the applicable Intercreditor Agreement;</w:t>
      </w:r>
    </w:p>
    <w:p>
      <w:pPr>
        <w:spacing w:after="0" w:line="146" w:lineRule="exact"/>
        <w:rPr>
          <w:sz w:val="20"/>
          <w:szCs w:val="20"/>
          <w:color w:val="auto"/>
        </w:rPr>
      </w:pPr>
    </w:p>
    <w:p>
      <w:pPr>
        <w:ind w:firstLine="1213"/>
        <w:spacing w:after="0" w:line="286" w:lineRule="auto"/>
        <w:rPr>
          <w:sz w:val="20"/>
          <w:szCs w:val="20"/>
          <w:color w:val="auto"/>
        </w:rPr>
      </w:pPr>
      <w:r>
        <w:rPr>
          <w:rFonts w:ascii="Arial" w:cs="Arial" w:eastAsia="Arial" w:hAnsi="Arial"/>
          <w:sz w:val="19"/>
          <w:szCs w:val="19"/>
          <w:color w:val="auto"/>
        </w:rPr>
        <w:t>(xxiii)Liens on assets of any Restricted Subsidiary that is not a Loan Party (x) securing working capital lines in foreign jurisdictions and/or (y) securing other obligations or Indebtedness permitted by Section 6.01;</w:t>
      </w:r>
    </w:p>
    <w:p>
      <w:pPr>
        <w:spacing w:after="0" w:line="140" w:lineRule="exact"/>
        <w:rPr>
          <w:sz w:val="20"/>
          <w:szCs w:val="20"/>
          <w:color w:val="auto"/>
        </w:rPr>
      </w:pPr>
    </w:p>
    <w:p>
      <w:pPr>
        <w:ind w:firstLine="1213"/>
        <w:spacing w:after="0" w:line="260" w:lineRule="auto"/>
        <w:rPr>
          <w:sz w:val="20"/>
          <w:szCs w:val="20"/>
          <w:color w:val="auto"/>
        </w:rPr>
      </w:pPr>
      <w:r>
        <w:rPr>
          <w:rFonts w:ascii="Arial" w:cs="Arial" w:eastAsia="Arial" w:hAnsi="Arial"/>
          <w:sz w:val="20"/>
          <w:szCs w:val="20"/>
          <w:color w:val="auto"/>
        </w:rPr>
        <w:t xml:space="preserve">(xxiv)Liens on cash and Permitted Investments used to satisfy or discharge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satisfaction or discharge is permitted hereunder;</w:t>
      </w:r>
    </w:p>
    <w:p>
      <w:pPr>
        <w:spacing w:after="0" w:line="149" w:lineRule="exact"/>
        <w:rPr>
          <w:sz w:val="20"/>
          <w:szCs w:val="20"/>
          <w:color w:val="auto"/>
        </w:rPr>
      </w:pPr>
    </w:p>
    <w:p>
      <w:pPr>
        <w:ind w:firstLine="1214"/>
        <w:spacing w:after="0" w:line="260" w:lineRule="auto"/>
        <w:tabs>
          <w:tab w:leader="none" w:pos="1717" w:val="left"/>
        </w:tabs>
        <w:numPr>
          <w:ilvl w:val="0"/>
          <w:numId w:val="278"/>
        </w:numPr>
        <w:rPr>
          <w:rFonts w:ascii="Arial" w:cs="Arial" w:eastAsia="Arial" w:hAnsi="Arial"/>
          <w:sz w:val="20"/>
          <w:szCs w:val="20"/>
          <w:color w:val="auto"/>
        </w:rPr>
      </w:pPr>
      <w:r>
        <w:rPr>
          <w:rFonts w:ascii="Arial" w:cs="Arial" w:eastAsia="Arial" w:hAnsi="Arial"/>
          <w:sz w:val="20"/>
          <w:szCs w:val="20"/>
          <w:color w:val="auto"/>
        </w:rPr>
        <w:t>Receipt of progress payments and advances from customers in the ordinary course of business to the extent the same creates a Lien on the related inventory and proceeds thereof;</w:t>
      </w:r>
    </w:p>
    <w:p>
      <w:pPr>
        <w:spacing w:after="0" w:line="162" w:lineRule="exact"/>
        <w:rPr>
          <w:sz w:val="20"/>
          <w:szCs w:val="20"/>
          <w:color w:val="auto"/>
        </w:rPr>
      </w:pPr>
    </w:p>
    <w:p>
      <w:pPr>
        <w:ind w:firstLine="1213"/>
        <w:spacing w:after="0" w:line="260" w:lineRule="auto"/>
        <w:rPr>
          <w:sz w:val="20"/>
          <w:szCs w:val="20"/>
          <w:color w:val="auto"/>
        </w:rPr>
      </w:pPr>
      <w:r>
        <w:rPr>
          <w:rFonts w:ascii="Arial" w:cs="Arial" w:eastAsia="Arial" w:hAnsi="Arial"/>
          <w:sz w:val="20"/>
          <w:szCs w:val="20"/>
          <w:color w:val="auto"/>
        </w:rPr>
        <w:t>(xxvi)Liens on Equity Interests of (I) any joint venture (a) securing obligations of such joint venture or (b) pursuant to the relevant joint venture agreement or arrangement or (II) any Unrestricted Subsidiary;</w:t>
      </w:r>
    </w:p>
    <w:p>
      <w:pPr>
        <w:spacing w:after="0" w:line="162"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(xxvii)[reserved];</w:t>
      </w:r>
    </w:p>
    <w:p>
      <w:pPr>
        <w:spacing w:after="0" w:line="188" w:lineRule="exact"/>
        <w:rPr>
          <w:sz w:val="20"/>
          <w:szCs w:val="20"/>
          <w:color w:val="auto"/>
        </w:rPr>
      </w:pPr>
    </w:p>
    <w:p>
      <w:pPr>
        <w:ind w:firstLine="1213"/>
        <w:spacing w:after="0" w:line="275" w:lineRule="auto"/>
        <w:rPr>
          <w:sz w:val="20"/>
          <w:szCs w:val="20"/>
          <w:color w:val="auto"/>
        </w:rPr>
      </w:pPr>
      <w:r>
        <w:rPr>
          <w:rFonts w:ascii="Arial" w:cs="Arial" w:eastAsia="Arial" w:hAnsi="Arial"/>
          <w:sz w:val="18"/>
          <w:szCs w:val="18"/>
          <w:color w:val="auto"/>
        </w:rPr>
        <w:t xml:space="preserve">(xxviii)other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the granting thereof and after giving Pro Forma Effect thereto, the aggregate amount of obligations secured by all Liens incurred in reliance on this clause (xxviii) shall not exceed the sum</w:t>
      </w:r>
    </w:p>
    <w:p>
      <w:pPr>
        <w:jc w:val="both"/>
        <w:ind w:firstLine="1"/>
        <w:spacing w:after="0" w:line="253" w:lineRule="auto"/>
        <w:tabs>
          <w:tab w:leader="none" w:pos="34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of the greater of (x) $60,000,000 and (y) 45.0% of Consolidated EBITDA computed on a Pro Forma Basis for the most recently ended Test Period as of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Available Amount that is Not Otherwise Applied as in effect immediately prior to the time of incurring of such Liens </w:t>
      </w:r>
      <w:r>
        <w:rPr>
          <w:rFonts w:ascii="Arial" w:cs="Arial" w:eastAsia="Arial" w:hAnsi="Arial"/>
          <w:sz w:val="19"/>
          <w:szCs w:val="19"/>
          <w:u w:val="single" w:color="auto"/>
          <w:color w:val="auto"/>
        </w:rPr>
        <w:t>plus (</w:t>
      </w:r>
      <w:r>
        <w:rPr>
          <w:rFonts w:ascii="Arial" w:cs="Arial" w:eastAsia="Arial" w:hAnsi="Arial"/>
          <w:sz w:val="19"/>
          <w:szCs w:val="19"/>
          <w:color w:val="auto"/>
        </w:rPr>
        <w:t>C</w:t>
      </w:r>
      <w:r>
        <w:rPr>
          <w:rFonts w:ascii="Arial" w:cs="Arial" w:eastAsia="Arial" w:hAnsi="Arial"/>
          <w:sz w:val="19"/>
          <w:szCs w:val="19"/>
          <w:u w:val="single" w:color="auto"/>
          <w:color w:val="auto"/>
        </w:rPr>
        <w:t>)</w:t>
      </w:r>
      <w:r>
        <w:rPr>
          <w:rFonts w:ascii="Arial" w:cs="Arial" w:eastAsia="Arial" w:hAnsi="Arial"/>
          <w:sz w:val="19"/>
          <w:szCs w:val="19"/>
          <w:color w:val="auto"/>
        </w:rPr>
        <w:t xml:space="preserve"> the Available Equity Amount that is Not Otherwise Applied as in effect immediately prior to the time of incurring of such Liens;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amounts included the definition of “Available Amount” may only be used for incurrence of such Liens so long as no Specified Event of Default shall have occurred and be continuing at such time or at the time of the relevant LCT Election (provided that, with respect to any such obligation, the amount of such obligation shall be the lesser of (x) the outstanding face amount of such obligation and (y) the fair market value of the assets securing such obligation);;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such Liens are secured by the Collateral on a pari passu basis with, or junior basis to, the Liens that secure the Initial Term Loans, the agent for such Indebtedness shall have entered into the applicable Intercreditor Agreement;</w:t>
      </w:r>
    </w:p>
    <w:p>
      <w:pPr>
        <w:spacing w:after="0" w:line="175" w:lineRule="exact"/>
        <w:rPr>
          <w:sz w:val="20"/>
          <w:szCs w:val="20"/>
          <w:color w:val="auto"/>
        </w:rPr>
      </w:pPr>
    </w:p>
    <w:p>
      <w:pPr>
        <w:ind w:firstLine="1213"/>
        <w:spacing w:after="0" w:line="260" w:lineRule="auto"/>
        <w:rPr>
          <w:sz w:val="20"/>
          <w:szCs w:val="20"/>
          <w:color w:val="auto"/>
        </w:rPr>
      </w:pPr>
      <w:r>
        <w:rPr>
          <w:rFonts w:ascii="Arial" w:cs="Arial" w:eastAsia="Arial" w:hAnsi="Arial"/>
          <w:sz w:val="20"/>
          <w:szCs w:val="20"/>
          <w:color w:val="auto"/>
        </w:rPr>
        <w:t>(xxix)Liens on accounts receivable, Securitization Assets and related assets incurred in connection with a Qualified Securitization Facility;</w:t>
      </w:r>
    </w:p>
    <w:p>
      <w:pPr>
        <w:spacing w:after="0" w:line="17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66040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240" w:top="325" w:right="559" w:bottom="1440" w:gutter="0" w:footer="0" w:header="0"/>
        </w:sectPr>
      </w:pPr>
    </w:p>
    <w:bookmarkStart w:id="312" w:name="page313"/>
    <w:bookmarkEnd w:id="312"/>
    <w:p>
      <w:pPr>
        <w:jc w:val="both"/>
        <w:ind w:left="740" w:firstLine="1214"/>
        <w:spacing w:after="0" w:line="327" w:lineRule="auto"/>
        <w:tabs>
          <w:tab w:leader="none" w:pos="2457" w:val="left"/>
        </w:tabs>
        <w:numPr>
          <w:ilvl w:val="0"/>
          <w:numId w:val="280"/>
        </w:numPr>
        <w:rPr>
          <w:rFonts w:ascii="Arial" w:cs="Arial" w:eastAsia="Arial" w:hAnsi="Arial"/>
          <w:sz w:val="16"/>
          <w:szCs w:val="16"/>
          <w:color w:val="auto"/>
        </w:rPr>
      </w:pPr>
      <w:r>
        <w:rPr>
          <w:rFonts w:ascii="Arial" w:cs="Arial" w:eastAsia="Arial" w:hAnsi="Arial"/>
          <w:sz w:val="16"/>
          <w:szCs w:val="16"/>
          <w:color w:val="auto"/>
        </w:rPr>
        <w:t>Liens on Escrowed Proceeds for the benefit of the related holders of debt securities or other Indebtedness (or the underwriters for arrangers thereof) or on cash set aside at the time of the incurrence of any Indebtedness or government securities purchased with such cash, in either case to the extent such cash or government securities prefund the payment of interest on such Indebtedness and are held in an escrow account or similar arrangement to be applied for such purpose;</w:t>
      </w:r>
    </w:p>
    <w:p>
      <w:pPr>
        <w:spacing w:after="0" w:line="103" w:lineRule="exact"/>
        <w:rPr>
          <w:sz w:val="20"/>
          <w:szCs w:val="20"/>
          <w:color w:val="auto"/>
        </w:rPr>
      </w:pPr>
    </w:p>
    <w:p>
      <w:pPr>
        <w:jc w:val="both"/>
        <w:ind w:left="740" w:right="20" w:firstLine="1213"/>
        <w:spacing w:after="0" w:line="315" w:lineRule="auto"/>
        <w:rPr>
          <w:sz w:val="20"/>
          <w:szCs w:val="20"/>
          <w:color w:val="auto"/>
        </w:rPr>
      </w:pPr>
      <w:r>
        <w:rPr>
          <w:rFonts w:ascii="Arial" w:cs="Arial" w:eastAsia="Arial" w:hAnsi="Arial"/>
          <w:sz w:val="18"/>
          <w:szCs w:val="18"/>
          <w:color w:val="auto"/>
        </w:rPr>
        <w:t xml:space="preserve">(xxxi)Liens of bailees arising as a matter of law or pursuant to the standard terms of agreement of such bailee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shall extend only to the assets subject to such bailment;</w:t>
      </w:r>
    </w:p>
    <w:p>
      <w:pPr>
        <w:spacing w:after="0" w:line="117" w:lineRule="exact"/>
        <w:rPr>
          <w:sz w:val="20"/>
          <w:szCs w:val="20"/>
          <w:color w:val="auto"/>
        </w:rPr>
      </w:pPr>
    </w:p>
    <w:p>
      <w:pPr>
        <w:jc w:val="both"/>
        <w:ind w:left="740" w:right="20" w:firstLine="1213"/>
        <w:spacing w:after="0" w:line="249" w:lineRule="auto"/>
        <w:rPr>
          <w:sz w:val="20"/>
          <w:szCs w:val="20"/>
          <w:color w:val="auto"/>
        </w:rPr>
      </w:pPr>
      <w:r>
        <w:rPr>
          <w:rFonts w:ascii="Arial" w:cs="Arial" w:eastAsia="Arial" w:hAnsi="Arial"/>
          <w:sz w:val="20"/>
          <w:szCs w:val="20"/>
          <w:color w:val="auto"/>
        </w:rPr>
        <w:t>(xxxii)Liens securing obligations (other than obligations representing Indebtedness for borrowed money) under operating, reciprocal easement or similar agreements entered into in the ordinary course of business of the Borrower and its Subsidiaries;</w:t>
      </w:r>
    </w:p>
    <w:p>
      <w:pPr>
        <w:spacing w:after="0" w:line="17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(xxxiii)utility and similar deposits in the ordinary course of business;</w:t>
      </w:r>
    </w:p>
    <w:p>
      <w:pPr>
        <w:spacing w:after="0" w:line="188" w:lineRule="exact"/>
        <w:rPr>
          <w:sz w:val="20"/>
          <w:szCs w:val="20"/>
          <w:color w:val="auto"/>
        </w:rPr>
      </w:pPr>
    </w:p>
    <w:p>
      <w:pPr>
        <w:jc w:val="both"/>
        <w:ind w:left="740" w:right="20" w:firstLine="1213"/>
        <w:spacing w:after="0" w:line="260" w:lineRule="auto"/>
        <w:rPr>
          <w:sz w:val="20"/>
          <w:szCs w:val="20"/>
          <w:color w:val="auto"/>
        </w:rPr>
      </w:pPr>
      <w:r>
        <w:rPr>
          <w:rFonts w:ascii="Arial" w:cs="Arial" w:eastAsia="Arial" w:hAnsi="Arial"/>
          <w:sz w:val="20"/>
          <w:szCs w:val="20"/>
          <w:color w:val="auto"/>
        </w:rPr>
        <w:t>(xxxiv)purchase options, call and similar rights of, and restrictions for the benefit of, a third party with respect to Equity Interests held by the Borrower or any Restricted Subsidiary in joint ventures;</w:t>
      </w:r>
    </w:p>
    <w:p>
      <w:pPr>
        <w:spacing w:after="0" w:line="162" w:lineRule="exact"/>
        <w:rPr>
          <w:sz w:val="20"/>
          <w:szCs w:val="20"/>
          <w:color w:val="auto"/>
        </w:rPr>
      </w:pPr>
    </w:p>
    <w:p>
      <w:pPr>
        <w:jc w:val="both"/>
        <w:ind w:left="740" w:right="20" w:firstLine="1213"/>
        <w:spacing w:after="0" w:line="260" w:lineRule="auto"/>
        <w:rPr>
          <w:sz w:val="20"/>
          <w:szCs w:val="20"/>
          <w:color w:val="auto"/>
        </w:rPr>
      </w:pPr>
      <w:r>
        <w:rPr>
          <w:rFonts w:ascii="Arial" w:cs="Arial" w:eastAsia="Arial" w:hAnsi="Arial"/>
          <w:sz w:val="20"/>
          <w:szCs w:val="20"/>
          <w:color w:val="auto"/>
        </w:rPr>
        <w:t>(xxxv)Liens in favor of the Borrower or a Restricted Subsidiary arising in connection with Intercompany License Agreements;</w:t>
      </w:r>
    </w:p>
    <w:p>
      <w:pPr>
        <w:spacing w:after="0" w:line="162" w:lineRule="exact"/>
        <w:rPr>
          <w:sz w:val="20"/>
          <w:szCs w:val="20"/>
          <w:color w:val="auto"/>
        </w:rPr>
      </w:pPr>
    </w:p>
    <w:p>
      <w:pPr>
        <w:jc w:val="both"/>
        <w:ind w:left="740" w:right="20" w:firstLine="1213"/>
        <w:spacing w:after="0" w:line="249" w:lineRule="auto"/>
        <w:rPr>
          <w:sz w:val="20"/>
          <w:szCs w:val="20"/>
          <w:color w:val="auto"/>
        </w:rPr>
      </w:pPr>
      <w:r>
        <w:rPr>
          <w:rFonts w:ascii="Arial" w:cs="Arial" w:eastAsia="Arial" w:hAnsi="Arial"/>
          <w:sz w:val="20"/>
          <w:szCs w:val="20"/>
          <w:color w:val="auto"/>
        </w:rPr>
        <w:t>(xxxvi)Liens on cash or Permitted Investments securing any Swap Agreement (or any obligations in respect of the clearing thereof) so long as the fair market value of the assets securing such Swap Agreement does not exceed $20,000,000 at any time;</w:t>
      </w:r>
    </w:p>
    <w:p>
      <w:pPr>
        <w:spacing w:after="0" w:line="161" w:lineRule="exact"/>
        <w:rPr>
          <w:sz w:val="20"/>
          <w:szCs w:val="20"/>
          <w:color w:val="auto"/>
        </w:rPr>
      </w:pPr>
    </w:p>
    <w:p>
      <w:pPr>
        <w:jc w:val="both"/>
        <w:ind w:left="740" w:right="20" w:firstLine="1213"/>
        <w:spacing w:after="0" w:line="249" w:lineRule="auto"/>
        <w:rPr>
          <w:sz w:val="20"/>
          <w:szCs w:val="20"/>
          <w:color w:val="auto"/>
        </w:rPr>
      </w:pPr>
      <w:r>
        <w:rPr>
          <w:rFonts w:ascii="Arial" w:cs="Arial" w:eastAsia="Arial" w:hAnsi="Arial"/>
          <w:sz w:val="20"/>
          <w:szCs w:val="20"/>
          <w:color w:val="auto"/>
        </w:rPr>
        <w:t xml:space="preserve">(xxxvii)Liens (i) attaching solely to cash advances and cash earnest money deposits in connection with Investments permitted under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or (ii) consisting of an agreement to Dispose of any property in a Disposition permitted hereunder;</w:t>
      </w:r>
    </w:p>
    <w:p>
      <w:pPr>
        <w:spacing w:after="0" w:line="17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(xxxviii)[reserved]; and</w:t>
      </w:r>
    </w:p>
    <w:p>
      <w:pPr>
        <w:spacing w:after="0" w:line="202" w:lineRule="exact"/>
        <w:rPr>
          <w:sz w:val="20"/>
          <w:szCs w:val="20"/>
          <w:color w:val="auto"/>
        </w:rPr>
      </w:pPr>
    </w:p>
    <w:p>
      <w:pPr>
        <w:jc w:val="both"/>
        <w:ind w:left="740" w:right="20" w:firstLine="1213"/>
        <w:spacing w:after="0" w:line="260" w:lineRule="auto"/>
        <w:rPr>
          <w:sz w:val="20"/>
          <w:szCs w:val="20"/>
          <w:color w:val="auto"/>
        </w:rPr>
      </w:pPr>
      <w:r>
        <w:rPr>
          <w:rFonts w:ascii="Arial" w:cs="Arial" w:eastAsia="Arial" w:hAnsi="Arial"/>
          <w:sz w:val="20"/>
          <w:szCs w:val="20"/>
          <w:color w:val="auto"/>
        </w:rPr>
        <w:t>(xxxix)any Lien resulting from the rules and regulations of any clearing system or stock exchange over shares and/or other securities held in that clearing system or stock exchange.</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For purposes of determining compliance with this Section 6.02, in the event that any Lien (or any portion thereof) meets the criteria of more than one of the categories of Liens described in clauses (i) through (xxxix) above, the Borrower may, in its sole discretion, at the time of incurrence, divide, classify or reclassify, or at any later time divide, classify or reclassify, such Lien (or any portion thereof) and will only be required to include the amount and type of such Lien in one or more of the above clauses;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Liens created under the Loan Documents will be deemed to have been incurred in reliance only on the exception in clause (i).</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325" w:right="539" w:bottom="1440" w:gutter="0" w:footer="0" w:header="0"/>
        </w:sectPr>
      </w:pPr>
    </w:p>
    <w:bookmarkStart w:id="313" w:name="page314"/>
    <w:bookmarkEnd w:id="313"/>
    <w:p>
      <w:pPr>
        <w:ind w:left="4120"/>
        <w:spacing w:after="0"/>
        <w:tabs>
          <w:tab w:leader="none" w:pos="5680" w:val="left"/>
          <w:tab w:leader="none" w:pos="6860" w:val="left"/>
        </w:tabs>
        <w:rPr>
          <w:sz w:val="20"/>
          <w:szCs w:val="20"/>
          <w:color w:val="auto"/>
        </w:rPr>
      </w:pPr>
      <w:r>
        <w:rPr>
          <w:rFonts w:ascii="Arial" w:cs="Arial" w:eastAsia="Arial" w:hAnsi="Arial"/>
          <w:sz w:val="20"/>
          <w:szCs w:val="20"/>
          <w:color w:val="010000"/>
        </w:rPr>
        <w:t>SECTION 6.03</w:t>
      </w:r>
      <w:r>
        <w:rPr>
          <w:sz w:val="20"/>
          <w:szCs w:val="20"/>
          <w:color w:val="auto"/>
        </w:rPr>
        <w:tab/>
      </w:r>
      <w:r>
        <w:rPr>
          <w:rFonts w:ascii="Arial" w:cs="Arial" w:eastAsia="Arial" w:hAnsi="Arial"/>
          <w:sz w:val="20"/>
          <w:szCs w:val="20"/>
          <w:u w:val="single" w:color="auto"/>
          <w:color w:val="auto"/>
        </w:rPr>
        <w:t>Fundamental</w:t>
      </w:r>
      <w:r>
        <w:rPr>
          <w:sz w:val="20"/>
          <w:szCs w:val="20"/>
          <w:color w:val="auto"/>
        </w:rPr>
        <w:tab/>
      </w:r>
      <w:r>
        <w:rPr>
          <w:rFonts w:ascii="Arial" w:cs="Arial" w:eastAsia="Arial" w:hAnsi="Arial"/>
          <w:sz w:val="16"/>
          <w:szCs w:val="16"/>
          <w:u w:val="single" w:color="auto"/>
          <w:color w:val="auto"/>
        </w:rPr>
        <w:t>Changes; Holdings</w:t>
      </w:r>
    </w:p>
    <w:p>
      <w:pPr>
        <w:spacing w:after="0" w:line="16" w:lineRule="exact"/>
        <w:rPr>
          <w:sz w:val="20"/>
          <w:szCs w:val="20"/>
          <w:color w:val="auto"/>
        </w:rPr>
      </w:pPr>
    </w:p>
    <w:p>
      <w:pPr>
        <w:ind w:left="2620"/>
        <w:spacing w:after="0"/>
        <w:rPr>
          <w:sz w:val="20"/>
          <w:szCs w:val="20"/>
          <w:color w:val="auto"/>
        </w:rPr>
      </w:pPr>
      <w:r>
        <w:rPr>
          <w:rFonts w:ascii="Arial" w:cs="Arial" w:eastAsia="Arial" w:hAnsi="Arial"/>
          <w:sz w:val="20"/>
          <w:szCs w:val="20"/>
          <w:u w:val="single" w:color="auto"/>
          <w:color w:val="auto"/>
        </w:rPr>
        <w:t>Covenant</w:t>
      </w:r>
      <w:r>
        <w:rPr>
          <w:rFonts w:ascii="Arial" w:cs="Arial" w:eastAsia="Arial" w:hAnsi="Arial"/>
          <w:sz w:val="20"/>
          <w:szCs w:val="20"/>
          <w:color w:val="auto"/>
        </w:rPr>
        <w:t>.</w:t>
      </w:r>
    </w:p>
    <w:p>
      <w:pPr>
        <w:spacing w:after="0" w:line="212" w:lineRule="exact"/>
        <w:rPr>
          <w:sz w:val="20"/>
          <w:szCs w:val="20"/>
          <w:color w:val="auto"/>
        </w:rPr>
      </w:pPr>
    </w:p>
    <w:p>
      <w:pPr>
        <w:jc w:val="both"/>
        <w:ind w:firstLine="1467"/>
        <w:spacing w:after="0" w:line="246" w:lineRule="auto"/>
        <w:tabs>
          <w:tab w:leader="none" w:pos="2213" w:val="left"/>
        </w:tabs>
        <w:numPr>
          <w:ilvl w:val="0"/>
          <w:numId w:val="281"/>
        </w:numPr>
        <w:rPr>
          <w:rFonts w:ascii="Arial" w:cs="Arial" w:eastAsia="Arial" w:hAnsi="Arial"/>
          <w:sz w:val="20"/>
          <w:szCs w:val="20"/>
          <w:color w:val="auto"/>
        </w:rPr>
      </w:pPr>
      <w:r>
        <w:rPr>
          <w:rFonts w:ascii="Arial" w:cs="Arial" w:eastAsia="Arial" w:hAnsi="Arial"/>
          <w:sz w:val="20"/>
          <w:szCs w:val="20"/>
          <w:color w:val="auto"/>
        </w:rPr>
        <w:t>Holdings and the Borrower will not, and will not permit any Restricted Subsidiary to, merge into or amalgamate or consolidate with any other Person, or permit any other Person to merge into or amalgamate or consolidate with it, or liquidate or dissolve (which, for the avoidance of doubt, shall not restrict Holdings, the Borrower or any Restricted Subsidiary from changing its organizational form), except that:</w:t>
      </w:r>
    </w:p>
    <w:p>
      <w:pPr>
        <w:spacing w:after="0" w:line="203" w:lineRule="exact"/>
        <w:rPr>
          <w:rFonts w:ascii="Arial" w:cs="Arial" w:eastAsia="Arial" w:hAnsi="Arial"/>
          <w:sz w:val="20"/>
          <w:szCs w:val="20"/>
          <w:color w:val="auto"/>
        </w:rPr>
      </w:pPr>
    </w:p>
    <w:p>
      <w:pPr>
        <w:jc w:val="both"/>
        <w:ind w:left="740" w:firstLine="1499"/>
        <w:spacing w:after="0" w:line="243" w:lineRule="auto"/>
        <w:tabs>
          <w:tab w:leader="none" w:pos="3180" w:val="left"/>
        </w:tabs>
        <w:numPr>
          <w:ilvl w:val="1"/>
          <w:numId w:val="281"/>
        </w:numPr>
        <w:rPr>
          <w:rFonts w:ascii="Arial" w:cs="Arial" w:eastAsia="Arial" w:hAnsi="Arial"/>
          <w:sz w:val="20"/>
          <w:szCs w:val="20"/>
          <w:color w:val="010000"/>
        </w:rPr>
      </w:pPr>
      <w:r>
        <w:rPr>
          <w:rFonts w:ascii="Arial" w:cs="Arial" w:eastAsia="Arial" w:hAnsi="Arial"/>
          <w:sz w:val="20"/>
          <w:szCs w:val="20"/>
          <w:color w:val="auto"/>
        </w:rPr>
        <w:t xml:space="preserve">any Restricted Subsidiary may merge, amalgamate or consolidate with (A)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the continuing or surviving Person, or (B) any one or more Restricted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when any Subsidiary Loan Party is merging, amalgamating or consolidating with another Restricted Subsidiary (1) the continuing or surviving Person shall be a Subsidiary Loan Party or the Borrower or (2) if the continuing or surviving Person is not a Subsidiary Loan Party, the acquisition of such Subsidiary Loan Party by such surviving Restricted Subsidiary is otherwise permitted under Section 6.04;</w:t>
      </w:r>
    </w:p>
    <w:p>
      <w:pPr>
        <w:spacing w:after="0" w:line="207" w:lineRule="exact"/>
        <w:rPr>
          <w:rFonts w:ascii="Arial" w:cs="Arial" w:eastAsia="Arial" w:hAnsi="Arial"/>
          <w:sz w:val="20"/>
          <w:szCs w:val="20"/>
          <w:color w:val="010000"/>
        </w:rPr>
      </w:pPr>
    </w:p>
    <w:p>
      <w:pPr>
        <w:jc w:val="both"/>
        <w:ind w:left="740" w:firstLine="1499"/>
        <w:spacing w:after="0" w:line="244" w:lineRule="auto"/>
        <w:tabs>
          <w:tab w:leader="none" w:pos="3180" w:val="left"/>
        </w:tabs>
        <w:numPr>
          <w:ilvl w:val="1"/>
          <w:numId w:val="281"/>
        </w:numPr>
        <w:rPr>
          <w:rFonts w:ascii="Arial" w:cs="Arial" w:eastAsia="Arial" w:hAnsi="Arial"/>
          <w:sz w:val="20"/>
          <w:szCs w:val="20"/>
          <w:color w:val="010000"/>
        </w:rPr>
      </w:pPr>
      <w:r>
        <w:rPr>
          <w:rFonts w:ascii="Arial" w:cs="Arial" w:eastAsia="Arial" w:hAnsi="Arial"/>
          <w:sz w:val="20"/>
          <w:szCs w:val="20"/>
          <w:color w:val="auto"/>
        </w:rPr>
        <w:t>(A) any Restricted Subsidiary that is not a Loan Party may merge, amalgamate or consolidate with or into any Restricted Subsidiary that is not a Loan Party and (B)(x) any Restricted Subsidiary may liquidate or dissolve and (y) any Restricted Subsidiary may change its legal or organizational form if the Borrower determines in good faith that such action is in the best interests of Holdings, the Borrower and its Restricted Subsidiaries and is not materially disadvantageous to the Lenders;</w:t>
      </w:r>
    </w:p>
    <w:p>
      <w:pPr>
        <w:spacing w:after="0" w:line="206" w:lineRule="exact"/>
        <w:rPr>
          <w:rFonts w:ascii="Arial" w:cs="Arial" w:eastAsia="Arial" w:hAnsi="Arial"/>
          <w:sz w:val="20"/>
          <w:szCs w:val="20"/>
          <w:color w:val="010000"/>
        </w:rPr>
      </w:pPr>
    </w:p>
    <w:p>
      <w:pPr>
        <w:jc w:val="both"/>
        <w:ind w:left="740" w:right="40" w:firstLine="1499"/>
        <w:spacing w:after="0" w:line="256" w:lineRule="auto"/>
        <w:tabs>
          <w:tab w:leader="none" w:pos="2811" w:val="left"/>
        </w:tabs>
        <w:numPr>
          <w:ilvl w:val="1"/>
          <w:numId w:val="281"/>
        </w:numPr>
        <w:rPr>
          <w:rFonts w:ascii="Arial" w:cs="Arial" w:eastAsia="Arial" w:hAnsi="Arial"/>
          <w:sz w:val="19"/>
          <w:szCs w:val="19"/>
          <w:color w:val="010000"/>
        </w:rPr>
      </w:pPr>
      <w:r>
        <w:rPr>
          <w:rFonts w:ascii="Arial" w:cs="Arial" w:eastAsia="Arial" w:hAnsi="Arial"/>
          <w:sz w:val="19"/>
          <w:szCs w:val="19"/>
          <w:color w:val="auto"/>
        </w:rPr>
        <w:t xml:space="preserve">any Restricted Subsidiary may make a Disposition of all or substantially all of its assets (upon voluntary liquidation or otherwise) to the Borrower or another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transferor in such a transaction is a Loan Party, then (A) the transferee must be a Loan Party, (B) to the extent the transferee is not a Loan Party, such transaction would constitute an Investment that is a permitted Investment in a Restricted Subsidiary that is not a Loan Party in accordance with Section 6.04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212" w:lineRule="exact"/>
        <w:rPr>
          <w:rFonts w:ascii="Arial" w:cs="Arial" w:eastAsia="Arial" w:hAnsi="Arial"/>
          <w:sz w:val="19"/>
          <w:szCs w:val="19"/>
          <w:color w:val="010000"/>
        </w:rPr>
      </w:pPr>
    </w:p>
    <w:p>
      <w:pPr>
        <w:jc w:val="both"/>
        <w:ind w:left="740" w:firstLine="1499"/>
        <w:spacing w:after="0" w:line="269" w:lineRule="auto"/>
        <w:tabs>
          <w:tab w:leader="none" w:pos="2814" w:val="left"/>
        </w:tabs>
        <w:numPr>
          <w:ilvl w:val="1"/>
          <w:numId w:val="281"/>
        </w:numPr>
        <w:rPr>
          <w:rFonts w:ascii="Arial" w:cs="Arial" w:eastAsia="Arial" w:hAnsi="Arial"/>
          <w:sz w:val="18"/>
          <w:szCs w:val="18"/>
          <w:color w:val="010000"/>
        </w:rPr>
      </w:pPr>
      <w:r>
        <w:rPr>
          <w:rFonts w:ascii="Arial" w:cs="Arial" w:eastAsia="Arial" w:hAnsi="Arial"/>
          <w:sz w:val="18"/>
          <w:szCs w:val="18"/>
          <w:color w:val="auto"/>
        </w:rPr>
        <w:t xml:space="preserve">(I) the Borrower may merge, amalgamate or consolidate with (or Dispose of all or substantially all of its assets to)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Borrower shall be the continuing or surviving Person or (B) if the Person formed by or surviving any such merger, amalgamation or consolidation is not the Borrower or is a Person into which the Borrower has been liquidated (or, in connection with a Disposition of all or substantially all of the Borrower’s assets, is the transferee of such assets) (any such Person, the “</w:t>
      </w:r>
      <w:r>
        <w:rPr>
          <w:rFonts w:ascii="Arial" w:cs="Arial" w:eastAsia="Arial" w:hAnsi="Arial"/>
          <w:sz w:val="18"/>
          <w:szCs w:val="18"/>
          <w:u w:val="single" w:color="auto"/>
          <w:color w:val="auto"/>
        </w:rPr>
        <w:t>Successor Borrower</w:t>
      </w:r>
      <w:r>
        <w:rPr>
          <w:rFonts w:ascii="Arial" w:cs="Arial" w:eastAsia="Arial" w:hAnsi="Arial"/>
          <w:sz w:val="18"/>
          <w:szCs w:val="18"/>
          <w:color w:val="auto"/>
        </w:rPr>
        <w:t xml:space="preserve">”), (1) the Successor Borrower shall be an entity organized or existing under the laws of the United States (or any state thereof), (2) the Successor Borrower shall expressly assume all of the obligations of the Borrower under this Agreement and the other Loan Documents to which the Borrower is a party pursuant to a supplement hereto or thereto in form and substance reasonably satisfactory to the Administrative Agent, (3) each Loan Party other than the Borrower,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(4) the Borrower shall have delivered to the Administrative Agent a certificate of a Responsible Officer of the Borrower stating that such merger, amalgamation or consolidation complies with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(y) if such Person is not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1" w:right="499" w:bottom="1440" w:gutter="0" w:footer="0" w:header="0"/>
        </w:sectPr>
      </w:pPr>
    </w:p>
    <w:bookmarkStart w:id="314" w:name="page315"/>
    <w:bookmarkEnd w:id="314"/>
    <w:p>
      <w:pPr>
        <w:jc w:val="both"/>
        <w:spacing w:after="0" w:line="267" w:lineRule="auto"/>
        <w:rPr>
          <w:sz w:val="20"/>
          <w:szCs w:val="20"/>
          <w:color w:val="auto"/>
        </w:rPr>
      </w:pPr>
      <w:r>
        <w:rPr>
          <w:rFonts w:ascii="Arial" w:cs="Arial" w:eastAsia="Arial" w:hAnsi="Arial"/>
          <w:sz w:val="18"/>
          <w:szCs w:val="18"/>
          <w:color w:val="auto"/>
        </w:rPr>
        <w:t xml:space="preserve">Loan Party, no Event of Default (or, to the extent related to a Permitted Acquisition or any Investment not prohibited by Section 6.04, no Specified Event of Default) shall exist after giving effect to such merger, amalgamation or consolidation and (z) if the foregoing requirements are satisfied, the Successor Borrower will succeed to, and be substituted for, the Borrower under this Agreement and the other Loan Documents;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the Borrower shall have provided any documentation and other information about the Successor Borrower to the extent reasonably requested in writing promptly, and in any case within one Business Day following the delivery of the certificate in clause (4), by any Lender or Issuing Bank through the Administrative Agent that such Lender or Issuing Bank shall have reasonably determined is required by regulatory authorities under applicable “know your customer” and anti-money laundering rules and regulations, including Title III of the USA PATRIOT Act and (B) such Lender or Issuing Bank, as applicable, shall be reasonably satisfied that its review of such documentation and information requested and delivered pursuant to clause (A) complies with such applicable “know your customer” and anti-money laundering rules and regulations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Borrower’s failure to deliver information requested after the first Business Day following delivery of the certificate in clause (4) above shall not constitute a Default or an Event of Default under this Agreement or the Loan Documents) or (II) Holdings may merge, amalgamate or consolidate with (or Dispose of all or substantially all of its assets to)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Holdings shall be the continuing or surviving Person or (B) if the Person formed by or surviving any such merger, amalgamation or consolidation is not Holdings or is a Person into which Holdings has been liquidated (or, in connection with a Disposition of all or substantially all of Holdings’ assets, is the transferee of such assets) (any such Person, the “</w:t>
      </w:r>
      <w:r>
        <w:rPr>
          <w:rFonts w:ascii="Arial" w:cs="Arial" w:eastAsia="Arial" w:hAnsi="Arial"/>
          <w:sz w:val="18"/>
          <w:szCs w:val="18"/>
          <w:u w:val="single" w:color="auto"/>
          <w:color w:val="auto"/>
        </w:rPr>
        <w:t>Successor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Holdings</w:t>
      </w:r>
      <w:r>
        <w:rPr>
          <w:rFonts w:ascii="Arial" w:cs="Arial" w:eastAsia="Arial" w:hAnsi="Arial"/>
          <w:sz w:val="18"/>
          <w:szCs w:val="18"/>
          <w:color w:val="auto"/>
        </w:rPr>
        <w:t xml:space="preserve">”), (1) the Successor Holdings shall be an entity organized or existing under the laws of the United States (or any state thereof), (2) the Successor Holdings shall expressly assume all of the obligations of Holdings under this Agreement and the other Loan Documents to which Holdings is a party pursuant to a supplement hereto or thereto in form and substance reasonably satisfactory to the Administrative Agent, (3) each Loan Party other than Holdings,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and (4) Holdings shall have delivered to the Administrative Agent a certificate of a Responsible Officer of Holdings stating that such merger, amalgamation or consolidation complies with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(y) if such Person is not a Loan Party, no Event of Default (or, to the extent related to a Permitted Acquisition or any Investment not prohibited by Section 6.04, no Specified Event of Default) shall exist after giving effect to such merger, amalgamation or consolidation and (z) if the foregoing requirements are satisfied, the Successor Holdings will succeed to, and be substituted for, Holdings under this Agreement and the other Loan Documents;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Holdings shall have provided any documentation and other information about the Successor Holdings to the extent reasonably requested in writing promptly, and in any case within one Business Day following the delivery of the certificate in clause (4), by any Lender or Issuing Bank through the Administrative Agent that such Lender or Issuing Bank shall have reasonably determined is required by regulatory authorities under applicable “know your customer” and anti-money laundering rules and regulations, including Title III of the USA PATRIOT Act and (B) such Lender or Issuing Bank, as applicable, shall be reasonably satisfied that its review of such documentation and information requested and delivered pursuant to clause (A) complies with such applicable “know your customer” and anti-money laundering rules and regulations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Holdings’ failure to deliver information requested after the first Business Day following delivery of the certificate in clause (4) above shall not constitute a Default or an Event of Default under this Agreement or the Loan Documents);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66040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1240" w:top="121" w:right="499" w:bottom="1440" w:gutter="0" w:footer="0" w:header="0"/>
        </w:sectPr>
      </w:pPr>
    </w:p>
    <w:bookmarkStart w:id="315" w:name="page316"/>
    <w:bookmarkEnd w:id="315"/>
    <w:p>
      <w:pPr>
        <w:jc w:val="both"/>
        <w:ind w:left="720" w:right="20" w:firstLine="1499"/>
        <w:spacing w:after="0" w:line="246" w:lineRule="auto"/>
        <w:tabs>
          <w:tab w:leader="none" w:pos="2791" w:val="left"/>
        </w:tabs>
        <w:numPr>
          <w:ilvl w:val="1"/>
          <w:numId w:val="282"/>
        </w:numPr>
        <w:rPr>
          <w:rFonts w:ascii="Arial" w:cs="Arial" w:eastAsia="Arial" w:hAnsi="Arial"/>
          <w:sz w:val="20"/>
          <w:szCs w:val="20"/>
          <w:color w:val="010000"/>
        </w:rPr>
      </w:pPr>
      <w:r>
        <w:rPr>
          <w:rFonts w:ascii="Arial" w:cs="Arial" w:eastAsia="Arial" w:hAnsi="Arial"/>
          <w:sz w:val="20"/>
          <w:szCs w:val="20"/>
          <w:color w:val="auto"/>
        </w:rPr>
        <w:t xml:space="preserve">any Restricted Subsidiary may merge, consolidate or amalgamate with any other Person in order to effect an Investment permitted pursuant to Section 6.04;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continuing or surviving Person shall be the Borrower or a Restricted Subsidiary, which together with each of the Restricted Subsidiaries, shall have complied with the requirements of Sections 5.11 and 5.12;</w:t>
      </w:r>
    </w:p>
    <w:p>
      <w:pPr>
        <w:spacing w:after="0" w:line="204" w:lineRule="exact"/>
        <w:rPr>
          <w:rFonts w:ascii="Arial" w:cs="Arial" w:eastAsia="Arial" w:hAnsi="Arial"/>
          <w:sz w:val="20"/>
          <w:szCs w:val="20"/>
          <w:color w:val="010000"/>
        </w:rPr>
      </w:pPr>
    </w:p>
    <w:p>
      <w:pPr>
        <w:ind w:left="720" w:right="20" w:firstLine="1499"/>
        <w:spacing w:after="0" w:line="260" w:lineRule="auto"/>
        <w:tabs>
          <w:tab w:leader="none" w:pos="2791" w:val="left"/>
        </w:tabs>
        <w:numPr>
          <w:ilvl w:val="1"/>
          <w:numId w:val="282"/>
        </w:numPr>
        <w:rPr>
          <w:rFonts w:ascii="Arial" w:cs="Arial" w:eastAsia="Arial" w:hAnsi="Arial"/>
          <w:sz w:val="20"/>
          <w:szCs w:val="20"/>
          <w:color w:val="010000"/>
        </w:rPr>
      </w:pPr>
      <w:r>
        <w:rPr>
          <w:rFonts w:ascii="Arial" w:cs="Arial" w:eastAsia="Arial" w:hAnsi="Arial"/>
          <w:sz w:val="20"/>
          <w:szCs w:val="20"/>
          <w:color w:val="auto"/>
        </w:rPr>
        <w:t>Holdings, the Borrower and the Restricted Subsidiaries may consummate the Transactions and any Permitted Reorganization; and</w:t>
      </w:r>
    </w:p>
    <w:p>
      <w:pPr>
        <w:spacing w:after="0" w:line="189" w:lineRule="exact"/>
        <w:rPr>
          <w:rFonts w:ascii="Arial" w:cs="Arial" w:eastAsia="Arial" w:hAnsi="Arial"/>
          <w:sz w:val="20"/>
          <w:szCs w:val="20"/>
          <w:color w:val="010000"/>
        </w:rPr>
      </w:pPr>
    </w:p>
    <w:p>
      <w:pPr>
        <w:ind w:left="720" w:right="20" w:firstLine="1499"/>
        <w:spacing w:after="0" w:line="260" w:lineRule="auto"/>
        <w:tabs>
          <w:tab w:leader="none" w:pos="2791" w:val="left"/>
        </w:tabs>
        <w:numPr>
          <w:ilvl w:val="1"/>
          <w:numId w:val="282"/>
        </w:numPr>
        <w:rPr>
          <w:rFonts w:ascii="Arial" w:cs="Arial" w:eastAsia="Arial" w:hAnsi="Arial"/>
          <w:sz w:val="20"/>
          <w:szCs w:val="20"/>
          <w:color w:val="010000"/>
        </w:rPr>
      </w:pPr>
      <w:r>
        <w:rPr>
          <w:rFonts w:ascii="Arial" w:cs="Arial" w:eastAsia="Arial" w:hAnsi="Arial"/>
          <w:sz w:val="20"/>
          <w:szCs w:val="20"/>
          <w:color w:val="auto"/>
        </w:rPr>
        <w:t>any Restricted Subsidiary may effect a merger, amalgamation, dissolution, liquidation consolidation or amalgamation to effect a Disposition permitted pursuant to Section 6.05.</w:t>
      </w:r>
    </w:p>
    <w:p>
      <w:pPr>
        <w:spacing w:after="0" w:line="189" w:lineRule="exact"/>
        <w:rPr>
          <w:rFonts w:ascii="Arial" w:cs="Arial" w:eastAsia="Arial" w:hAnsi="Arial"/>
          <w:sz w:val="20"/>
          <w:szCs w:val="20"/>
          <w:color w:val="010000"/>
        </w:rPr>
      </w:pPr>
    </w:p>
    <w:p>
      <w:pPr>
        <w:jc w:val="both"/>
        <w:ind w:left="-20" w:firstLine="1490"/>
        <w:spacing w:after="0" w:line="263" w:lineRule="auto"/>
        <w:tabs>
          <w:tab w:leader="none" w:pos="2213"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Holdings, the Borrower or any Restricted Subsidiary, will not make any change in its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r>
        <w:rPr>
          <w:rFonts w:ascii="Arial" w:cs="Arial" w:eastAsia="Arial" w:hAnsi="Arial"/>
          <w:sz w:val="19"/>
          <w:szCs w:val="19"/>
          <w:i w:val="1"/>
          <w:iCs w:val="1"/>
          <w:color w:val="auto"/>
        </w:rPr>
        <w:t>,</w:t>
      </w:r>
      <w:r>
        <w:rPr>
          <w:rFonts w:ascii="Arial" w:cs="Arial" w:eastAsia="Arial" w:hAnsi="Arial"/>
          <w:sz w:val="19"/>
          <w:szCs w:val="19"/>
          <w:color w:val="auto"/>
        </w:rPr>
        <w:t xml:space="preserve"> Holding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88" w:lineRule="exact"/>
        <w:rPr>
          <w:rFonts w:ascii="Arial" w:cs="Arial" w:eastAsia="Arial" w:hAnsi="Arial"/>
          <w:sz w:val="19"/>
          <w:szCs w:val="19"/>
          <w:color w:val="auto"/>
        </w:rPr>
      </w:pPr>
    </w:p>
    <w:p>
      <w:pPr>
        <w:jc w:val="both"/>
        <w:ind w:left="-20" w:right="20" w:firstLine="1490"/>
        <w:spacing w:after="0" w:line="268" w:lineRule="auto"/>
        <w:tabs>
          <w:tab w:leader="none" w:pos="221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Holdings will not conduct, transact or otherwise engage in any business or operations other than (i) the ownership and/or acquisition of the Equity Interests or debt interests of the Borrower and any other Subsidiary (including any Subsidiary that is not the Borrower or a Subsidiary of the Borrower which is formed solely for purposes of acting as a co-obligor with respect to any Qualified Holding Company Debt and which does not conduct, transact or otherwise engage in any material business or operation, and, in each case, activities incidental thereto), (ii) the maintenance of its legal existence, including the ability to incur fees, costs and expenses relating to such maintenance, (iii) participating in tax, accounting and other administrative matters as a member of the consolidated group of Holdings and its Subsidiaries, (iv) the performance of its obligations under and in connection with the Loan Documents and any documentation governing any Indebtedness or Guarantee and the other agreements contemplated hereby and thereby and any Permitted Reorganization, (v) any public offering of its stock or any other issuance or registration of its Equity Interests for sale or resale not prohibited by this Agreement, including the costs, fees and expenses related thereto, (vi) the incurrence and maintenance of the Existing Convertible Notes (including any Permitted Refinancing thereof), (vii) making any dividend or distribution or other transaction similar to a Restricted Payment, or any Investment in the Borrower or any other Subsidiary, (viii) the incurrence of Qualified Holding Company Debt or the guaranteeing of any Indebtedness permitted under Section 6.01 or the issuance of letters of support for any of its Subsidiaries entered into in the ordinary course of business or in connection with the delivery of audit opinions, (ix) incurring fees, costs and expenses in the ordinary course of business, including relating to overhead and general operating including professional fees for legal, tax and accounting issues and paying taxes, (x) providing indemnification to officers and members of the Board of Directors, (xi) repurchases of Indebtedness through open market purchases and Dutch auctions (in the case of Loans, to the extent permitted hereunder), (xii) activities incidental to the consummation of the Transactions and (xiii) activities incidental to the businesses or activities described in clauses (i) to (xiii) of this paragraph.</w:t>
      </w:r>
    </w:p>
    <w:p>
      <w:pPr>
        <w:spacing w:after="0" w:line="193" w:lineRule="exact"/>
        <w:rPr>
          <w:sz w:val="20"/>
          <w:szCs w:val="20"/>
          <w:color w:val="auto"/>
        </w:rPr>
      </w:pPr>
    </w:p>
    <w:p>
      <w:pPr>
        <w:ind w:left="4100"/>
        <w:spacing w:after="0"/>
        <w:tabs>
          <w:tab w:leader="none" w:pos="5660" w:val="left"/>
          <w:tab w:leader="none" w:pos="6840" w:val="left"/>
          <w:tab w:leader="none" w:pos="7620" w:val="left"/>
        </w:tabs>
        <w:rPr>
          <w:sz w:val="20"/>
          <w:szCs w:val="20"/>
          <w:color w:val="auto"/>
        </w:rPr>
      </w:pPr>
      <w:r>
        <w:rPr>
          <w:rFonts w:ascii="Arial" w:cs="Arial" w:eastAsia="Arial" w:hAnsi="Arial"/>
          <w:sz w:val="20"/>
          <w:szCs w:val="20"/>
          <w:color w:val="010000"/>
        </w:rPr>
        <w:t>SECTION 6.04</w:t>
      </w:r>
      <w:r>
        <w:rPr>
          <w:sz w:val="20"/>
          <w:szCs w:val="20"/>
          <w:color w:val="auto"/>
        </w:rPr>
        <w:tab/>
      </w:r>
      <w:r>
        <w:rPr>
          <w:rFonts w:ascii="Arial" w:cs="Arial" w:eastAsia="Arial" w:hAnsi="Arial"/>
          <w:sz w:val="20"/>
          <w:szCs w:val="20"/>
          <w:u w:val="single" w:color="auto"/>
          <w:color w:val="auto"/>
        </w:rPr>
        <w:t>Investments,</w:t>
        <w:tab/>
        <w:t>Loans,</w:t>
      </w:r>
      <w:r>
        <w:rPr>
          <w:sz w:val="20"/>
          <w:szCs w:val="20"/>
          <w:color w:val="auto"/>
        </w:rPr>
        <w:tab/>
      </w:r>
      <w:r>
        <w:rPr>
          <w:rFonts w:ascii="Arial" w:cs="Arial" w:eastAsia="Arial" w:hAnsi="Arial"/>
          <w:sz w:val="16"/>
          <w:szCs w:val="16"/>
          <w:u w:val="single" w:color="auto"/>
          <w:color w:val="auto"/>
        </w:rPr>
        <w:t>Advances, Guarantees and Acquisitions</w:t>
      </w:r>
      <w:r>
        <w:rPr>
          <w:rFonts w:ascii="Arial" w:cs="Arial" w:eastAsia="Arial" w:hAnsi="Arial"/>
          <w:sz w:val="16"/>
          <w:szCs w:val="16"/>
          <w:color w:val="auto"/>
        </w:rPr>
        <w:t>.</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The Borrower will not, and will not permit any Restricted Subsidiary to, make or hold any Investment, except:</w:t>
      </w:r>
    </w:p>
    <w:p>
      <w:pPr>
        <w:spacing w:after="0" w:line="240" w:lineRule="exact"/>
        <w:rPr>
          <w:sz w:val="20"/>
          <w:szCs w:val="20"/>
          <w:color w:val="auto"/>
        </w:rPr>
      </w:pPr>
    </w:p>
    <w:p>
      <w:pPr>
        <w:ind w:left="-20" w:firstLine="1490"/>
        <w:spacing w:after="0" w:line="260" w:lineRule="auto"/>
        <w:tabs>
          <w:tab w:leader="none" w:pos="2266" w:val="left"/>
        </w:tabs>
        <w:numPr>
          <w:ilvl w:val="0"/>
          <w:numId w:val="284"/>
        </w:numPr>
        <w:rPr>
          <w:rFonts w:ascii="Arial" w:cs="Arial" w:eastAsia="Arial" w:hAnsi="Arial"/>
          <w:sz w:val="20"/>
          <w:szCs w:val="20"/>
          <w:color w:val="auto"/>
        </w:rPr>
      </w:pPr>
      <w:r>
        <w:rPr>
          <w:rFonts w:ascii="Arial" w:cs="Arial" w:eastAsia="Arial" w:hAnsi="Arial"/>
          <w:sz w:val="20"/>
          <w:szCs w:val="20"/>
          <w:color w:val="auto"/>
        </w:rPr>
        <w:t>Permitted Investments at the time such Permitted Investment is made and purchases of assets in the ordinary course of business consistent with past practice;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20" w:top="121" w:right="539" w:bottom="1440" w:gutter="0" w:footer="0" w:header="0"/>
        </w:sectPr>
      </w:pPr>
    </w:p>
    <w:bookmarkStart w:id="316" w:name="page317"/>
    <w:bookmarkEnd w:id="316"/>
    <w:p>
      <w:pPr>
        <w:jc w:val="both"/>
        <w:ind w:right="20" w:firstLine="1490"/>
        <w:spacing w:after="0" w:line="259" w:lineRule="auto"/>
        <w:tabs>
          <w:tab w:leader="none" w:pos="228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loans or advances to officers, members of the Board of Directors and employees of Holdings, the Borrower and the Restricted Subsidiaries (i) for reasonable and customary business-related travel, entertainment, relocation and analogous ordinary business purposes, (ii) in connection with such Person’s purchase of Equity Interests of Holdings (or any direct or indirect parent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loans and advances made in cash to such Person shall be contributed to the Borrower in cash as common equity or Qualified Equity Interests) and (iii) for purposes not described in the foregoing clauses (i) and (ii), in an aggregate principal amount outstanding at any time not to exceed $15,000,000;</w:t>
      </w:r>
    </w:p>
    <w:p>
      <w:pPr>
        <w:spacing w:after="0" w:line="191" w:lineRule="exact"/>
        <w:rPr>
          <w:rFonts w:ascii="Arial" w:cs="Arial" w:eastAsia="Arial" w:hAnsi="Arial"/>
          <w:sz w:val="19"/>
          <w:szCs w:val="19"/>
          <w:color w:val="auto"/>
        </w:rPr>
      </w:pPr>
    </w:p>
    <w:p>
      <w:pPr>
        <w:ind w:right="20" w:firstLine="1490"/>
        <w:spacing w:after="0" w:line="260" w:lineRule="auto"/>
        <w:tabs>
          <w:tab w:leader="none" w:pos="228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Investments by the Borrower in any Restricted Subsidiary and Investments by any Restricted Subsidiary in the Borrower or any other Restricted Subsidiary;</w:t>
      </w:r>
    </w:p>
    <w:p>
      <w:pPr>
        <w:spacing w:after="0" w:line="202" w:lineRule="exact"/>
        <w:rPr>
          <w:rFonts w:ascii="Arial" w:cs="Arial" w:eastAsia="Arial" w:hAnsi="Arial"/>
          <w:sz w:val="20"/>
          <w:szCs w:val="20"/>
          <w:color w:val="auto"/>
        </w:rPr>
      </w:pPr>
    </w:p>
    <w:p>
      <w:pPr>
        <w:ind w:right="20" w:firstLine="1490"/>
        <w:spacing w:after="0" w:line="260" w:lineRule="auto"/>
        <w:tabs>
          <w:tab w:leader="none" w:pos="228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Investments (other than guarantees of Indebtedness) consisting of extensions of trade credit and guarantees in the ordinary course of business;</w:t>
      </w:r>
    </w:p>
    <w:p>
      <w:pPr>
        <w:spacing w:after="0" w:line="202" w:lineRule="exact"/>
        <w:rPr>
          <w:rFonts w:ascii="Arial" w:cs="Arial" w:eastAsia="Arial" w:hAnsi="Arial"/>
          <w:sz w:val="20"/>
          <w:szCs w:val="20"/>
          <w:color w:val="auto"/>
        </w:rPr>
      </w:pPr>
    </w:p>
    <w:p>
      <w:pPr>
        <w:jc w:val="both"/>
        <w:ind w:right="20" w:firstLine="1490"/>
        <w:spacing w:after="0" w:line="244" w:lineRule="auto"/>
        <w:tabs>
          <w:tab w:leader="none" w:pos="228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 xml:space="preserve">Investments (i) existing or contemplated on the Effective Date and set forth on Schedule 6.04 and any modification, replacement, renewal, reinvestment or extension thereof and (ii) existing on the Effective Date by Holdings, the Borrower or any Restricted Subsidiary in Holdings, the Borrower or any Restricted Subsidiary and any modification, renewal or extension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the original Investment is not increased except by the terms of such Investment to the extent as set forth on Schedule 6.04 or as otherwise permitted by this Section 6.04;</w:t>
      </w:r>
    </w:p>
    <w:p>
      <w:pPr>
        <w:spacing w:after="0" w:line="206" w:lineRule="exact"/>
        <w:rPr>
          <w:rFonts w:ascii="Arial" w:cs="Arial" w:eastAsia="Arial" w:hAnsi="Arial"/>
          <w:sz w:val="20"/>
          <w:szCs w:val="20"/>
          <w:color w:val="auto"/>
        </w:rPr>
      </w:pPr>
    </w:p>
    <w:p>
      <w:pPr>
        <w:ind w:left="2280" w:hanging="790"/>
        <w:spacing w:after="0"/>
        <w:tabs>
          <w:tab w:leader="none" w:pos="228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Investments in Swap Agreements incurred in the ordinary course of business and not for speculative</w:t>
      </w:r>
    </w:p>
    <w:p>
      <w:pPr>
        <w:spacing w:after="0" w:line="2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purposes;</w:t>
      </w:r>
    </w:p>
    <w:p>
      <w:pPr>
        <w:spacing w:after="0" w:line="225" w:lineRule="exact"/>
        <w:rPr>
          <w:rFonts w:ascii="Arial" w:cs="Arial" w:eastAsia="Arial" w:hAnsi="Arial"/>
          <w:sz w:val="19"/>
          <w:szCs w:val="19"/>
          <w:color w:val="auto"/>
        </w:rPr>
      </w:pPr>
    </w:p>
    <w:p>
      <w:pPr>
        <w:ind w:left="2280" w:hanging="790"/>
        <w:spacing w:after="0"/>
        <w:tabs>
          <w:tab w:leader="none" w:pos="22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promissory notes and other non-cash consideration received in connection with Dispositions permitted 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Section 6.05;</w:t>
      </w:r>
    </w:p>
    <w:p>
      <w:pPr>
        <w:spacing w:after="0" w:line="212" w:lineRule="exact"/>
        <w:rPr>
          <w:rFonts w:ascii="Arial" w:cs="Arial" w:eastAsia="Arial" w:hAnsi="Arial"/>
          <w:sz w:val="18"/>
          <w:szCs w:val="18"/>
          <w:color w:val="auto"/>
        </w:rPr>
      </w:pPr>
    </w:p>
    <w:p>
      <w:pPr>
        <w:ind w:left="2280" w:hanging="790"/>
        <w:spacing w:after="0"/>
        <w:tabs>
          <w:tab w:leader="none" w:pos="22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Permitted Acquisitions and Investments in any Restricted Subsidiary necessary to consummate Permitted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Acquisitions;</w:t>
      </w:r>
    </w:p>
    <w:p>
      <w:pPr>
        <w:spacing w:after="0" w:line="225" w:lineRule="exact"/>
        <w:rPr>
          <w:rFonts w:ascii="Arial" w:cs="Arial" w:eastAsia="Arial" w:hAnsi="Arial"/>
          <w:sz w:val="18"/>
          <w:szCs w:val="18"/>
          <w:color w:val="auto"/>
        </w:rPr>
      </w:pPr>
    </w:p>
    <w:p>
      <w:pPr>
        <w:ind w:left="2280" w:hanging="790"/>
        <w:spacing w:after="0"/>
        <w:tabs>
          <w:tab w:leader="none" w:pos="228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the Transactions;</w:t>
      </w:r>
    </w:p>
    <w:p>
      <w:pPr>
        <w:spacing w:after="0" w:line="241" w:lineRule="exact"/>
        <w:rPr>
          <w:rFonts w:ascii="Arial" w:cs="Arial" w:eastAsia="Arial" w:hAnsi="Arial"/>
          <w:sz w:val="20"/>
          <w:szCs w:val="20"/>
          <w:color w:val="auto"/>
        </w:rPr>
      </w:pPr>
    </w:p>
    <w:p>
      <w:pPr>
        <w:jc w:val="both"/>
        <w:ind w:right="20" w:firstLine="1490"/>
        <w:spacing w:after="0" w:line="249" w:lineRule="auto"/>
        <w:tabs>
          <w:tab w:leader="none" w:pos="228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201" w:lineRule="exact"/>
        <w:rPr>
          <w:rFonts w:ascii="Arial" w:cs="Arial" w:eastAsia="Arial" w:hAnsi="Arial"/>
          <w:sz w:val="20"/>
          <w:szCs w:val="20"/>
          <w:color w:val="auto"/>
        </w:rPr>
      </w:pPr>
    </w:p>
    <w:p>
      <w:pPr>
        <w:jc w:val="both"/>
        <w:ind w:right="20" w:firstLine="1490"/>
        <w:spacing w:after="0" w:line="290" w:lineRule="auto"/>
        <w:tabs>
          <w:tab w:leader="none" w:pos="228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180" w:lineRule="exact"/>
        <w:rPr>
          <w:rFonts w:ascii="Arial" w:cs="Arial" w:eastAsia="Arial" w:hAnsi="Arial"/>
          <w:sz w:val="18"/>
          <w:szCs w:val="18"/>
          <w:color w:val="auto"/>
        </w:rPr>
      </w:pPr>
    </w:p>
    <w:p>
      <w:pPr>
        <w:jc w:val="both"/>
        <w:ind w:right="20" w:firstLine="1490"/>
        <w:spacing w:after="0" w:line="244" w:lineRule="auto"/>
        <w:tabs>
          <w:tab w:leader="none" w:pos="228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loans and advances to Holdings or any direct or indirect parent of the Borrower (x) in lieu of, and not in excess of the amount of (after giving effect to any other loans, advances or Restricted Payments in respect thereof), Restricted Payments to the extent permitted to be made to Holdings or such direct or indirect parent of the Borrower in accordance with Section 6.07(a) (other than Section 6.07(a)(xvii)(2)) and (y) to the extent the proceeds thereof are contributed or loaned or advanced to the Borrower or a Restricted Subsidiary;</w:t>
      </w:r>
    </w:p>
    <w:p>
      <w:pPr>
        <w:spacing w:after="0" w:line="206" w:lineRule="exact"/>
        <w:rPr>
          <w:rFonts w:ascii="Arial" w:cs="Arial" w:eastAsia="Arial" w:hAnsi="Arial"/>
          <w:sz w:val="20"/>
          <w:szCs w:val="20"/>
          <w:color w:val="auto"/>
        </w:rPr>
      </w:pPr>
    </w:p>
    <w:p>
      <w:pPr>
        <w:jc w:val="both"/>
        <w:ind w:right="20" w:firstLine="1490"/>
        <w:spacing w:after="0" w:line="249" w:lineRule="auto"/>
        <w:tabs>
          <w:tab w:leader="none" w:pos="228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 xml:space="preserve">additional Investments and other acquisitions;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any such Investment or other acquisition is made, the aggregate outstanding amount of such Investment or acquisition made in reliance on this clause (m), together with the aggregate amount of all consideration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1" w:right="539" w:bottom="1440" w:gutter="0" w:footer="0" w:header="0"/>
        </w:sectPr>
      </w:pPr>
    </w:p>
    <w:bookmarkStart w:id="317" w:name="page318"/>
    <w:bookmarkEnd w:id="317"/>
    <w:p>
      <w:pPr>
        <w:jc w:val="both"/>
        <w:ind w:left="8" w:right="40"/>
        <w:spacing w:after="0" w:line="268" w:lineRule="auto"/>
        <w:rPr>
          <w:sz w:val="20"/>
          <w:szCs w:val="20"/>
          <w:color w:val="auto"/>
        </w:rPr>
      </w:pPr>
      <w:r>
        <w:rPr>
          <w:rFonts w:ascii="Arial" w:cs="Arial" w:eastAsia="Arial" w:hAnsi="Arial"/>
          <w:sz w:val="18"/>
          <w:szCs w:val="18"/>
          <w:color w:val="auto"/>
        </w:rPr>
        <w:t xml:space="preserve">paid in connection with all other Investments and acquisitions made in reliance on this clause (m) (including the aggregate principal amount of all Indebtedness assumed in connection with any such other Investment or acquisition previously made under this clause (m)), shall not exceed the sum of the greater of (i)(A) $70,000,000 and (B) 50.0% of Consolidated EBITDA for the most recently ended Test Period after giving Pro Forma Effect to the making of such Investment or other acquisition,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Available Amount that is Not Otherwise Applied as in effect immediately prior to the time of making of such Investment,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Available Equity Amount that is Not Otherwise Applied as in effect immediately prior to the time of making of such Investment;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unused amounts available to make Investments pursuant to Section 6.04(bb) (it being understood that the usage for such amounts for Investments under this clause</w:t>
      </w:r>
    </w:p>
    <w:p>
      <w:pPr>
        <w:spacing w:after="0" w:line="4" w:lineRule="exact"/>
        <w:rPr>
          <w:sz w:val="20"/>
          <w:szCs w:val="20"/>
          <w:color w:val="auto"/>
        </w:rPr>
      </w:pPr>
    </w:p>
    <w:p>
      <w:pPr>
        <w:jc w:val="both"/>
        <w:ind w:left="8" w:right="40" w:hanging="8"/>
        <w:spacing w:after="0" w:line="307" w:lineRule="auto"/>
        <w:tabs>
          <w:tab w:leader="none" w:pos="388"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shall reduce the amount available for Investments under such Section 6.04(bb))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(v) unused amounts available to make Restricted Payments pursuant to Section 6.07(a)(xvi) (it being understood that the usage for such amounts for Investments under this clause (m) shall reduce the amount available for Restricted Payments under such Section 6.07(a)(xvi))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(vi) unused amounts available to make prepayments, redemptions, repurchases, defeasances and other payments of Junior Financing pursuant to Section 6.07(b)(iv) (it being understood that the usage of such amounts for Investments under this clause (m) shall reduce the amounts available for prepayments, redemptions, repurchases, defeasances and other payments in respect of Junior Financing under such Section 6.07(b) (iv)); </w:t>
      </w:r>
      <w:r>
        <w:rPr>
          <w:rFonts w:ascii="Arial" w:cs="Arial" w:eastAsia="Arial" w:hAnsi="Arial"/>
          <w:sz w:val="16"/>
          <w:szCs w:val="16"/>
          <w:u w:val="single" w:color="auto"/>
          <w:color w:val="auto"/>
        </w:rPr>
        <w:t>provided</w:t>
      </w:r>
      <w:r>
        <w:rPr>
          <w:rFonts w:ascii="Arial" w:cs="Arial" w:eastAsia="Arial" w:hAnsi="Arial"/>
          <w:sz w:val="16"/>
          <w:szCs w:val="16"/>
          <w:color w:val="auto"/>
        </w:rPr>
        <w:t>, to the extent such Investment or other acquisition is made in reliance on clause (ii) above, no Specified Event of Default shall have occurred and be continuing or would result therefrom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an Investment or other acquisition incurred to finance a Limited Condition Transaction, if the Borrower had made an LCT Election, such condition shall be that no Specified Event of Default shall have occurred and be continuing at the LCT Test Date) (this clause (m), the “</w:t>
      </w:r>
      <w:r>
        <w:rPr>
          <w:rFonts w:ascii="Arial" w:cs="Arial" w:eastAsia="Arial" w:hAnsi="Arial"/>
          <w:sz w:val="16"/>
          <w:szCs w:val="16"/>
          <w:u w:val="single" w:color="auto"/>
          <w:color w:val="auto"/>
        </w:rPr>
        <w:t>General Investment Basket</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ind w:left="8" w:right="40" w:firstLine="1490"/>
        <w:spacing w:after="0" w:line="260" w:lineRule="auto"/>
        <w:tabs>
          <w:tab w:leader="none" w:pos="2294" w:val="left"/>
        </w:tabs>
        <w:numPr>
          <w:ilvl w:val="1"/>
          <w:numId w:val="286"/>
        </w:numPr>
        <w:rPr>
          <w:rFonts w:ascii="Arial" w:cs="Arial" w:eastAsia="Arial" w:hAnsi="Arial"/>
          <w:sz w:val="20"/>
          <w:szCs w:val="20"/>
          <w:color w:val="auto"/>
        </w:rPr>
      </w:pPr>
      <w:r>
        <w:rPr>
          <w:rFonts w:ascii="Arial" w:cs="Arial" w:eastAsia="Arial" w:hAnsi="Arial"/>
          <w:sz w:val="20"/>
          <w:szCs w:val="20"/>
          <w:color w:val="auto"/>
        </w:rPr>
        <w:t>advances of payroll payments, including wages, commissions, bonuses and other variable compensation to employees in the ordinary course of business;</w:t>
      </w:r>
    </w:p>
    <w:p>
      <w:pPr>
        <w:spacing w:after="0" w:line="189" w:lineRule="exact"/>
        <w:rPr>
          <w:rFonts w:ascii="Arial" w:cs="Arial" w:eastAsia="Arial" w:hAnsi="Arial"/>
          <w:sz w:val="20"/>
          <w:szCs w:val="20"/>
          <w:color w:val="auto"/>
        </w:rPr>
      </w:pPr>
    </w:p>
    <w:p>
      <w:pPr>
        <w:jc w:val="both"/>
        <w:ind w:left="8" w:firstLine="1490"/>
        <w:spacing w:after="0" w:line="249" w:lineRule="auto"/>
        <w:tabs>
          <w:tab w:leader="none" w:pos="2296" w:val="left"/>
        </w:tabs>
        <w:numPr>
          <w:ilvl w:val="1"/>
          <w:numId w:val="286"/>
        </w:numPr>
        <w:rPr>
          <w:rFonts w:ascii="Arial" w:cs="Arial" w:eastAsia="Arial" w:hAnsi="Arial"/>
          <w:sz w:val="20"/>
          <w:szCs w:val="20"/>
          <w:color w:val="auto"/>
        </w:rPr>
      </w:pPr>
      <w:r>
        <w:rPr>
          <w:rFonts w:ascii="Arial" w:cs="Arial" w:eastAsia="Arial" w:hAnsi="Arial"/>
          <w:sz w:val="20"/>
          <w:szCs w:val="20"/>
          <w:color w:val="auto"/>
        </w:rPr>
        <w:t>Investments and other acquisitions to the extent that payment for such Investments is made with Qualified Equity Interests (excluding Qualified Equity Interests the proceeds of which will be applied as Cure Amounts) of Holdings, the Borrower or any direct or indirect parent of the Borrower;</w:t>
      </w:r>
    </w:p>
    <w:p>
      <w:pPr>
        <w:spacing w:after="0" w:line="214" w:lineRule="exact"/>
        <w:rPr>
          <w:rFonts w:ascii="Arial" w:cs="Arial" w:eastAsia="Arial" w:hAnsi="Arial"/>
          <w:sz w:val="20"/>
          <w:szCs w:val="20"/>
          <w:color w:val="auto"/>
        </w:rPr>
      </w:pPr>
    </w:p>
    <w:p>
      <w:pPr>
        <w:jc w:val="both"/>
        <w:ind w:left="8" w:right="40" w:firstLine="1490"/>
        <w:spacing w:after="0" w:line="258" w:lineRule="auto"/>
        <w:tabs>
          <w:tab w:leader="none" w:pos="2294" w:val="left"/>
        </w:tabs>
        <w:numPr>
          <w:ilvl w:val="1"/>
          <w:numId w:val="286"/>
        </w:numPr>
        <w:rPr>
          <w:rFonts w:ascii="Arial" w:cs="Arial" w:eastAsia="Arial" w:hAnsi="Arial"/>
          <w:sz w:val="19"/>
          <w:szCs w:val="19"/>
          <w:color w:val="auto"/>
        </w:rPr>
      </w:pPr>
      <w:r>
        <w:rPr>
          <w:rFonts w:ascii="Arial" w:cs="Arial" w:eastAsia="Arial" w:hAnsi="Arial"/>
          <w:sz w:val="19"/>
          <w:szCs w:val="19"/>
          <w:color w:val="auto"/>
        </w:rPr>
        <w:t>Investments of a Restricted Subsidiary acquired after the Effective Date or of a Person merged, amalgamated or consolidated with any Subsidiary in accordance with this Section 6.04 and Section 6.03 after the Effective Date or that otherwise becomes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Investment is made under Section 6.04(h), existing Investments in subsidiaries of such Restricted Subsidiary or Person shall comply with the requirements of Section 6.04(h)) to the extent that such Investments were not made in contemplation of or in connection with such acquisition, merger, amalgamation or consolidation and were in existence on the date of such acquisition, merger, amalgamation or consolidation;</w:t>
      </w:r>
    </w:p>
    <w:p>
      <w:pPr>
        <w:spacing w:after="0" w:line="195" w:lineRule="exact"/>
        <w:rPr>
          <w:rFonts w:ascii="Arial" w:cs="Arial" w:eastAsia="Arial" w:hAnsi="Arial"/>
          <w:sz w:val="19"/>
          <w:szCs w:val="19"/>
          <w:color w:val="auto"/>
        </w:rPr>
      </w:pPr>
    </w:p>
    <w:p>
      <w:pPr>
        <w:ind w:left="2288" w:hanging="790"/>
        <w:spacing w:after="0"/>
        <w:tabs>
          <w:tab w:leader="none" w:pos="2288" w:val="left"/>
        </w:tabs>
        <w:numPr>
          <w:ilvl w:val="1"/>
          <w:numId w:val="286"/>
        </w:numPr>
        <w:rPr>
          <w:rFonts w:ascii="Arial" w:cs="Arial" w:eastAsia="Arial" w:hAnsi="Arial"/>
          <w:sz w:val="19"/>
          <w:szCs w:val="19"/>
          <w:color w:val="auto"/>
        </w:rPr>
      </w:pPr>
      <w:r>
        <w:rPr>
          <w:rFonts w:ascii="Arial" w:cs="Arial" w:eastAsia="Arial" w:hAnsi="Arial"/>
          <w:sz w:val="19"/>
          <w:szCs w:val="19"/>
          <w:color w:val="auto"/>
        </w:rPr>
        <w:t>receivables owing to the Borrower or any Restricted Subsidiary, if created or acquired in the ordinary</w:t>
      </w:r>
    </w:p>
    <w:p>
      <w:pPr>
        <w:spacing w:after="0" w:line="26" w:lineRule="exact"/>
        <w:rPr>
          <w:rFonts w:ascii="Arial" w:cs="Arial" w:eastAsia="Arial" w:hAnsi="Arial"/>
          <w:sz w:val="19"/>
          <w:szCs w:val="19"/>
          <w:color w:val="auto"/>
        </w:rPr>
      </w:pPr>
    </w:p>
    <w:p>
      <w:pPr>
        <w:ind w:left="8"/>
        <w:spacing w:after="0"/>
        <w:rPr>
          <w:rFonts w:ascii="Arial" w:cs="Arial" w:eastAsia="Arial" w:hAnsi="Arial"/>
          <w:sz w:val="19"/>
          <w:szCs w:val="19"/>
          <w:color w:val="auto"/>
        </w:rPr>
      </w:pPr>
      <w:r>
        <w:rPr>
          <w:rFonts w:ascii="Arial" w:cs="Arial" w:eastAsia="Arial" w:hAnsi="Arial"/>
          <w:sz w:val="20"/>
          <w:szCs w:val="20"/>
          <w:color w:val="auto"/>
        </w:rPr>
        <w:t>course of business;</w:t>
      </w:r>
    </w:p>
    <w:p>
      <w:pPr>
        <w:spacing w:after="0" w:line="212" w:lineRule="exact"/>
        <w:rPr>
          <w:rFonts w:ascii="Arial" w:cs="Arial" w:eastAsia="Arial" w:hAnsi="Arial"/>
          <w:sz w:val="19"/>
          <w:szCs w:val="19"/>
          <w:color w:val="auto"/>
        </w:rPr>
      </w:pPr>
    </w:p>
    <w:p>
      <w:pPr>
        <w:ind w:left="8" w:right="40" w:firstLine="1490"/>
        <w:spacing w:after="0" w:line="286" w:lineRule="auto"/>
        <w:tabs>
          <w:tab w:leader="none" w:pos="2294" w:val="left"/>
        </w:tabs>
        <w:numPr>
          <w:ilvl w:val="1"/>
          <w:numId w:val="286"/>
        </w:numPr>
        <w:rPr>
          <w:rFonts w:ascii="Arial" w:cs="Arial" w:eastAsia="Arial" w:hAnsi="Arial"/>
          <w:sz w:val="19"/>
          <w:szCs w:val="19"/>
          <w:color w:val="auto"/>
        </w:rPr>
      </w:pPr>
      <w:r>
        <w:rPr>
          <w:rFonts w:ascii="Arial" w:cs="Arial" w:eastAsia="Arial" w:hAnsi="Arial"/>
          <w:sz w:val="19"/>
          <w:szCs w:val="19"/>
          <w:color w:val="auto"/>
        </w:rPr>
        <w:t>Investments (A) for utilities, security deposits, leases and similar prepaid expenses incurred in the ordinary course of business and (B) trade accounts created, or prepaid expenses accrued, in the ordinary course of business;</w:t>
      </w:r>
    </w:p>
    <w:p>
      <w:pPr>
        <w:spacing w:after="0" w:line="166" w:lineRule="exact"/>
        <w:rPr>
          <w:rFonts w:ascii="Arial" w:cs="Arial" w:eastAsia="Arial" w:hAnsi="Arial"/>
          <w:sz w:val="19"/>
          <w:szCs w:val="19"/>
          <w:color w:val="auto"/>
        </w:rPr>
      </w:pPr>
    </w:p>
    <w:p>
      <w:pPr>
        <w:ind w:left="2288" w:hanging="790"/>
        <w:spacing w:after="0"/>
        <w:tabs>
          <w:tab w:leader="none" w:pos="2288" w:val="left"/>
        </w:tabs>
        <w:numPr>
          <w:ilvl w:val="1"/>
          <w:numId w:val="286"/>
        </w:numPr>
        <w:rPr>
          <w:rFonts w:ascii="Arial" w:cs="Arial" w:eastAsia="Arial" w:hAnsi="Arial"/>
          <w:sz w:val="20"/>
          <w:szCs w:val="20"/>
          <w:color w:val="auto"/>
        </w:rPr>
      </w:pPr>
      <w:r>
        <w:rPr>
          <w:rFonts w:ascii="Arial" w:cs="Arial" w:eastAsia="Arial" w:hAnsi="Arial"/>
          <w:sz w:val="20"/>
          <w:szCs w:val="20"/>
          <w:color w:val="auto"/>
        </w:rPr>
        <w:t>any Permitted Reorganization and any Investments in connection therewith;</w:t>
      </w:r>
    </w:p>
    <w:p>
      <w:pPr>
        <w:spacing w:after="0" w:line="228" w:lineRule="exact"/>
        <w:rPr>
          <w:rFonts w:ascii="Arial" w:cs="Arial" w:eastAsia="Arial" w:hAnsi="Arial"/>
          <w:sz w:val="20"/>
          <w:szCs w:val="20"/>
          <w:color w:val="auto"/>
        </w:rPr>
      </w:pPr>
    </w:p>
    <w:p>
      <w:pPr>
        <w:jc w:val="both"/>
        <w:ind w:left="8" w:right="40" w:firstLine="1490"/>
        <w:spacing w:after="0" w:line="249" w:lineRule="auto"/>
        <w:tabs>
          <w:tab w:leader="none" w:pos="2294" w:val="left"/>
        </w:tabs>
        <w:numPr>
          <w:ilvl w:val="1"/>
          <w:numId w:val="286"/>
        </w:numPr>
        <w:rPr>
          <w:rFonts w:ascii="Arial" w:cs="Arial" w:eastAsia="Arial" w:hAnsi="Arial"/>
          <w:sz w:val="20"/>
          <w:szCs w:val="20"/>
          <w:color w:val="auto"/>
        </w:rPr>
      </w:pPr>
      <w:r>
        <w:rPr>
          <w:rFonts w:ascii="Arial" w:cs="Arial" w:eastAsia="Arial" w:hAnsi="Arial"/>
          <w:sz w:val="20"/>
          <w:szCs w:val="20"/>
          <w:color w:val="auto"/>
        </w:rPr>
        <w:t>additional Investments so long as at the time of any such Investment and after giving effect thereto, on a Pro Forma Basis, (x) the Total Net Leverage Ratio is no greater than 4.75 to 1.00 or (y) the Cash Interest Coverage Ratio is at least 2.00 to 1.00;</w:t>
      </w:r>
    </w:p>
    <w:p>
      <w:pPr>
        <w:spacing w:after="0" w:line="188" w:lineRule="exact"/>
        <w:rPr>
          <w:sz w:val="20"/>
          <w:szCs w:val="20"/>
          <w:color w:val="auto"/>
        </w:rPr>
      </w:pPr>
    </w:p>
    <w:p>
      <w:pPr>
        <w:jc w:val="center"/>
        <w:ind w:right="-27"/>
        <w:spacing w:after="0"/>
        <w:rPr>
          <w:sz w:val="20"/>
          <w:szCs w:val="20"/>
          <w:color w:val="auto"/>
        </w:rPr>
      </w:pPr>
      <w:r>
        <w:rPr>
          <w:rFonts w:ascii="Arial" w:cs="Arial" w:eastAsia="Arial" w:hAnsi="Arial"/>
          <w:sz w:val="20"/>
          <w:szCs w:val="2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492" w:top="121" w:right="519" w:bottom="1440" w:gutter="0" w:footer="0" w:header="0"/>
        </w:sectPr>
      </w:pPr>
    </w:p>
    <w:bookmarkStart w:id="318" w:name="page319"/>
    <w:bookmarkEnd w:id="318"/>
    <w:p>
      <w:pPr>
        <w:ind w:right="220" w:firstLine="1490"/>
        <w:spacing w:after="0" w:line="315" w:lineRule="auto"/>
        <w:tabs>
          <w:tab w:leader="none" w:pos="2286"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Investments consisting of Indebtedness, Liens, fundamental changes, Dispositions and Restricted Payments permitted (other than by reference to this Section 6.04(u)) under Sections 6.01, 6.02, 6.03, 6.05 and 6.07, respectively;</w:t>
      </w:r>
    </w:p>
    <w:p>
      <w:pPr>
        <w:spacing w:after="0" w:line="144" w:lineRule="exact"/>
        <w:rPr>
          <w:rFonts w:ascii="Arial" w:cs="Arial" w:eastAsia="Arial" w:hAnsi="Arial"/>
          <w:sz w:val="18"/>
          <w:szCs w:val="18"/>
          <w:color w:val="auto"/>
        </w:rPr>
      </w:pPr>
    </w:p>
    <w:p>
      <w:pPr>
        <w:ind w:right="220" w:firstLine="1490"/>
        <w:spacing w:after="0" w:line="315" w:lineRule="auto"/>
        <w:tabs>
          <w:tab w:leader="none" w:pos="2286" w:val="left"/>
        </w:tabs>
        <w:numPr>
          <w:ilvl w:val="1"/>
          <w:numId w:val="287"/>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or other grantor trust subject to claims of creditors in the case of a bankruptcy of Holdings or the Borrower;</w:t>
      </w:r>
    </w:p>
    <w:p>
      <w:pPr>
        <w:spacing w:after="0" w:line="144" w:lineRule="exact"/>
        <w:rPr>
          <w:rFonts w:ascii="Arial" w:cs="Arial" w:eastAsia="Arial" w:hAnsi="Arial"/>
          <w:sz w:val="18"/>
          <w:szCs w:val="18"/>
          <w:color w:val="auto"/>
        </w:rPr>
      </w:pPr>
    </w:p>
    <w:p>
      <w:pPr>
        <w:jc w:val="both"/>
        <w:ind w:right="220" w:firstLine="1490"/>
        <w:spacing w:after="0" w:line="249" w:lineRule="auto"/>
        <w:tabs>
          <w:tab w:leader="none" w:pos="2286" w:val="left"/>
        </w:tabs>
        <w:numPr>
          <w:ilvl w:val="1"/>
          <w:numId w:val="287"/>
        </w:numPr>
        <w:rPr>
          <w:rFonts w:ascii="Arial" w:cs="Arial" w:eastAsia="Arial" w:hAnsi="Arial"/>
          <w:sz w:val="20"/>
          <w:szCs w:val="20"/>
          <w:color w:val="auto"/>
        </w:rPr>
      </w:pPr>
      <w:r>
        <w:rPr>
          <w:rFonts w:ascii="Arial" w:cs="Arial" w:eastAsia="Arial" w:hAnsi="Arial"/>
          <w:sz w:val="20"/>
          <w:szCs w:val="20"/>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201" w:lineRule="exact"/>
        <w:rPr>
          <w:rFonts w:ascii="Arial" w:cs="Arial" w:eastAsia="Arial" w:hAnsi="Arial"/>
          <w:sz w:val="20"/>
          <w:szCs w:val="20"/>
          <w:color w:val="auto"/>
        </w:rPr>
      </w:pPr>
    </w:p>
    <w:p>
      <w:pPr>
        <w:ind w:right="220" w:firstLine="1490"/>
        <w:spacing w:after="0" w:line="260" w:lineRule="auto"/>
        <w:tabs>
          <w:tab w:leader="none" w:pos="2286" w:val="left"/>
        </w:tabs>
        <w:numPr>
          <w:ilvl w:val="1"/>
          <w:numId w:val="287"/>
        </w:numPr>
        <w:rPr>
          <w:rFonts w:ascii="Arial" w:cs="Arial" w:eastAsia="Arial" w:hAnsi="Arial"/>
          <w:sz w:val="20"/>
          <w:szCs w:val="20"/>
          <w:color w:val="auto"/>
        </w:rPr>
      </w:pPr>
      <w:r>
        <w:rPr>
          <w:rFonts w:ascii="Arial" w:cs="Arial" w:eastAsia="Arial" w:hAnsi="Arial"/>
          <w:sz w:val="20"/>
          <w:szCs w:val="20"/>
          <w:color w:val="auto"/>
        </w:rPr>
        <w:t>any Investment in any Subsidiary or any joint venture in connection with intercompany cash management arrangements or related activities arising in the ordinary course of business;</w:t>
      </w:r>
    </w:p>
    <w:p>
      <w:pPr>
        <w:spacing w:after="0" w:line="189" w:lineRule="exact"/>
        <w:rPr>
          <w:rFonts w:ascii="Arial" w:cs="Arial" w:eastAsia="Arial" w:hAnsi="Arial"/>
          <w:sz w:val="20"/>
          <w:szCs w:val="20"/>
          <w:color w:val="auto"/>
        </w:rPr>
      </w:pPr>
    </w:p>
    <w:p>
      <w:pPr>
        <w:jc w:val="both"/>
        <w:ind w:right="180" w:firstLine="1467"/>
        <w:spacing w:after="0" w:line="249" w:lineRule="auto"/>
        <w:tabs>
          <w:tab w:leader="none" w:pos="2266" w:val="left"/>
        </w:tabs>
        <w:numPr>
          <w:ilvl w:val="0"/>
          <w:numId w:val="288"/>
        </w:numPr>
        <w:rPr>
          <w:rFonts w:ascii="Arial" w:cs="Arial" w:eastAsia="Arial" w:hAnsi="Arial"/>
          <w:sz w:val="20"/>
          <w:szCs w:val="20"/>
          <w:color w:val="auto"/>
        </w:rPr>
      </w:pPr>
      <w:r>
        <w:rPr>
          <w:rFonts w:ascii="Arial" w:cs="Arial" w:eastAsia="Arial" w:hAnsi="Arial"/>
          <w:sz w:val="20"/>
          <w:szCs w:val="20"/>
          <w:color w:val="auto"/>
        </w:rPr>
        <w:t>Investments made by an Unrestricted Subsidiary (other than Investments made with the proceeds of Investments made in reliance on Section 6.04(bb)) prior to the day such Unrestricted Subsidiary is redesignated as a Restricted Subsidiary pursuant to the definition of “Unrestricted Subsidiary”;</w:t>
      </w:r>
    </w:p>
    <w:p>
      <w:pPr>
        <w:spacing w:after="0" w:line="201" w:lineRule="exact"/>
        <w:rPr>
          <w:rFonts w:ascii="Arial" w:cs="Arial" w:eastAsia="Arial" w:hAnsi="Arial"/>
          <w:sz w:val="20"/>
          <w:szCs w:val="20"/>
          <w:color w:val="auto"/>
        </w:rPr>
      </w:pPr>
    </w:p>
    <w:p>
      <w:pPr>
        <w:jc w:val="both"/>
        <w:ind w:right="200" w:firstLine="1490"/>
        <w:spacing w:after="0" w:line="246" w:lineRule="auto"/>
        <w:tabs>
          <w:tab w:leader="none" w:pos="2287" w:val="left"/>
        </w:tabs>
        <w:numPr>
          <w:ilvl w:val="1"/>
          <w:numId w:val="288"/>
        </w:numPr>
        <w:rPr>
          <w:rFonts w:ascii="Arial" w:cs="Arial" w:eastAsia="Arial" w:hAnsi="Arial"/>
          <w:sz w:val="20"/>
          <w:szCs w:val="20"/>
          <w:color w:val="auto"/>
        </w:rPr>
      </w:pPr>
      <w:r>
        <w:rPr>
          <w:rFonts w:ascii="Arial" w:cs="Arial" w:eastAsia="Arial" w:hAnsi="Arial"/>
          <w:sz w:val="20"/>
          <w:szCs w:val="20"/>
          <w:color w:val="auto"/>
        </w:rPr>
        <w:t>Investments in or relating to a Securitization Subsidiary or a Restricted Subsidiary that, in the good faith determination of the Borrower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w:t>
      </w:r>
    </w:p>
    <w:p>
      <w:pPr>
        <w:spacing w:after="0" w:line="203" w:lineRule="exact"/>
        <w:rPr>
          <w:sz w:val="20"/>
          <w:szCs w:val="20"/>
          <w:color w:val="auto"/>
        </w:rPr>
      </w:pPr>
    </w:p>
    <w:p>
      <w:pPr>
        <w:ind w:left="2040" w:hanging="550"/>
        <w:spacing w:after="0"/>
        <w:tabs>
          <w:tab w:leader="none" w:pos="2040" w:val="left"/>
        </w:tabs>
        <w:numPr>
          <w:ilvl w:val="1"/>
          <w:numId w:val="289"/>
        </w:numPr>
        <w:rPr>
          <w:rFonts w:ascii="Arial" w:cs="Arial" w:eastAsia="Arial" w:hAnsi="Arial"/>
          <w:sz w:val="20"/>
          <w:szCs w:val="20"/>
          <w:color w:val="auto"/>
        </w:rPr>
      </w:pPr>
      <w:r>
        <w:rPr>
          <w:rFonts w:ascii="Arial" w:cs="Arial" w:eastAsia="Arial" w:hAnsi="Arial"/>
          <w:sz w:val="20"/>
          <w:szCs w:val="20"/>
          <w:color w:val="auto"/>
        </w:rPr>
        <w:t>Investments in the ordinary course of business in connection with Settlements;</w:t>
      </w:r>
    </w:p>
    <w:p>
      <w:pPr>
        <w:spacing w:after="0" w:line="228" w:lineRule="exact"/>
        <w:rPr>
          <w:rFonts w:ascii="Arial" w:cs="Arial" w:eastAsia="Arial" w:hAnsi="Arial"/>
          <w:sz w:val="20"/>
          <w:szCs w:val="20"/>
          <w:color w:val="auto"/>
        </w:rPr>
      </w:pPr>
    </w:p>
    <w:p>
      <w:pPr>
        <w:jc w:val="both"/>
        <w:ind w:firstLine="1490"/>
        <w:spacing w:after="0" w:line="316" w:lineRule="auto"/>
        <w:tabs>
          <w:tab w:leader="none" w:pos="2049"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(i) Investments in any Unrestricted Subsidiaries, joint ventures and Persons which do not become Loan Parties as a result of such Investment in an amount not to exceed the greater of (A) $35,000,000 and (B) 25.0% of Consolidated EBITDA for the Test Period then last ended at the time of making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Investment pursuant to this clause (bb) is made in any Person that is an Unrestricted Subsidiary at the date of the making of such Investment and such Person becomes a Restricted Subsidiary after such date, such Investment will thereafter be deemed to have been made pursuant to Section 6.01(c) to the extent permitted thereunder and will cease to have been made pursuant to this clause (bb) for so long as such Person continues to be a Restricted Subsidiary;</w:t>
      </w:r>
    </w:p>
    <w:p>
      <w:pPr>
        <w:spacing w:after="0" w:line="151" w:lineRule="exact"/>
        <w:rPr>
          <w:rFonts w:ascii="Arial" w:cs="Arial" w:eastAsia="Arial" w:hAnsi="Arial"/>
          <w:sz w:val="16"/>
          <w:szCs w:val="16"/>
          <w:color w:val="auto"/>
        </w:rPr>
      </w:pPr>
    </w:p>
    <w:p>
      <w:pPr>
        <w:jc w:val="both"/>
        <w:ind w:right="160" w:firstLine="1467"/>
        <w:spacing w:after="0" w:line="263" w:lineRule="auto"/>
        <w:tabs>
          <w:tab w:leader="none" w:pos="2019" w:val="left"/>
        </w:tabs>
        <w:numPr>
          <w:ilvl w:val="0"/>
          <w:numId w:val="290"/>
        </w:numPr>
        <w:rPr>
          <w:rFonts w:ascii="Arial" w:cs="Arial" w:eastAsia="Arial" w:hAnsi="Arial"/>
          <w:sz w:val="19"/>
          <w:szCs w:val="19"/>
          <w:color w:val="auto"/>
        </w:rPr>
      </w:pPr>
      <w:r>
        <w:rPr>
          <w:rFonts w:ascii="Arial" w:cs="Arial" w:eastAsia="Arial" w:hAnsi="Arial"/>
          <w:sz w:val="19"/>
          <w:szCs w:val="19"/>
          <w:color w:val="auto"/>
        </w:rPr>
        <w:t>Investments in any Person engaged in a business similar to the business activities of the Borrower and its Subsidiaries on the Effective Date or business activities which are extensions thereof or otherwise incidental, corollary, synergistic, reasonably related or ancillary to any of the foregoing in an amount not to exceed the greater of (A) $45,500,000 and (B) 32.5% of Consolidated EBITDA for the Test Period then last ended at the time of making such Investment;</w:t>
      </w:r>
    </w:p>
    <w:p>
      <w:pPr>
        <w:spacing w:after="0" w:line="188" w:lineRule="exact"/>
        <w:rPr>
          <w:rFonts w:ascii="Arial" w:cs="Arial" w:eastAsia="Arial" w:hAnsi="Arial"/>
          <w:sz w:val="19"/>
          <w:szCs w:val="19"/>
          <w:color w:val="auto"/>
        </w:rPr>
      </w:pPr>
    </w:p>
    <w:p>
      <w:pPr>
        <w:jc w:val="both"/>
        <w:ind w:right="180" w:firstLine="1467"/>
        <w:spacing w:after="0" w:line="249" w:lineRule="auto"/>
        <w:tabs>
          <w:tab w:leader="none" w:pos="2019"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asset purchases (including purchases of inventory, supplies and materials) and the granting of non-exclusive licenses or contribution of intellectual property pursuant to joint marketing arrangements with other Persons, in each case in the ordinary course of business;</w:t>
      </w:r>
    </w:p>
    <w:p>
      <w:pPr>
        <w:spacing w:after="0" w:line="201" w:lineRule="exact"/>
        <w:rPr>
          <w:rFonts w:ascii="Arial" w:cs="Arial" w:eastAsia="Arial" w:hAnsi="Arial"/>
          <w:sz w:val="20"/>
          <w:szCs w:val="20"/>
          <w:color w:val="auto"/>
        </w:rPr>
      </w:pPr>
    </w:p>
    <w:p>
      <w:pPr>
        <w:ind w:right="180" w:firstLine="1467"/>
        <w:spacing w:after="0" w:line="260" w:lineRule="auto"/>
        <w:tabs>
          <w:tab w:leader="none" w:pos="2019" w:val="left"/>
        </w:tabs>
        <w:numPr>
          <w:ilvl w:val="0"/>
          <w:numId w:val="290"/>
        </w:numPr>
        <w:rPr>
          <w:rFonts w:ascii="Arial" w:cs="Arial" w:eastAsia="Arial" w:hAnsi="Arial"/>
          <w:sz w:val="20"/>
          <w:szCs w:val="20"/>
          <w:color w:val="auto"/>
        </w:rPr>
      </w:pPr>
      <w:r>
        <w:rPr>
          <w:rFonts w:ascii="Arial" w:cs="Arial" w:eastAsia="Arial" w:hAnsi="Arial"/>
          <w:sz w:val="20"/>
          <w:szCs w:val="20"/>
          <w:color w:val="auto"/>
        </w:rPr>
        <w:t>Investments by any Restricted Subsidiary that is not a Loan Party in a Person that is not a Loan Party, and will not become a Loan Party upon the making of such Investment, to the extent such</w:t>
      </w:r>
    </w:p>
    <w:p>
      <w:pPr>
        <w:spacing w:after="0" w:line="17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338" w:right="339" w:bottom="1440" w:gutter="0" w:footer="0" w:header="0"/>
        </w:sectPr>
      </w:pPr>
    </w:p>
    <w:bookmarkStart w:id="319" w:name="page320"/>
    <w:bookmarkEnd w:id="319"/>
    <w:p>
      <w:pPr>
        <w:spacing w:after="0"/>
        <w:rPr>
          <w:sz w:val="20"/>
          <w:szCs w:val="20"/>
          <w:color w:val="auto"/>
        </w:rPr>
      </w:pPr>
      <w:r>
        <w:rPr>
          <w:rFonts w:ascii="Arial" w:cs="Arial" w:eastAsia="Arial" w:hAnsi="Arial"/>
          <w:sz w:val="20"/>
          <w:szCs w:val="20"/>
          <w:color w:val="auto"/>
        </w:rPr>
        <w:t>Investments are funded with amounts attributable to the cash flow of the Restricted Subsidiary that is not a Loan Party;</w:t>
      </w:r>
    </w:p>
    <w:p>
      <w:pPr>
        <w:spacing w:after="0" w:line="230" w:lineRule="exact"/>
        <w:rPr>
          <w:sz w:val="20"/>
          <w:szCs w:val="20"/>
          <w:color w:val="auto"/>
        </w:rPr>
      </w:pPr>
    </w:p>
    <w:p>
      <w:pPr>
        <w:ind w:left="2020" w:hanging="553"/>
        <w:spacing w:after="0"/>
        <w:tabs>
          <w:tab w:leader="none" w:pos="202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Investments in connection with Intercompany License Agreements;</w:t>
      </w:r>
    </w:p>
    <w:p>
      <w:pPr>
        <w:spacing w:after="0" w:line="228" w:lineRule="exact"/>
        <w:rPr>
          <w:rFonts w:ascii="Arial" w:cs="Arial" w:eastAsia="Arial" w:hAnsi="Arial"/>
          <w:sz w:val="20"/>
          <w:szCs w:val="20"/>
          <w:color w:val="auto"/>
        </w:rPr>
      </w:pPr>
    </w:p>
    <w:p>
      <w:pPr>
        <w:ind w:right="20" w:firstLine="1467"/>
        <w:spacing w:after="0" w:line="260" w:lineRule="auto"/>
        <w:tabs>
          <w:tab w:leader="none" w:pos="2019" w:val="left"/>
        </w:tabs>
        <w:numPr>
          <w:ilvl w:val="0"/>
          <w:numId w:val="291"/>
        </w:numPr>
        <w:rPr>
          <w:rFonts w:ascii="Arial" w:cs="Arial" w:eastAsia="Arial" w:hAnsi="Arial"/>
          <w:sz w:val="20"/>
          <w:szCs w:val="20"/>
          <w:color w:val="auto"/>
        </w:rPr>
      </w:pPr>
      <w:r>
        <w:rPr>
          <w:rFonts w:ascii="Arial" w:cs="Arial" w:eastAsia="Arial" w:hAnsi="Arial"/>
          <w:sz w:val="20"/>
          <w:szCs w:val="20"/>
          <w:color w:val="auto"/>
        </w:rPr>
        <w:t>Investments consisting of cash earnest money deposits in connection with a Permitted Acquisition or other Investment permitted hereunder;</w:t>
      </w:r>
    </w:p>
    <w:p>
      <w:pPr>
        <w:spacing w:after="0" w:line="189" w:lineRule="exact"/>
        <w:rPr>
          <w:rFonts w:ascii="Arial" w:cs="Arial" w:eastAsia="Arial" w:hAnsi="Arial"/>
          <w:sz w:val="20"/>
          <w:szCs w:val="20"/>
          <w:color w:val="auto"/>
        </w:rPr>
      </w:pPr>
    </w:p>
    <w:p>
      <w:pPr>
        <w:ind w:firstLine="1467"/>
        <w:spacing w:after="0" w:line="260" w:lineRule="auto"/>
        <w:tabs>
          <w:tab w:leader="none" w:pos="2019" w:val="left"/>
        </w:tabs>
        <w:numPr>
          <w:ilvl w:val="0"/>
          <w:numId w:val="291"/>
        </w:numPr>
        <w:rPr>
          <w:rFonts w:ascii="Arial" w:cs="Arial" w:eastAsia="Arial" w:hAnsi="Arial"/>
          <w:sz w:val="20"/>
          <w:szCs w:val="20"/>
          <w:color w:val="auto"/>
        </w:rPr>
      </w:pPr>
      <w:r>
        <w:rPr>
          <w:rFonts w:ascii="Arial" w:cs="Arial" w:eastAsia="Arial" w:hAnsi="Arial"/>
          <w:sz w:val="20"/>
          <w:szCs w:val="20"/>
          <w:color w:val="auto"/>
        </w:rPr>
        <w:t>Investments solely to the extent such Investments reflect an increase in the value of Investments otherwise permitted under this Section 6.04;</w:t>
      </w:r>
    </w:p>
    <w:p>
      <w:pPr>
        <w:spacing w:after="0" w:line="189" w:lineRule="exact"/>
        <w:rPr>
          <w:rFonts w:ascii="Arial" w:cs="Arial" w:eastAsia="Arial" w:hAnsi="Arial"/>
          <w:sz w:val="20"/>
          <w:szCs w:val="20"/>
          <w:color w:val="auto"/>
        </w:rPr>
      </w:pPr>
    </w:p>
    <w:p>
      <w:pPr>
        <w:jc w:val="both"/>
        <w:ind w:firstLine="1467"/>
        <w:spacing w:after="0" w:line="249" w:lineRule="auto"/>
        <w:tabs>
          <w:tab w:leader="none" w:pos="2019"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 performance bonds or guarantees and contingent obligations incurred in the ordinary course of business or consistent with industry practice, and (b) the creation of liens on the assets of the Borrower or any Restricted Subsidiary in compliance with Section 6.02 (other than by reference to this Section 6.04(ii)(b));</w:t>
      </w:r>
    </w:p>
    <w:p>
      <w:pPr>
        <w:spacing w:after="0" w:line="201" w:lineRule="exact"/>
        <w:rPr>
          <w:rFonts w:ascii="Arial" w:cs="Arial" w:eastAsia="Arial" w:hAnsi="Arial"/>
          <w:sz w:val="20"/>
          <w:szCs w:val="20"/>
          <w:color w:val="auto"/>
        </w:rPr>
      </w:pPr>
    </w:p>
    <w:p>
      <w:pPr>
        <w:ind w:right="20" w:firstLine="1467"/>
        <w:spacing w:after="0" w:line="260" w:lineRule="auto"/>
        <w:tabs>
          <w:tab w:leader="none" w:pos="2019" w:val="left"/>
        </w:tabs>
        <w:numPr>
          <w:ilvl w:val="0"/>
          <w:numId w:val="291"/>
        </w:numPr>
        <w:rPr>
          <w:rFonts w:ascii="Arial" w:cs="Arial" w:eastAsia="Arial" w:hAnsi="Arial"/>
          <w:sz w:val="20"/>
          <w:szCs w:val="20"/>
          <w:color w:val="auto"/>
        </w:rPr>
      </w:pPr>
      <w:r>
        <w:rPr>
          <w:rFonts w:ascii="Arial" w:cs="Arial" w:eastAsia="Arial" w:hAnsi="Arial"/>
          <w:sz w:val="20"/>
          <w:szCs w:val="20"/>
          <w:color w:val="auto"/>
        </w:rPr>
        <w:t>Investments consisting of purchases and acquisitions of assets or services in the ordinary course of business or consistent with industry practice; and</w:t>
      </w:r>
    </w:p>
    <w:p>
      <w:pPr>
        <w:spacing w:after="0" w:line="189" w:lineRule="exact"/>
        <w:rPr>
          <w:rFonts w:ascii="Arial" w:cs="Arial" w:eastAsia="Arial" w:hAnsi="Arial"/>
          <w:sz w:val="20"/>
          <w:szCs w:val="20"/>
          <w:color w:val="auto"/>
        </w:rPr>
      </w:pPr>
    </w:p>
    <w:p>
      <w:pPr>
        <w:ind w:firstLine="1467"/>
        <w:spacing w:after="0" w:line="260" w:lineRule="auto"/>
        <w:tabs>
          <w:tab w:leader="none" w:pos="2019"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Term Loans repurchased by the Borrower or a Restricted Subsidiary pursuant to and in accordance with Section 2.11(a)(ii) or Section 9.04 so long as such loans are immediately cancelled.</w:t>
      </w:r>
    </w:p>
    <w:p>
      <w:pPr>
        <w:spacing w:after="0" w:line="189"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For the avoidance of doubt, if an Investment would be permitted under any provision of this Section 6.04 (other than Section 6.04(h)) and as a Permitted Acquisition, such Investment need not satisfy the requirements otherwise applicable to a Permitted Acquisition unless such Investments are consummated in reliance on Section 6.04(h). In addition, to the extent an Investment is permitted to be made by the Borrower or a Restricted Subsidiary directly in any Restricted Subsidiary or any other Person who is not a Loan Party (each such person, a “</w:t>
      </w:r>
      <w:r>
        <w:rPr>
          <w:rFonts w:ascii="Arial" w:cs="Arial" w:eastAsia="Arial" w:hAnsi="Arial"/>
          <w:sz w:val="18"/>
          <w:szCs w:val="18"/>
          <w:u w:val="single" w:color="auto"/>
          <w:color w:val="auto"/>
        </w:rPr>
        <w:t>Target Person</w:t>
      </w:r>
      <w:r>
        <w:rPr>
          <w:rFonts w:ascii="Arial" w:cs="Arial" w:eastAsia="Arial" w:hAnsi="Arial"/>
          <w:sz w:val="18"/>
          <w:szCs w:val="18"/>
          <w:color w:val="auto"/>
        </w:rPr>
        <w:t>”) under any provision of this Section 6.04, such Investment may be made by advance, contribution or distribution directly or indirectly to a direct or indirect parent of Borrower and further advanced or contributed substantially simultaneously by such direct or indirect parent of Borrower to a Loan Party or other Restricted Subsidiary for purposes of ultimately making the relevant Investment in the Target Person without constituting an Investment for purposed of Section 6.04 (it being understood that such Investment must satisfy the requirements of, and shall count toward any thresholds or baskets in, the applicable clause under Section 6.04 as if made by the applicable Restricted Subsidiary directly to the Target Person).</w:t>
      </w:r>
    </w:p>
    <w:p>
      <w:pPr>
        <w:spacing w:after="0" w:line="184" w:lineRule="exact"/>
        <w:rPr>
          <w:sz w:val="20"/>
          <w:szCs w:val="20"/>
          <w:color w:val="auto"/>
        </w:rPr>
      </w:pPr>
    </w:p>
    <w:p>
      <w:pPr>
        <w:jc w:val="both"/>
        <w:ind w:right="60"/>
        <w:spacing w:after="0" w:line="290" w:lineRule="auto"/>
        <w:rPr>
          <w:sz w:val="20"/>
          <w:szCs w:val="20"/>
          <w:color w:val="auto"/>
        </w:rPr>
      </w:pPr>
      <w:r>
        <w:rPr>
          <w:rFonts w:ascii="Arial" w:cs="Arial" w:eastAsia="Arial" w:hAnsi="Arial"/>
          <w:sz w:val="18"/>
          <w:szCs w:val="18"/>
          <w:color w:val="auto"/>
        </w:rPr>
        <w:t>Notwithstanding the foregoing, no Loan Party shall be permitted to make any new Investment in any Unrestricted Subsidiary in the form of Material IP or FCC Licenses other than in connection with transactions that have a bona fide business purpose (as determined by the Borrower in good faith) and otherwise permitted pursuant to baskets and exceptions set forth in this Section 6.04.</w:t>
      </w:r>
    </w:p>
    <w:p>
      <w:pPr>
        <w:spacing w:after="0" w:line="167" w:lineRule="exact"/>
        <w:rPr>
          <w:sz w:val="20"/>
          <w:szCs w:val="20"/>
          <w:color w:val="auto"/>
        </w:rPr>
      </w:pPr>
    </w:p>
    <w:p>
      <w:pPr>
        <w:jc w:val="center"/>
        <w:ind w:right="120"/>
        <w:spacing w:after="0"/>
        <w:tabs>
          <w:tab w:leader="none" w:pos="340" w:val="left"/>
        </w:tabs>
        <w:rPr>
          <w:sz w:val="20"/>
          <w:szCs w:val="20"/>
          <w:color w:val="auto"/>
        </w:rPr>
      </w:pPr>
      <w:r>
        <w:rPr>
          <w:rFonts w:ascii="Arial" w:cs="Arial" w:eastAsia="Arial" w:hAnsi="Arial"/>
          <w:sz w:val="20"/>
          <w:szCs w:val="20"/>
          <w:color w:val="010000"/>
        </w:rPr>
        <w:t>SECTION 6.05</w:t>
      </w:r>
      <w:r>
        <w:rPr>
          <w:sz w:val="20"/>
          <w:szCs w:val="20"/>
          <w:color w:val="auto"/>
        </w:rPr>
        <w:tab/>
      </w:r>
      <w:r>
        <w:rPr>
          <w:rFonts w:ascii="Arial" w:cs="Arial" w:eastAsia="Arial" w:hAnsi="Arial"/>
          <w:sz w:val="16"/>
          <w:szCs w:val="16"/>
          <w:u w:val="single" w:color="auto"/>
          <w:color w:val="auto"/>
        </w:rPr>
        <w:t>Asset Sales</w:t>
      </w:r>
      <w:r>
        <w:rPr>
          <w:rFonts w:ascii="Arial" w:cs="Arial" w:eastAsia="Arial" w:hAnsi="Arial"/>
          <w:sz w:val="16"/>
          <w:szCs w:val="16"/>
          <w:color w:val="auto"/>
        </w:rPr>
        <w:t>.</w:t>
      </w:r>
    </w:p>
    <w:p>
      <w:pPr>
        <w:spacing w:after="0" w:line="228" w:lineRule="exact"/>
        <w:rPr>
          <w:sz w:val="20"/>
          <w:szCs w:val="20"/>
          <w:color w:val="auto"/>
        </w:rPr>
      </w:pPr>
    </w:p>
    <w:p>
      <w:pPr>
        <w:jc w:val="both"/>
        <w:ind w:firstLine="1499"/>
        <w:spacing w:after="0" w:line="243" w:lineRule="auto"/>
        <w:rPr>
          <w:sz w:val="20"/>
          <w:szCs w:val="20"/>
          <w:color w:val="auto"/>
        </w:rPr>
      </w:pPr>
      <w:r>
        <w:rPr>
          <w:rFonts w:ascii="Arial" w:cs="Arial" w:eastAsia="Arial" w:hAnsi="Arial"/>
          <w:sz w:val="20"/>
          <w:szCs w:val="20"/>
          <w:color w:val="auto"/>
        </w:rPr>
        <w:t>The Borrower will not, and will not permit any Restricted Subsidiary to, (i)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Holdings, the Borrower or any Restricted Subsidiary in compliance with Section 6.04(c)) (each, a “</w:t>
      </w:r>
      <w:r>
        <w:rPr>
          <w:rFonts w:ascii="Arial" w:cs="Arial" w:eastAsia="Arial" w:hAnsi="Arial"/>
          <w:sz w:val="20"/>
          <w:szCs w:val="20"/>
          <w:u w:val="single" w:color="auto"/>
          <w:color w:val="auto"/>
        </w:rPr>
        <w:t>Disposition</w:t>
      </w:r>
      <w:r>
        <w:rPr>
          <w:rFonts w:ascii="Arial" w:cs="Arial" w:eastAsia="Arial" w:hAnsi="Arial"/>
          <w:sz w:val="20"/>
          <w:szCs w:val="20"/>
          <w:color w:val="auto"/>
        </w:rPr>
        <w:t>” and the term “</w:t>
      </w:r>
      <w:r>
        <w:rPr>
          <w:rFonts w:ascii="Arial" w:cs="Arial" w:eastAsia="Arial" w:hAnsi="Arial"/>
          <w:sz w:val="20"/>
          <w:szCs w:val="20"/>
          <w:u w:val="single" w:color="auto"/>
          <w:color w:val="auto"/>
        </w:rPr>
        <w:t>Dispose</w:t>
      </w:r>
      <w:r>
        <w:rPr>
          <w:rFonts w:ascii="Arial" w:cs="Arial" w:eastAsia="Arial" w:hAnsi="Arial"/>
          <w:sz w:val="20"/>
          <w:szCs w:val="20"/>
          <w:color w:val="auto"/>
        </w:rPr>
        <w:t>” as a verb has the corresponding meaning), except: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1" w:right="499" w:bottom="1440" w:gutter="0" w:footer="0" w:header="0"/>
        </w:sectPr>
      </w:pPr>
    </w:p>
    <w:bookmarkStart w:id="320" w:name="page321"/>
    <w:bookmarkEnd w:id="320"/>
    <w:p>
      <w:pPr>
        <w:jc w:val="both"/>
        <w:ind w:right="40" w:firstLine="1490"/>
        <w:spacing w:after="0" w:line="274" w:lineRule="auto"/>
        <w:tabs>
          <w:tab w:leader="none" w:pos="228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Dispositions of obsolete, damaged, used, surplus or worn out property, whether now owned or hereafter acquired, in the ordinary course of business and Dispositions of property no longer used or useful, or economically practicable or commercially desirable to maintain, in the conduct of the business of Holdings and any Restricted Subsidiary (including by ceasing to enforce, allowing the lapse, abandonment or invalidation of or discontinuing the use or maintenance of or putting into the public domain any Intellectual Property that is, in the reasonable judgment of the Borrower or the Restricted Subsidiaries, no longer used or useful, or economically practicable or commercially desirable to maintain, or in respect of which the Borrower or any Restricted Subsidiary determines in its reasonable business judgment that such action or inaction is desirable);</w:t>
      </w:r>
    </w:p>
    <w:p>
      <w:pPr>
        <w:spacing w:after="0" w:line="180" w:lineRule="exact"/>
        <w:rPr>
          <w:rFonts w:ascii="Arial" w:cs="Arial" w:eastAsia="Arial" w:hAnsi="Arial"/>
          <w:sz w:val="18"/>
          <w:szCs w:val="18"/>
          <w:color w:val="auto"/>
        </w:rPr>
      </w:pPr>
    </w:p>
    <w:p>
      <w:pPr>
        <w:ind w:right="40" w:firstLine="1490"/>
        <w:spacing w:after="0" w:line="260" w:lineRule="auto"/>
        <w:tabs>
          <w:tab w:leader="none" w:pos="2286" w:val="left"/>
        </w:tabs>
        <w:numPr>
          <w:ilvl w:val="0"/>
          <w:numId w:val="292"/>
        </w:numPr>
        <w:rPr>
          <w:rFonts w:ascii="Arial" w:cs="Arial" w:eastAsia="Arial" w:hAnsi="Arial"/>
          <w:sz w:val="20"/>
          <w:szCs w:val="20"/>
          <w:color w:val="auto"/>
        </w:rPr>
      </w:pPr>
      <w:r>
        <w:rPr>
          <w:rFonts w:ascii="Arial" w:cs="Arial" w:eastAsia="Arial" w:hAnsi="Arial"/>
          <w:sz w:val="20"/>
          <w:szCs w:val="20"/>
          <w:color w:val="auto"/>
        </w:rPr>
        <w:t>Dispositions of inventory and other assets (including Settlement Assets) in the ordinary course of business and immaterial assets (considered in the aggregate) in the ordinary course of business;</w:t>
      </w:r>
    </w:p>
    <w:p>
      <w:pPr>
        <w:spacing w:after="0" w:line="162" w:lineRule="exact"/>
        <w:rPr>
          <w:rFonts w:ascii="Arial" w:cs="Arial" w:eastAsia="Arial" w:hAnsi="Arial"/>
          <w:sz w:val="20"/>
          <w:szCs w:val="20"/>
          <w:color w:val="auto"/>
        </w:rPr>
      </w:pPr>
    </w:p>
    <w:p>
      <w:pPr>
        <w:jc w:val="both"/>
        <w:ind w:right="20" w:firstLine="1490"/>
        <w:spacing w:after="0" w:line="290" w:lineRule="auto"/>
        <w:tabs>
          <w:tab w:leader="none" w:pos="228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is exchanged for credit against the purchase price of similar replacement property (or a functional equivalent of such property) or (ii) an amount equal to Net Proceeds of such Disposition are promptly applied to the purchase price of such replacement property (or a functional equivalent of such property);</w:t>
      </w:r>
    </w:p>
    <w:p>
      <w:pPr>
        <w:spacing w:after="0" w:line="166" w:lineRule="exact"/>
        <w:rPr>
          <w:rFonts w:ascii="Arial" w:cs="Arial" w:eastAsia="Arial" w:hAnsi="Arial"/>
          <w:sz w:val="18"/>
          <w:szCs w:val="18"/>
          <w:color w:val="auto"/>
        </w:rPr>
      </w:pPr>
    </w:p>
    <w:p>
      <w:pPr>
        <w:jc w:val="both"/>
        <w:ind w:right="40" w:firstLine="1490"/>
        <w:spacing w:after="0" w:line="275" w:lineRule="auto"/>
        <w:tabs>
          <w:tab w:leader="none" w:pos="228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Dispositions of property to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transferor in such a transaction is a Loan Party, then either (i) the transferee must be a Loan Party, (ii) 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181" w:lineRule="exact"/>
        <w:rPr>
          <w:rFonts w:ascii="Arial" w:cs="Arial" w:eastAsia="Arial" w:hAnsi="Arial"/>
          <w:sz w:val="18"/>
          <w:szCs w:val="18"/>
          <w:color w:val="auto"/>
        </w:rPr>
      </w:pPr>
    </w:p>
    <w:p>
      <w:pPr>
        <w:ind w:right="40" w:firstLine="1490"/>
        <w:spacing w:after="0" w:line="260" w:lineRule="auto"/>
        <w:tabs>
          <w:tab w:leader="none" w:pos="2286" w:val="left"/>
        </w:tabs>
        <w:numPr>
          <w:ilvl w:val="0"/>
          <w:numId w:val="292"/>
        </w:numPr>
        <w:rPr>
          <w:rFonts w:ascii="Arial" w:cs="Arial" w:eastAsia="Arial" w:hAnsi="Arial"/>
          <w:sz w:val="20"/>
          <w:szCs w:val="20"/>
          <w:color w:val="auto"/>
        </w:rPr>
      </w:pPr>
      <w:r>
        <w:rPr>
          <w:rFonts w:ascii="Arial" w:cs="Arial" w:eastAsia="Arial" w:hAnsi="Arial"/>
          <w:sz w:val="20"/>
          <w:szCs w:val="20"/>
          <w:color w:val="auto"/>
        </w:rPr>
        <w:t>Dispositions permitted by Section 6.03, Investments permitted by Section 6.04, Restricted Payments permitted by Section 6.07 and Liens permitted by Section 6.02;</w:t>
      </w:r>
    </w:p>
    <w:p>
      <w:pPr>
        <w:spacing w:after="0" w:line="189" w:lineRule="exact"/>
        <w:rPr>
          <w:rFonts w:ascii="Arial" w:cs="Arial" w:eastAsia="Arial" w:hAnsi="Arial"/>
          <w:sz w:val="20"/>
          <w:szCs w:val="20"/>
          <w:color w:val="auto"/>
        </w:rPr>
      </w:pPr>
    </w:p>
    <w:p>
      <w:pPr>
        <w:ind w:right="40" w:firstLine="1490"/>
        <w:spacing w:after="0" w:line="260" w:lineRule="auto"/>
        <w:tabs>
          <w:tab w:leader="none" w:pos="2286" w:val="left"/>
        </w:tabs>
        <w:numPr>
          <w:ilvl w:val="0"/>
          <w:numId w:val="292"/>
        </w:numPr>
        <w:rPr>
          <w:rFonts w:ascii="Arial" w:cs="Arial" w:eastAsia="Arial" w:hAnsi="Arial"/>
          <w:sz w:val="20"/>
          <w:szCs w:val="20"/>
          <w:color w:val="auto"/>
        </w:rPr>
      </w:pPr>
      <w:r>
        <w:rPr>
          <w:rFonts w:ascii="Arial" w:cs="Arial" w:eastAsia="Arial" w:hAnsi="Arial"/>
          <w:sz w:val="20"/>
          <w:szCs w:val="20"/>
          <w:color w:val="auto"/>
        </w:rPr>
        <w:t>Dispositions of property acquired by the Borrower or any of the Restricted Subsidiaries after the Effective Date pursuant to sale-leaseback transactions;</w:t>
      </w:r>
    </w:p>
    <w:p>
      <w:pPr>
        <w:spacing w:after="0" w:line="189" w:lineRule="exact"/>
        <w:rPr>
          <w:rFonts w:ascii="Arial" w:cs="Arial" w:eastAsia="Arial" w:hAnsi="Arial"/>
          <w:sz w:val="20"/>
          <w:szCs w:val="20"/>
          <w:color w:val="auto"/>
        </w:rPr>
      </w:pPr>
    </w:p>
    <w:p>
      <w:pPr>
        <w:ind w:left="2280" w:hanging="790"/>
        <w:spacing w:after="0"/>
        <w:tabs>
          <w:tab w:leader="none" w:pos="228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Dispositions of Permitted Investments;</w:t>
      </w:r>
    </w:p>
    <w:p>
      <w:pPr>
        <w:spacing w:after="0" w:line="228" w:lineRule="exact"/>
        <w:rPr>
          <w:rFonts w:ascii="Arial" w:cs="Arial" w:eastAsia="Arial" w:hAnsi="Arial"/>
          <w:sz w:val="20"/>
          <w:szCs w:val="20"/>
          <w:color w:val="auto"/>
        </w:rPr>
      </w:pPr>
    </w:p>
    <w:p>
      <w:pPr>
        <w:ind w:right="40" w:firstLine="1490"/>
        <w:spacing w:after="0" w:line="260" w:lineRule="auto"/>
        <w:tabs>
          <w:tab w:leader="none" w:pos="2286" w:val="left"/>
        </w:tabs>
        <w:numPr>
          <w:ilvl w:val="0"/>
          <w:numId w:val="292"/>
        </w:numPr>
        <w:rPr>
          <w:rFonts w:ascii="Arial" w:cs="Arial" w:eastAsia="Arial" w:hAnsi="Arial"/>
          <w:sz w:val="20"/>
          <w:szCs w:val="20"/>
          <w:color w:val="auto"/>
        </w:rPr>
      </w:pPr>
      <w:r>
        <w:rPr>
          <w:rFonts w:ascii="Arial" w:cs="Arial" w:eastAsia="Arial" w:hAnsi="Arial"/>
          <w:sz w:val="20"/>
          <w:szCs w:val="20"/>
          <w:color w:val="auto"/>
        </w:rPr>
        <w:t>Dispositions or forgiveness of accounts receivable in connection with the collection or compromise thereof (including sales to factors or other third parties);</w:t>
      </w:r>
    </w:p>
    <w:p>
      <w:pPr>
        <w:spacing w:after="0" w:line="189" w:lineRule="exact"/>
        <w:rPr>
          <w:rFonts w:ascii="Arial" w:cs="Arial" w:eastAsia="Arial" w:hAnsi="Arial"/>
          <w:sz w:val="20"/>
          <w:szCs w:val="20"/>
          <w:color w:val="auto"/>
        </w:rPr>
      </w:pPr>
    </w:p>
    <w:p>
      <w:pPr>
        <w:jc w:val="both"/>
        <w:ind w:right="20" w:firstLine="1490"/>
        <w:spacing w:after="0" w:line="249" w:lineRule="auto"/>
        <w:tabs>
          <w:tab w:leader="none" w:pos="2286" w:val="left"/>
        </w:tabs>
        <w:numPr>
          <w:ilvl w:val="0"/>
          <w:numId w:val="292"/>
        </w:numPr>
        <w:rPr>
          <w:rFonts w:ascii="Arial" w:cs="Arial" w:eastAsia="Arial" w:hAnsi="Arial"/>
          <w:sz w:val="20"/>
          <w:szCs w:val="20"/>
          <w:color w:val="auto"/>
        </w:rPr>
      </w:pPr>
      <w:r>
        <w:rPr>
          <w:rFonts w:ascii="Arial" w:cs="Arial" w:eastAsia="Arial" w:hAnsi="Arial"/>
          <w:sz w:val="20"/>
          <w:szCs w:val="20"/>
          <w:color w:val="auto"/>
        </w:rPr>
        <w:t>leases, subleases, service agreements, product sales, transfers, licenses or sublicenses (including transfers, licenses and sublicenses of Intellectual Property), in each case that do not materially interfere with the business of the Borrower and the Restricted Subsidiaries, taken as a whole;</w:t>
      </w:r>
    </w:p>
    <w:p>
      <w:pPr>
        <w:spacing w:after="0" w:line="201" w:lineRule="exact"/>
        <w:rPr>
          <w:rFonts w:ascii="Arial" w:cs="Arial" w:eastAsia="Arial" w:hAnsi="Arial"/>
          <w:sz w:val="20"/>
          <w:szCs w:val="20"/>
          <w:color w:val="auto"/>
        </w:rPr>
      </w:pPr>
    </w:p>
    <w:p>
      <w:pPr>
        <w:ind w:left="2280" w:hanging="790"/>
        <w:spacing w:after="0"/>
        <w:tabs>
          <w:tab w:leader="none" w:pos="228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transfers of property subject to Casualty Events;</w:t>
      </w:r>
    </w:p>
    <w:p>
      <w:pPr>
        <w:spacing w:after="0" w:line="228" w:lineRule="exact"/>
        <w:rPr>
          <w:rFonts w:ascii="Arial" w:cs="Arial" w:eastAsia="Arial" w:hAnsi="Arial"/>
          <w:sz w:val="20"/>
          <w:szCs w:val="20"/>
          <w:color w:val="auto"/>
        </w:rPr>
      </w:pPr>
    </w:p>
    <w:p>
      <w:pPr>
        <w:jc w:val="both"/>
        <w:ind w:firstLine="1490"/>
        <w:spacing w:after="0" w:line="258" w:lineRule="auto"/>
        <w:tabs>
          <w:tab w:leader="none" w:pos="2288" w:val="left"/>
        </w:tabs>
        <w:numPr>
          <w:ilvl w:val="0"/>
          <w:numId w:val="292"/>
        </w:numPr>
        <w:rPr>
          <w:rFonts w:ascii="Arial" w:cs="Arial" w:eastAsia="Arial" w:hAnsi="Arial"/>
          <w:sz w:val="19"/>
          <w:szCs w:val="19"/>
          <w:color w:val="auto"/>
        </w:rPr>
      </w:pPr>
      <w:r>
        <w:rPr>
          <w:rFonts w:ascii="Arial" w:cs="Arial" w:eastAsia="Arial" w:hAnsi="Arial"/>
          <w:sz w:val="19"/>
          <w:szCs w:val="19"/>
          <w:color w:val="auto"/>
        </w:rPr>
        <w:t xml:space="preserve">Dispositions of property (including the sale or issuance of Equity Interests of a Restricted Subsidiary) for fair market value (as determined by a Responsible Officer of the Borrower in good faith) not otherwise permitted under this Section 6.05;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Disposition pursuant to this clause (k) for a purchase price in excess of $5,000,000, the Borrower or such Restricted Subsidiaries shall receive not less than 75% of such consideration in the form of cash or Permitted Investments;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solely for the purposes of this clause (k), (A) any liabilities (as shown on the most recent balance sheet of the Borrower or such Restricted Subsidiary or in the footnotes thereto)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321" w:name="page322"/>
    <w:bookmarkEnd w:id="321"/>
    <w:p>
      <w:pPr>
        <w:jc w:val="both"/>
        <w:spacing w:after="0" w:line="268" w:lineRule="auto"/>
        <w:rPr>
          <w:sz w:val="20"/>
          <w:szCs w:val="20"/>
          <w:color w:val="auto"/>
        </w:rPr>
      </w:pPr>
      <w:r>
        <w:rPr>
          <w:rFonts w:ascii="Arial" w:cs="Arial" w:eastAsia="Arial" w:hAnsi="Arial"/>
          <w:sz w:val="18"/>
          <w:szCs w:val="18"/>
          <w:color w:val="auto"/>
        </w:rPr>
        <w:t>of the Borrower or such Restricted Subsidiary, other than liabilities that are by their terms subordinated in right of payment to the Loan Document Obligations, that are assumed by the transferee with respect to the applicable Disposition and for which the Borrower and all of the Restricted Subsidiaries shall have been validly released by all applicable creditors in writing, shall be deemed to be cash, (B) any securities, notes or other obligations or assets received by the Borrower or such Restricted Subsidiary from such transferee that are converted by the Borrower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Borrower or its Restricted Subsidiaries), to the extent that the Borrower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the Borrower or such Restricted Subsidiary in respect of such Disposition having an aggregate fair market value (as determined by a Responsible Officer of the Borrower in good faith), taken together with all other Designated Non-Cash Consideration received pursuant to this clause (k) that is at that time outstanding, not in excess of the greater of (A) $35,000,000 and (B) 25.0% of Consolidated EBITDA for the Test Period then last ended at the time of the receipt of such Designated Non-Cash Consideration, with the fair market value (as determined by a Responsible Officer of the Borrower in good faith) of each item of Designated Non-Cash Consideration being measured at the time received and without giving effect to subsequent changes in value, shall be deemed to be cash, (E) consideration received in connection with an asset swap shall be deemed “cash” and (F) at the time of the execution of a binding agreement in respect of such Disposition, no Specified Event of Default shall have occurred and be continuing;</w:t>
      </w:r>
    </w:p>
    <w:p>
      <w:pPr>
        <w:spacing w:after="0" w:line="196" w:lineRule="exact"/>
        <w:rPr>
          <w:sz w:val="20"/>
          <w:szCs w:val="20"/>
          <w:color w:val="auto"/>
        </w:rPr>
      </w:pPr>
    </w:p>
    <w:p>
      <w:pPr>
        <w:jc w:val="both"/>
        <w:ind w:right="40" w:firstLine="1490"/>
        <w:spacing w:after="0" w:line="249" w:lineRule="auto"/>
        <w:tabs>
          <w:tab w:leader="none" w:pos="2286" w:val="left"/>
        </w:tabs>
        <w:numPr>
          <w:ilvl w:val="0"/>
          <w:numId w:val="293"/>
        </w:numPr>
        <w:rPr>
          <w:rFonts w:ascii="Arial" w:cs="Arial" w:eastAsia="Arial" w:hAnsi="Arial"/>
          <w:sz w:val="20"/>
          <w:szCs w:val="20"/>
          <w:color w:val="auto"/>
        </w:rPr>
      </w:pPr>
      <w:r>
        <w:rPr>
          <w:rFonts w:ascii="Arial" w:cs="Arial" w:eastAsia="Arial" w:hAnsi="Arial"/>
          <w:sz w:val="20"/>
          <w:szCs w:val="20"/>
          <w:color w:val="auto"/>
        </w:rPr>
        <w:t>Dispositions of Investments in joint ventures or non-wholly owned Subsidiaries to the extent required by, or made pursuant to customary buy/sell arrangements between, the joint venture parties set forth in joint venture arrangements and similar binding arrangements;</w:t>
      </w:r>
    </w:p>
    <w:p>
      <w:pPr>
        <w:spacing w:after="0" w:line="201" w:lineRule="exact"/>
        <w:rPr>
          <w:rFonts w:ascii="Arial" w:cs="Arial" w:eastAsia="Arial" w:hAnsi="Arial"/>
          <w:sz w:val="20"/>
          <w:szCs w:val="20"/>
          <w:color w:val="auto"/>
        </w:rPr>
      </w:pPr>
    </w:p>
    <w:p>
      <w:pPr>
        <w:jc w:val="both"/>
        <w:ind w:right="40" w:firstLine="1490"/>
        <w:spacing w:after="0" w:line="249" w:lineRule="auto"/>
        <w:tabs>
          <w:tab w:leader="none" w:pos="2286" w:val="left"/>
        </w:tabs>
        <w:numPr>
          <w:ilvl w:val="0"/>
          <w:numId w:val="293"/>
        </w:numPr>
        <w:rPr>
          <w:rFonts w:ascii="Arial" w:cs="Arial" w:eastAsia="Arial" w:hAnsi="Arial"/>
          <w:sz w:val="20"/>
          <w:szCs w:val="20"/>
          <w:color w:val="auto"/>
        </w:rPr>
      </w:pPr>
      <w:r>
        <w:rPr>
          <w:rFonts w:ascii="Arial" w:cs="Arial" w:eastAsia="Arial" w:hAnsi="Arial"/>
          <w:sz w:val="20"/>
          <w:szCs w:val="20"/>
          <w:color w:val="auto"/>
        </w:rPr>
        <w:t>Dispositions of any assets not constituting Collateral hereunder, provided that the aggregate fair market value (as determined in good faith by the Borrower) of all such Dispositions, in the aggregate, shall not be in excess of the greater of (A) $7,500,000 and (B) 7.5% of Consolidated EBITDA at the time of such Disposition;</w:t>
      </w:r>
    </w:p>
    <w:p>
      <w:pPr>
        <w:spacing w:after="0" w:line="201" w:lineRule="exact"/>
        <w:rPr>
          <w:rFonts w:ascii="Arial" w:cs="Arial" w:eastAsia="Arial" w:hAnsi="Arial"/>
          <w:sz w:val="20"/>
          <w:szCs w:val="20"/>
          <w:color w:val="auto"/>
        </w:rPr>
      </w:pPr>
    </w:p>
    <w:p>
      <w:pPr>
        <w:jc w:val="both"/>
        <w:ind w:right="40" w:firstLine="1490"/>
        <w:spacing w:after="0" w:line="246" w:lineRule="auto"/>
        <w:tabs>
          <w:tab w:leader="none" w:pos="2286" w:val="left"/>
        </w:tabs>
        <w:numPr>
          <w:ilvl w:val="0"/>
          <w:numId w:val="293"/>
        </w:numPr>
        <w:rPr>
          <w:rFonts w:ascii="Arial" w:cs="Arial" w:eastAsia="Arial" w:hAnsi="Arial"/>
          <w:sz w:val="20"/>
          <w:szCs w:val="20"/>
          <w:color w:val="auto"/>
        </w:rPr>
      </w:pPr>
      <w:r>
        <w:rPr>
          <w:rFonts w:ascii="Arial" w:cs="Arial" w:eastAsia="Arial" w:hAnsi="Arial"/>
          <w:sz w:val="20"/>
          <w:szCs w:val="20"/>
          <w:color w:val="auto"/>
        </w:rPr>
        <w:t>Dispositions of any assets (including Equity Interests) (A) acquired in connection with any Permitted Acquisition or other Investment not prohibited hereunder, which assets are not used or useful to the core or principal business of the Borrower and the Restricted Subsidiaries or (B) made to obtain the approval of any applicable regulatory authority in connection with any acquisition or investment (including antitrust authorities, the FCC or FAA);</w:t>
      </w:r>
    </w:p>
    <w:p>
      <w:pPr>
        <w:spacing w:after="0" w:line="203" w:lineRule="exact"/>
        <w:rPr>
          <w:rFonts w:ascii="Arial" w:cs="Arial" w:eastAsia="Arial" w:hAnsi="Arial"/>
          <w:sz w:val="20"/>
          <w:szCs w:val="20"/>
          <w:color w:val="auto"/>
        </w:rPr>
      </w:pPr>
    </w:p>
    <w:p>
      <w:pPr>
        <w:jc w:val="both"/>
        <w:ind w:right="40" w:firstLine="1490"/>
        <w:spacing w:after="0" w:line="269" w:lineRule="auto"/>
        <w:tabs>
          <w:tab w:leader="none" w:pos="2286" w:val="left"/>
        </w:tabs>
        <w:numPr>
          <w:ilvl w:val="0"/>
          <w:numId w:val="293"/>
        </w:numPr>
        <w:rPr>
          <w:rFonts w:ascii="Arial" w:cs="Arial" w:eastAsia="Arial" w:hAnsi="Arial"/>
          <w:sz w:val="19"/>
          <w:szCs w:val="19"/>
          <w:color w:val="auto"/>
        </w:rPr>
      </w:pPr>
      <w:r>
        <w:rPr>
          <w:rFonts w:ascii="Arial" w:cs="Arial" w:eastAsia="Arial" w:hAnsi="Arial"/>
          <w:sz w:val="19"/>
          <w:szCs w:val="19"/>
          <w:color w:val="auto"/>
        </w:rPr>
        <w:t>(i) any Disposition of accounts receivable, Securitization Assets, any participations thereof, or related assets in connection with any Qualified Securitization Facility or (ii) the sale or discount of inventory, accounts receivable or notes receivable in the ordinary course of business or the conversion of accounts receivable to notes receivable;</w:t>
      </w:r>
    </w:p>
    <w:p>
      <w:pPr>
        <w:spacing w:after="0" w:line="182" w:lineRule="exact"/>
        <w:rPr>
          <w:rFonts w:ascii="Arial" w:cs="Arial" w:eastAsia="Arial" w:hAnsi="Arial"/>
          <w:sz w:val="19"/>
          <w:szCs w:val="19"/>
          <w:color w:val="auto"/>
        </w:rPr>
      </w:pPr>
    </w:p>
    <w:p>
      <w:pPr>
        <w:jc w:val="both"/>
        <w:ind w:firstLine="1490"/>
        <w:spacing w:after="0" w:line="246" w:lineRule="auto"/>
        <w:tabs>
          <w:tab w:leader="none" w:pos="2288"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w:t>
      </w:r>
    </w:p>
    <w:p>
      <w:pPr>
        <w:spacing w:after="0" w:line="203" w:lineRule="exact"/>
        <w:rPr>
          <w:rFonts w:ascii="Arial" w:cs="Arial" w:eastAsia="Arial" w:hAnsi="Arial"/>
          <w:sz w:val="20"/>
          <w:szCs w:val="20"/>
          <w:color w:val="auto"/>
        </w:rPr>
      </w:pPr>
    </w:p>
    <w:p>
      <w:pPr>
        <w:ind w:left="2280" w:hanging="790"/>
        <w:spacing w:after="0"/>
        <w:tabs>
          <w:tab w:leader="none" w:pos="228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Dispositions constituting any part of a Permitted Reorganization;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1" w:right="519" w:bottom="1440" w:gutter="0" w:footer="0" w:header="0"/>
        </w:sectPr>
      </w:pPr>
    </w:p>
    <w:bookmarkStart w:id="322" w:name="page323"/>
    <w:bookmarkEnd w:id="322"/>
    <w:p>
      <w:pPr>
        <w:ind w:right="60" w:firstLine="1490"/>
        <w:spacing w:after="0" w:line="315" w:lineRule="auto"/>
        <w:tabs>
          <w:tab w:leader="none" w:pos="228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Dispositions of Unrestricted Subsidiaries (other than Unrestricted Subsidiaries the primary assets of which are Permitted Investments received from the Borrower or a Restricted Subsidiary) or assets acquired from Unrestricted Subsidiaries;</w:t>
      </w:r>
    </w:p>
    <w:p>
      <w:pPr>
        <w:spacing w:after="0" w:line="144" w:lineRule="exact"/>
        <w:rPr>
          <w:rFonts w:ascii="Arial" w:cs="Arial" w:eastAsia="Arial" w:hAnsi="Arial"/>
          <w:sz w:val="18"/>
          <w:szCs w:val="18"/>
          <w:color w:val="auto"/>
        </w:rPr>
      </w:pPr>
    </w:p>
    <w:p>
      <w:pPr>
        <w:jc w:val="both"/>
        <w:ind w:right="40" w:firstLine="1490"/>
        <w:spacing w:after="0" w:line="278" w:lineRule="auto"/>
        <w:tabs>
          <w:tab w:leader="none" w:pos="228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swap of assets in exchange for services or other assets in the ordinary course of business of comparable or greater fair market value of usefulness to the business of the Borrower and its Restricted Subsidiaries, taken as a whole, as determined in good faith by the Borrower; provided that the aggregate fair market value (as determined in good faith by the Borrower) of all assets constituting Collateral that are exchanged for other assets not constituting Collateral pursuant to this clause (s) shall not exceed the greater of (x) $14,000,000 and (y) 10.0% of Consolidated EBITDA at the time of such swap of assets;</w:t>
      </w:r>
    </w:p>
    <w:p>
      <w:pPr>
        <w:spacing w:after="0" w:line="176" w:lineRule="exact"/>
        <w:rPr>
          <w:rFonts w:ascii="Arial" w:cs="Arial" w:eastAsia="Arial" w:hAnsi="Arial"/>
          <w:sz w:val="18"/>
          <w:szCs w:val="18"/>
          <w:color w:val="auto"/>
        </w:rPr>
      </w:pPr>
    </w:p>
    <w:p>
      <w:pPr>
        <w:ind w:right="40" w:firstLine="1490"/>
        <w:spacing w:after="0" w:line="260" w:lineRule="auto"/>
        <w:tabs>
          <w:tab w:leader="none" w:pos="2287" w:val="left"/>
        </w:tabs>
        <w:numPr>
          <w:ilvl w:val="0"/>
          <w:numId w:val="294"/>
        </w:numPr>
        <w:rPr>
          <w:rFonts w:ascii="Arial" w:cs="Arial" w:eastAsia="Arial" w:hAnsi="Arial"/>
          <w:sz w:val="20"/>
          <w:szCs w:val="20"/>
          <w:color w:val="auto"/>
        </w:rPr>
      </w:pPr>
      <w:r>
        <w:rPr>
          <w:rFonts w:ascii="Arial" w:cs="Arial" w:eastAsia="Arial" w:hAnsi="Arial"/>
          <w:sz w:val="20"/>
          <w:szCs w:val="20"/>
          <w:color w:val="auto"/>
        </w:rPr>
        <w:t>other Dispositions in an aggregate amount not be in excess of the greater of (A) $50,000,000 and (B) 36.0% of Consolidated EBITDA at the time of such Disposition;</w:t>
      </w:r>
    </w:p>
    <w:p>
      <w:pPr>
        <w:spacing w:after="0" w:line="189" w:lineRule="exact"/>
        <w:rPr>
          <w:rFonts w:ascii="Arial" w:cs="Arial" w:eastAsia="Arial" w:hAnsi="Arial"/>
          <w:sz w:val="20"/>
          <w:szCs w:val="20"/>
          <w:color w:val="auto"/>
        </w:rPr>
      </w:pPr>
    </w:p>
    <w:p>
      <w:pPr>
        <w:ind w:left="2280" w:hanging="790"/>
        <w:spacing w:after="0"/>
        <w:tabs>
          <w:tab w:leader="none" w:pos="228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samples, including time-limited evaluation software, provided to customers or prospective customers;</w:t>
      </w:r>
    </w:p>
    <w:p>
      <w:pPr>
        <w:spacing w:after="0" w:line="239" w:lineRule="exact"/>
        <w:rPr>
          <w:rFonts w:ascii="Arial" w:cs="Arial" w:eastAsia="Arial" w:hAnsi="Arial"/>
          <w:sz w:val="19"/>
          <w:szCs w:val="19"/>
          <w:color w:val="auto"/>
        </w:rPr>
      </w:pPr>
    </w:p>
    <w:p>
      <w:pPr>
        <w:ind w:left="2280" w:hanging="790"/>
        <w:spacing w:after="0"/>
        <w:tabs>
          <w:tab w:leader="none" w:pos="228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de minimis amounts of equipment or other assets provided to employees;</w:t>
      </w:r>
    </w:p>
    <w:p>
      <w:pPr>
        <w:spacing w:after="0" w:line="228" w:lineRule="exact"/>
        <w:rPr>
          <w:rFonts w:ascii="Arial" w:cs="Arial" w:eastAsia="Arial" w:hAnsi="Arial"/>
          <w:sz w:val="20"/>
          <w:szCs w:val="20"/>
          <w:color w:val="auto"/>
        </w:rPr>
      </w:pPr>
    </w:p>
    <w:p>
      <w:pPr>
        <w:ind w:left="2280" w:hanging="790"/>
        <w:spacing w:after="0"/>
        <w:tabs>
          <w:tab w:leader="none" w:pos="228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the unwinding of any Cash Management Obligations or Swap Agreement pursuant to its terms;</w:t>
      </w:r>
    </w:p>
    <w:p>
      <w:pPr>
        <w:spacing w:after="0" w:line="228" w:lineRule="exact"/>
        <w:rPr>
          <w:rFonts w:ascii="Arial" w:cs="Arial" w:eastAsia="Arial" w:hAnsi="Arial"/>
          <w:sz w:val="20"/>
          <w:szCs w:val="20"/>
          <w:color w:val="auto"/>
        </w:rPr>
      </w:pPr>
    </w:p>
    <w:p>
      <w:pPr>
        <w:ind w:right="60" w:firstLine="1490"/>
        <w:spacing w:after="0" w:line="260" w:lineRule="auto"/>
        <w:tabs>
          <w:tab w:leader="none" w:pos="2286" w:val="left"/>
        </w:tabs>
        <w:numPr>
          <w:ilvl w:val="0"/>
          <w:numId w:val="294"/>
        </w:numPr>
        <w:rPr>
          <w:rFonts w:ascii="Arial" w:cs="Arial" w:eastAsia="Arial" w:hAnsi="Arial"/>
          <w:sz w:val="20"/>
          <w:szCs w:val="20"/>
          <w:color w:val="auto"/>
        </w:rPr>
      </w:pPr>
      <w:r>
        <w:rPr>
          <w:rFonts w:ascii="Arial" w:cs="Arial" w:eastAsia="Arial" w:hAnsi="Arial"/>
          <w:sz w:val="20"/>
          <w:szCs w:val="20"/>
          <w:color w:val="auto"/>
        </w:rPr>
        <w:t>sales, transfers, leases or other dispositions to the Borrower or a Restricted Subsidiary pursuant to Intercompany License Agreements;</w:t>
      </w:r>
    </w:p>
    <w:p>
      <w:pPr>
        <w:spacing w:after="0" w:line="189" w:lineRule="exact"/>
        <w:rPr>
          <w:rFonts w:ascii="Arial" w:cs="Arial" w:eastAsia="Arial" w:hAnsi="Arial"/>
          <w:sz w:val="20"/>
          <w:szCs w:val="20"/>
          <w:color w:val="auto"/>
        </w:rPr>
      </w:pPr>
    </w:p>
    <w:p>
      <w:pPr>
        <w:jc w:val="both"/>
        <w:ind w:right="60" w:firstLine="1490"/>
        <w:spacing w:after="0" w:line="257" w:lineRule="auto"/>
        <w:tabs>
          <w:tab w:leader="none" w:pos="2286"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the Borrower and any Restricted Subsidiary may (i) terminate or otherwise collapse its cost sharing agreements with the Borrower or any Restricted Subsidiary and settle any crossing payments in connection therewith, (ii) convert any intercompany Indebtedness to Equity Interests, (iii) transfer any intercompany Indebtedness to the Borrower or any Restricted Subsidiary, (iv) settle, discount, write off, forgive or cancel any intercompany Indebtedness or other obligation owing by the Borrower or any Restricted Subsidiary, (v) settle, discount, write off, forgive or cancel any Indebtedness owing by any present or former consultants, directors, officers or employees, the Borrower or any Restricted Subsidiary or any of their successors or assigns or (vi) surrender or waive contractual rights and settle or waive contractual or litigation claims;</w:t>
      </w:r>
    </w:p>
    <w:p>
      <w:pPr>
        <w:spacing w:after="0" w:line="196" w:lineRule="exact"/>
        <w:rPr>
          <w:rFonts w:ascii="Arial" w:cs="Arial" w:eastAsia="Arial" w:hAnsi="Arial"/>
          <w:sz w:val="19"/>
          <w:szCs w:val="19"/>
          <w:color w:val="auto"/>
        </w:rPr>
      </w:pPr>
    </w:p>
    <w:p>
      <w:pPr>
        <w:ind w:left="2280" w:hanging="790"/>
        <w:spacing w:after="0"/>
        <w:tabs>
          <w:tab w:leader="none" w:pos="228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 xml:space="preserve">Dispositions set forth on </w:t>
      </w:r>
      <w:r>
        <w:rPr>
          <w:rFonts w:ascii="Arial" w:cs="Arial" w:eastAsia="Arial" w:hAnsi="Arial"/>
          <w:sz w:val="20"/>
          <w:szCs w:val="20"/>
          <w:u w:val="single" w:color="auto"/>
          <w:color w:val="auto"/>
        </w:rPr>
        <w:t>Schedule 6.05</w:t>
      </w:r>
      <w:r>
        <w:rPr>
          <w:rFonts w:ascii="Arial" w:cs="Arial" w:eastAsia="Arial" w:hAnsi="Arial"/>
          <w:sz w:val="20"/>
          <w:szCs w:val="20"/>
          <w:color w:val="auto"/>
        </w:rPr>
        <w:t>; and</w:t>
      </w:r>
    </w:p>
    <w:p>
      <w:pPr>
        <w:spacing w:after="0" w:line="228" w:lineRule="exact"/>
        <w:rPr>
          <w:sz w:val="20"/>
          <w:szCs w:val="20"/>
          <w:color w:val="auto"/>
        </w:rPr>
      </w:pPr>
    </w:p>
    <w:p>
      <w:pPr>
        <w:jc w:val="both"/>
        <w:ind w:firstLine="1467"/>
        <w:spacing w:after="0" w:line="269" w:lineRule="auto"/>
        <w:tabs>
          <w:tab w:leader="none" w:pos="2089" w:val="left"/>
        </w:tabs>
        <w:numPr>
          <w:ilvl w:val="0"/>
          <w:numId w:val="295"/>
        </w:numPr>
        <w:rPr>
          <w:rFonts w:ascii="Arial" w:cs="Arial" w:eastAsia="Arial" w:hAnsi="Arial"/>
          <w:sz w:val="19"/>
          <w:szCs w:val="19"/>
          <w:color w:val="auto"/>
        </w:rPr>
      </w:pPr>
      <w:r>
        <w:rPr>
          <w:rFonts w:ascii="Arial" w:cs="Arial" w:eastAsia="Arial" w:hAnsi="Arial"/>
          <w:sz w:val="19"/>
          <w:szCs w:val="19"/>
          <w:color w:val="auto"/>
        </w:rPr>
        <w:t>the sale, lease, assignment, license, sublease or discount of inventory, equipment, accounts receivable, notes receivable or other current assets in the ordinary course of business or consistent with industry practice or the conversion of accounts receivable to notes receivable or other dispositions of accounts receivable in connection with the collection thereof.</w:t>
      </w:r>
    </w:p>
    <w:p>
      <w:pPr>
        <w:spacing w:after="0" w:line="182"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6.06</w:t>
      </w:r>
      <w:r>
        <w:rPr>
          <w:sz w:val="20"/>
          <w:szCs w:val="20"/>
          <w:color w:val="auto"/>
        </w:rPr>
        <w:tab/>
      </w:r>
      <w:r>
        <w:rPr>
          <w:rFonts w:ascii="Arial" w:cs="Arial" w:eastAsia="Arial" w:hAnsi="Arial"/>
          <w:sz w:val="16"/>
          <w:szCs w:val="16"/>
          <w:u w:val="single" w:color="auto"/>
          <w:color w:val="auto"/>
        </w:rPr>
        <w:t>[Reserved].</w:t>
      </w:r>
    </w:p>
    <w:p>
      <w:pPr>
        <w:spacing w:after="0" w:line="228"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6.07</w:t>
      </w:r>
      <w:r>
        <w:rPr>
          <w:sz w:val="20"/>
          <w:szCs w:val="20"/>
          <w:color w:val="auto"/>
        </w:rPr>
        <w:tab/>
      </w:r>
      <w:r>
        <w:rPr>
          <w:rFonts w:ascii="Arial" w:cs="Arial" w:eastAsia="Arial" w:hAnsi="Arial"/>
          <w:sz w:val="16"/>
          <w:szCs w:val="16"/>
          <w:u w:val="single" w:color="auto"/>
          <w:color w:val="auto"/>
        </w:rPr>
        <w:t>Restricted Payments; Certain Payments of Indebtedness</w:t>
      </w:r>
      <w:r>
        <w:rPr>
          <w:rFonts w:ascii="Arial" w:cs="Arial" w:eastAsia="Arial" w:hAnsi="Arial"/>
          <w:sz w:val="16"/>
          <w:szCs w:val="16"/>
          <w:color w:val="auto"/>
        </w:rPr>
        <w:t>.</w:t>
      </w:r>
    </w:p>
    <w:p>
      <w:pPr>
        <w:spacing w:after="0" w:line="228" w:lineRule="exact"/>
        <w:rPr>
          <w:sz w:val="20"/>
          <w:szCs w:val="20"/>
          <w:color w:val="auto"/>
        </w:rPr>
      </w:pPr>
    </w:p>
    <w:p>
      <w:pPr>
        <w:ind w:left="2220" w:hanging="730"/>
        <w:spacing w:after="0"/>
        <w:tabs>
          <w:tab w:leader="none" w:pos="222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The Borrower will not, and will not permit any Restricted Subsidiary to, declare or make any Restricted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Payment, except: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52" w:right="499" w:bottom="1440" w:gutter="0" w:footer="0" w:header="0"/>
        </w:sectPr>
      </w:pPr>
    </w:p>
    <w:bookmarkStart w:id="323" w:name="page324"/>
    <w:bookmarkEnd w:id="323"/>
    <w:p>
      <w:pPr>
        <w:jc w:val="both"/>
        <w:ind w:left="-200" w:right="40" w:firstLine="1499"/>
        <w:spacing w:after="0" w:line="244" w:lineRule="auto"/>
        <w:tabs>
          <w:tab w:leader="none" w:pos="2031" w:val="left"/>
        </w:tabs>
        <w:numPr>
          <w:ilvl w:val="0"/>
          <w:numId w:val="297"/>
        </w:numPr>
        <w:rPr>
          <w:rFonts w:ascii="Arial" w:cs="Arial" w:eastAsia="Arial" w:hAnsi="Arial"/>
          <w:sz w:val="20"/>
          <w:szCs w:val="20"/>
          <w:color w:val="010000"/>
        </w:rPr>
      </w:pPr>
      <w:r>
        <w:rPr>
          <w:rFonts w:ascii="Arial" w:cs="Arial" w:eastAsia="Arial" w:hAnsi="Arial"/>
          <w:sz w:val="20"/>
          <w:szCs w:val="20"/>
          <w:color w:val="auto"/>
        </w:rPr>
        <w:t xml:space="preserve">the Borrower and each Restricted Subsidiary may make Restricted Payments to the Borrower or any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any such Restricted Payment by a Restricted Subsidiary that is not a Wholly Owned Subsidiary, such Restricted Payment is made to the Borrower, any Restricted Subsidiary and to each other owner of Equity Interests of such Restricted Subsidiary based on their relative ownership interests of the relevant class of Equity Interests;</w:t>
      </w:r>
    </w:p>
    <w:p>
      <w:pPr>
        <w:spacing w:after="0" w:line="206" w:lineRule="exact"/>
        <w:rPr>
          <w:rFonts w:ascii="Arial" w:cs="Arial" w:eastAsia="Arial" w:hAnsi="Arial"/>
          <w:sz w:val="20"/>
          <w:szCs w:val="20"/>
          <w:color w:val="010000"/>
        </w:rPr>
      </w:pPr>
    </w:p>
    <w:p>
      <w:pPr>
        <w:ind w:left="-200" w:right="40" w:firstLine="1499"/>
        <w:spacing w:after="0" w:line="260" w:lineRule="auto"/>
        <w:tabs>
          <w:tab w:leader="none" w:pos="2031" w:val="left"/>
        </w:tabs>
        <w:numPr>
          <w:ilvl w:val="0"/>
          <w:numId w:val="297"/>
        </w:numPr>
        <w:rPr>
          <w:rFonts w:ascii="Arial" w:cs="Arial" w:eastAsia="Arial" w:hAnsi="Arial"/>
          <w:sz w:val="20"/>
          <w:szCs w:val="20"/>
          <w:color w:val="010000"/>
        </w:rPr>
      </w:pPr>
      <w:r>
        <w:rPr>
          <w:rFonts w:ascii="Arial" w:cs="Arial" w:eastAsia="Arial" w:hAnsi="Arial"/>
          <w:sz w:val="20"/>
          <w:szCs w:val="20"/>
          <w:color w:val="auto"/>
        </w:rPr>
        <w:t>the Borrower and each Restricted Subsidiary may declare and make dividend payments or other distributions payable solely in the Equity Interests of such Person;</w:t>
      </w:r>
    </w:p>
    <w:p>
      <w:pPr>
        <w:spacing w:after="0" w:line="162" w:lineRule="exact"/>
        <w:rPr>
          <w:rFonts w:ascii="Arial" w:cs="Arial" w:eastAsia="Arial" w:hAnsi="Arial"/>
          <w:sz w:val="20"/>
          <w:szCs w:val="20"/>
          <w:color w:val="010000"/>
        </w:rPr>
      </w:pPr>
    </w:p>
    <w:p>
      <w:pPr>
        <w:ind w:left="-200" w:right="40" w:firstLine="1499"/>
        <w:spacing w:after="0" w:line="260" w:lineRule="auto"/>
        <w:tabs>
          <w:tab w:leader="none" w:pos="2031" w:val="left"/>
        </w:tabs>
        <w:numPr>
          <w:ilvl w:val="0"/>
          <w:numId w:val="297"/>
        </w:numPr>
        <w:rPr>
          <w:rFonts w:ascii="Arial" w:cs="Arial" w:eastAsia="Arial" w:hAnsi="Arial"/>
          <w:sz w:val="20"/>
          <w:szCs w:val="20"/>
          <w:color w:val="010000"/>
        </w:rPr>
      </w:pPr>
      <w:r>
        <w:rPr>
          <w:rFonts w:ascii="Arial" w:cs="Arial" w:eastAsia="Arial" w:hAnsi="Arial"/>
          <w:sz w:val="20"/>
          <w:szCs w:val="20"/>
          <w:color w:val="auto"/>
        </w:rPr>
        <w:t>Restricted Payments made to consummate the Transactions and Restricted Payments constituting any part of a Permitted Reorganization;</w:t>
      </w:r>
    </w:p>
    <w:p>
      <w:pPr>
        <w:spacing w:after="0" w:line="202" w:lineRule="exact"/>
        <w:rPr>
          <w:rFonts w:ascii="Arial" w:cs="Arial" w:eastAsia="Arial" w:hAnsi="Arial"/>
          <w:sz w:val="20"/>
          <w:szCs w:val="20"/>
          <w:color w:val="010000"/>
        </w:rPr>
      </w:pPr>
    </w:p>
    <w:p>
      <w:pPr>
        <w:jc w:val="both"/>
        <w:ind w:left="-200" w:right="40" w:firstLine="1499"/>
        <w:spacing w:after="0" w:line="246" w:lineRule="auto"/>
        <w:tabs>
          <w:tab w:leader="none" w:pos="2031" w:val="left"/>
        </w:tabs>
        <w:numPr>
          <w:ilvl w:val="0"/>
          <w:numId w:val="297"/>
        </w:numPr>
        <w:rPr>
          <w:rFonts w:ascii="Arial" w:cs="Arial" w:eastAsia="Arial" w:hAnsi="Arial"/>
          <w:sz w:val="20"/>
          <w:szCs w:val="20"/>
          <w:color w:val="010000"/>
        </w:rPr>
      </w:pPr>
      <w:r>
        <w:rPr>
          <w:rFonts w:ascii="Arial" w:cs="Arial" w:eastAsia="Arial" w:hAnsi="Arial"/>
          <w:sz w:val="20"/>
          <w:szCs w:val="20"/>
          <w:color w:val="auto"/>
        </w:rPr>
        <w:t>repurchases of Equity Interests in any Holdings Parent, Holdings, the Borrower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spacing w:after="0" w:line="203" w:lineRule="exact"/>
        <w:rPr>
          <w:rFonts w:ascii="Arial" w:cs="Arial" w:eastAsia="Arial" w:hAnsi="Arial"/>
          <w:sz w:val="20"/>
          <w:szCs w:val="20"/>
          <w:color w:val="010000"/>
        </w:rPr>
      </w:pPr>
    </w:p>
    <w:p>
      <w:pPr>
        <w:jc w:val="both"/>
        <w:ind w:left="-200" w:firstLine="1499"/>
        <w:spacing w:after="0" w:line="267" w:lineRule="auto"/>
        <w:tabs>
          <w:tab w:leader="none" w:pos="2033" w:val="left"/>
        </w:tabs>
        <w:numPr>
          <w:ilvl w:val="0"/>
          <w:numId w:val="297"/>
        </w:numPr>
        <w:rPr>
          <w:rFonts w:ascii="Arial" w:cs="Arial" w:eastAsia="Arial" w:hAnsi="Arial"/>
          <w:sz w:val="18"/>
          <w:szCs w:val="18"/>
          <w:color w:val="010000"/>
        </w:rPr>
      </w:pPr>
      <w:r>
        <w:rPr>
          <w:rFonts w:ascii="Arial" w:cs="Arial" w:eastAsia="Arial" w:hAnsi="Arial"/>
          <w:sz w:val="18"/>
          <w:szCs w:val="18"/>
          <w:color w:val="auto"/>
        </w:rPr>
        <w:t xml:space="preserve">Restricted Payments to Holdings or any Holdings Parent, which Holdings or such Holdings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Holdings Parent to finance the redemption, acquisition, retirement, repurchase or settlement of such Equity Interest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Holdings Parent, the Borrower and the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or any Holdings Parent made pursuant to Section 6.04(l) in lieu of Restricted Payments permitted by this clause (v) not to exceed $20,000,000 in any calendar year with unused amounts in any calendar year being carried over to the next two succeeding calendar years (without giving effect to the following proviso);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in any calendar year may be increased by (1) an amount not to exceed the cash proceeds of key man life insurance policies received by the Borrower, Holdings (or by any Holdings Parent and contributed to the Borrower) or the Restricted Subsidiaries after the Effective Date, or (2) the amount of any bona fide cash bonuses otherwise payable to members of the Board of Directors, consultants, officers, employees, managers or independent contractors of Holdings or any Holdings Parent, the Borrower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cancellation of Indebtedness owing to Holdings, the Borrower or any Restricted Subsidiary from members of the Board of Directors, consultants, officers, employees, managers or independent contractors (or their respective spouses, former spouses, successors, executors, administrators, heirs, legatees or distributees) of Holdings or any Holdings Parent, the Borrower or any Restricted Subsidiary in connection with a repurchase of Equity Interests of Holdings or any direct or indirect parent of the Borrower or the Borrower will not be deemed to constitute a Restricted Payment for purposes of</w:t>
      </w:r>
    </w:p>
    <w:p>
      <w:pPr>
        <w:spacing w:after="0" w:line="189"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352" w:right="519" w:bottom="1440" w:gutter="0" w:footer="0" w:header="0"/>
        </w:sectPr>
      </w:pPr>
    </w:p>
    <w:bookmarkStart w:id="324" w:name="page325"/>
    <w:bookmarkEnd w:id="324"/>
    <w:p>
      <w:pPr>
        <w:spacing w:after="0"/>
        <w:rPr>
          <w:sz w:val="20"/>
          <w:szCs w:val="20"/>
          <w:color w:val="auto"/>
        </w:rPr>
      </w:pPr>
      <w:r>
        <w:rPr>
          <w:rFonts w:ascii="Arial" w:cs="Arial" w:eastAsia="Arial" w:hAnsi="Arial"/>
          <w:sz w:val="20"/>
          <w:szCs w:val="20"/>
          <w:color w:val="auto"/>
        </w:rPr>
        <w:t>this Section 6.07 or any other provisions of this Agreement.</w:t>
      </w:r>
    </w:p>
    <w:p>
      <w:pPr>
        <w:spacing w:after="0" w:line="230" w:lineRule="exact"/>
        <w:rPr>
          <w:sz w:val="20"/>
          <w:szCs w:val="20"/>
          <w:color w:val="auto"/>
        </w:rPr>
      </w:pPr>
    </w:p>
    <w:p>
      <w:pPr>
        <w:jc w:val="both"/>
        <w:ind w:right="60" w:firstLine="1499"/>
        <w:spacing w:after="0" w:line="269" w:lineRule="auto"/>
        <w:tabs>
          <w:tab w:leader="none" w:pos="2231" w:val="left"/>
        </w:tabs>
        <w:numPr>
          <w:ilvl w:val="0"/>
          <w:numId w:val="298"/>
        </w:numPr>
        <w:rPr>
          <w:rFonts w:ascii="Arial" w:cs="Arial" w:eastAsia="Arial" w:hAnsi="Arial"/>
          <w:sz w:val="19"/>
          <w:szCs w:val="19"/>
          <w:color w:val="010000"/>
        </w:rPr>
      </w:pPr>
      <w:r>
        <w:rPr>
          <w:rFonts w:ascii="Arial" w:cs="Arial" w:eastAsia="Arial" w:hAnsi="Arial"/>
          <w:sz w:val="19"/>
          <w:szCs w:val="19"/>
          <w:color w:val="auto"/>
        </w:rPr>
        <w:t xml:space="preserve">other Restricted Payments made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the date of declaration of such Restricted Payments, (x) no Specified Event of Default shall have occurred and be continuing or would result therefrom and (y) on a Pro Forma Basis, the Total Net Leverage Ratio is equal to or less than 4.50 to 1.00;</w:t>
      </w:r>
    </w:p>
    <w:p>
      <w:pPr>
        <w:spacing w:after="0" w:line="195" w:lineRule="exact"/>
        <w:rPr>
          <w:rFonts w:ascii="Arial" w:cs="Arial" w:eastAsia="Arial" w:hAnsi="Arial"/>
          <w:sz w:val="19"/>
          <w:szCs w:val="19"/>
          <w:color w:val="010000"/>
        </w:rPr>
      </w:pPr>
    </w:p>
    <w:p>
      <w:pPr>
        <w:ind w:left="2240" w:hanging="741"/>
        <w:spacing w:after="0"/>
        <w:tabs>
          <w:tab w:leader="none" w:pos="2240" w:val="left"/>
        </w:tabs>
        <w:numPr>
          <w:ilvl w:val="0"/>
          <w:numId w:val="298"/>
        </w:numPr>
        <w:rPr>
          <w:rFonts w:ascii="Arial" w:cs="Arial" w:eastAsia="Arial" w:hAnsi="Arial"/>
          <w:sz w:val="20"/>
          <w:szCs w:val="20"/>
          <w:color w:val="010000"/>
        </w:rPr>
      </w:pPr>
      <w:r>
        <w:rPr>
          <w:rFonts w:ascii="Arial" w:cs="Arial" w:eastAsia="Arial" w:hAnsi="Arial"/>
          <w:sz w:val="20"/>
          <w:szCs w:val="20"/>
          <w:color w:val="auto"/>
        </w:rPr>
        <w:t>the Borrower may make Restricted Payments in cash to Holdings or any Holdings Parent:</w:t>
      </w:r>
    </w:p>
    <w:p>
      <w:pPr>
        <w:spacing w:after="0" w:line="188" w:lineRule="exact"/>
        <w:rPr>
          <w:rFonts w:ascii="Arial" w:cs="Arial" w:eastAsia="Arial" w:hAnsi="Arial"/>
          <w:sz w:val="20"/>
          <w:szCs w:val="20"/>
          <w:color w:val="010000"/>
        </w:rPr>
      </w:pPr>
    </w:p>
    <w:p>
      <w:pPr>
        <w:jc w:val="both"/>
        <w:ind w:left="740" w:firstLine="1507"/>
        <w:spacing w:after="0" w:line="272" w:lineRule="auto"/>
        <w:tabs>
          <w:tab w:leader="none" w:pos="2974" w:val="left"/>
        </w:tabs>
        <w:numPr>
          <w:ilvl w:val="1"/>
          <w:numId w:val="298"/>
        </w:numPr>
        <w:rPr>
          <w:rFonts w:ascii="Arial" w:cs="Arial" w:eastAsia="Arial" w:hAnsi="Arial"/>
          <w:sz w:val="18"/>
          <w:szCs w:val="18"/>
          <w:color w:val="010000"/>
        </w:rPr>
      </w:pPr>
      <w:r>
        <w:rPr>
          <w:rFonts w:ascii="Arial" w:cs="Arial" w:eastAsia="Arial" w:hAnsi="Arial"/>
          <w:sz w:val="18"/>
          <w:szCs w:val="18"/>
          <w:color w:val="auto"/>
        </w:rPr>
        <w:t>as distributions by the Borrower or any Restricted Subsidiary to Holdings or any Holdings Parent in amounts required for Holdings or any Holdings Parent to pay, with respect to any taxable period in which the Borrower and/or any of the Restricted Subsidiaries is a member of a consolidated, combined, unitary or similar tax group (a “</w:t>
      </w:r>
      <w:r>
        <w:rPr>
          <w:rFonts w:ascii="Arial" w:cs="Arial" w:eastAsia="Arial" w:hAnsi="Arial"/>
          <w:sz w:val="18"/>
          <w:szCs w:val="18"/>
          <w:u w:val="single" w:color="auto"/>
          <w:color w:val="auto"/>
        </w:rPr>
        <w:t>Tax Group</w:t>
      </w:r>
      <w:r>
        <w:rPr>
          <w:rFonts w:ascii="Arial" w:cs="Arial" w:eastAsia="Arial" w:hAnsi="Arial"/>
          <w:sz w:val="18"/>
          <w:szCs w:val="18"/>
          <w:color w:val="auto"/>
        </w:rPr>
        <w:t xml:space="preserve">”) of which Holdings or such Holdings Parent is the common parent, non-U.S. taxes that are attributable to the taxable income, revenue, receipts, gross receipts, gross profits, capital or margin of the Borrower and/or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each taxable period, the amount of such payments made in respect of such taxable period in the aggregate shall not exceed the amount of such taxes that the Borrower and its Subsidiaries would have been required to pay if they were a stand-alone Tax Group with the Borrower as the corporate common parent of such stand-alone Tax Group (collectively, “</w:t>
      </w:r>
      <w:r>
        <w:rPr>
          <w:rFonts w:ascii="Arial" w:cs="Arial" w:eastAsia="Arial" w:hAnsi="Arial"/>
          <w:sz w:val="18"/>
          <w:szCs w:val="18"/>
          <w:u w:val="single" w:color="auto"/>
          <w:color w:val="auto"/>
        </w:rPr>
        <w:t>Tax Distributions</w:t>
      </w:r>
      <w:r>
        <w:rPr>
          <w:rFonts w:ascii="Arial" w:cs="Arial" w:eastAsia="Arial" w:hAnsi="Arial"/>
          <w:sz w:val="18"/>
          <w:szCs w:val="18"/>
          <w:color w:val="auto"/>
        </w:rPr>
        <w:t>”);</w:t>
      </w:r>
    </w:p>
    <w:p>
      <w:pPr>
        <w:spacing w:after="0" w:line="181" w:lineRule="exact"/>
        <w:rPr>
          <w:rFonts w:ascii="Arial" w:cs="Arial" w:eastAsia="Arial" w:hAnsi="Arial"/>
          <w:sz w:val="18"/>
          <w:szCs w:val="18"/>
          <w:color w:val="010000"/>
        </w:rPr>
      </w:pPr>
    </w:p>
    <w:p>
      <w:pPr>
        <w:jc w:val="both"/>
        <w:ind w:left="740" w:right="40" w:firstLine="1507"/>
        <w:spacing w:after="0" w:line="270" w:lineRule="auto"/>
        <w:tabs>
          <w:tab w:leader="none" w:pos="2970" w:val="left"/>
        </w:tabs>
        <w:numPr>
          <w:ilvl w:val="1"/>
          <w:numId w:val="298"/>
        </w:numPr>
        <w:rPr>
          <w:rFonts w:ascii="Arial" w:cs="Arial" w:eastAsia="Arial" w:hAnsi="Arial"/>
          <w:sz w:val="18"/>
          <w:szCs w:val="18"/>
          <w:color w:val="010000"/>
        </w:rPr>
      </w:pPr>
      <w:r>
        <w:rPr>
          <w:rFonts w:ascii="Arial" w:cs="Arial" w:eastAsia="Arial" w:hAnsi="Arial"/>
          <w:sz w:val="18"/>
          <w:szCs w:val="18"/>
          <w:color w:val="auto"/>
        </w:rPr>
        <w:t>the proceeds of which shall be used by Holdings or a direct or indirect parent of the Borrower to pay (or to make Restricted Payments to allow any direct or indirect parent of Holdings or such direct or indirect parent of the Borrower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Holdings or any direct or indirect parent of the Borrower attributable to the ownership or operations of the Borrower and the Restricted Subsidiaries, (3) fees and expenses (x) due and payable by Holdings, the Borrower and the Restricted Subsidiaries and (y) otherwise permitted to be paid by Holdings, the Borrower and any Restricted Subsidiaries under this Agreement, (4) [reserved], (5) to satisfy indemnity and other obligations under acquisition or other agreements and (6) amounts that would otherwise be permitted to be paid pursuant to Section 5.15;</w:t>
      </w:r>
    </w:p>
    <w:p>
      <w:pPr>
        <w:spacing w:after="0" w:line="199" w:lineRule="exact"/>
        <w:rPr>
          <w:rFonts w:ascii="Arial" w:cs="Arial" w:eastAsia="Arial" w:hAnsi="Arial"/>
          <w:sz w:val="18"/>
          <w:szCs w:val="18"/>
          <w:color w:val="010000"/>
        </w:rPr>
      </w:pPr>
    </w:p>
    <w:p>
      <w:pPr>
        <w:jc w:val="both"/>
        <w:ind w:left="740" w:right="60" w:firstLine="1507"/>
        <w:spacing w:after="0" w:line="249" w:lineRule="auto"/>
        <w:tabs>
          <w:tab w:leader="none" w:pos="2970" w:val="left"/>
        </w:tabs>
        <w:numPr>
          <w:ilvl w:val="1"/>
          <w:numId w:val="298"/>
        </w:numPr>
        <w:rPr>
          <w:rFonts w:ascii="Arial" w:cs="Arial" w:eastAsia="Arial" w:hAnsi="Arial"/>
          <w:sz w:val="20"/>
          <w:szCs w:val="20"/>
          <w:color w:val="010000"/>
        </w:rPr>
      </w:pPr>
      <w:r>
        <w:rPr>
          <w:rFonts w:ascii="Arial" w:cs="Arial" w:eastAsia="Arial" w:hAnsi="Arial"/>
          <w:sz w:val="20"/>
          <w:szCs w:val="20"/>
          <w:color w:val="auto"/>
        </w:rPr>
        <w:t>the proceeds of which shall be used by Holdings or a direct or indirect parent of the Borrower to pay franchise and similar Taxes, and other fees and expenses, required to maintain its corporate or other legal existence;</w:t>
      </w:r>
    </w:p>
    <w:p>
      <w:pPr>
        <w:spacing w:after="0" w:line="201" w:lineRule="exact"/>
        <w:rPr>
          <w:rFonts w:ascii="Arial" w:cs="Arial" w:eastAsia="Arial" w:hAnsi="Arial"/>
          <w:sz w:val="20"/>
          <w:szCs w:val="20"/>
          <w:color w:val="010000"/>
        </w:rPr>
      </w:pPr>
    </w:p>
    <w:p>
      <w:pPr>
        <w:jc w:val="both"/>
        <w:ind w:left="740" w:firstLine="1507"/>
        <w:spacing w:after="0" w:line="316" w:lineRule="auto"/>
        <w:tabs>
          <w:tab w:leader="none" w:pos="2975" w:val="left"/>
        </w:tabs>
        <w:numPr>
          <w:ilvl w:val="1"/>
          <w:numId w:val="298"/>
        </w:numPr>
        <w:rPr>
          <w:rFonts w:ascii="Arial" w:cs="Arial" w:eastAsia="Arial" w:hAnsi="Arial"/>
          <w:sz w:val="16"/>
          <w:szCs w:val="16"/>
          <w:color w:val="010000"/>
        </w:rPr>
      </w:pPr>
      <w:r>
        <w:rPr>
          <w:rFonts w:ascii="Arial" w:cs="Arial" w:eastAsia="Arial" w:hAnsi="Arial"/>
          <w:sz w:val="16"/>
          <w:szCs w:val="16"/>
          <w:color w:val="auto"/>
        </w:rPr>
        <w:t xml:space="preserve">to finance any Investment made by Holdings or a direct or indirect parent of the Borrower that, if made by the Borrower, would be permitted to be made pursuant to Section 6.04;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Restricted Payment shall be made substantially concurrently with the closing of such Investment and (B) Holdings or such direct or indirect parent of the Borrower shall, immediately following the closing thereof, cause (1) all property acquired (whether assets or Equity Interests but not including any loans or advances made pursuant to Section 6.04(b)) to be contributed to the Borrower or its Restricted Subsidiaries or (2) the Person formed or acquired to merge into or</w:t>
      </w:r>
    </w:p>
    <w:p>
      <w:pPr>
        <w:spacing w:after="0" w:line="138"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66040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1240" w:top="122" w:right="499" w:bottom="1440" w:gutter="0" w:footer="0" w:header="0"/>
        </w:sectPr>
      </w:pPr>
    </w:p>
    <w:bookmarkStart w:id="325" w:name="page326"/>
    <w:bookmarkEnd w:id="325"/>
    <w:p>
      <w:pPr>
        <w:jc w:val="both"/>
        <w:ind w:left="540"/>
        <w:spacing w:after="0" w:line="250" w:lineRule="auto"/>
        <w:rPr>
          <w:sz w:val="20"/>
          <w:szCs w:val="20"/>
          <w:color w:val="auto"/>
        </w:rPr>
      </w:pPr>
      <w:r>
        <w:rPr>
          <w:rFonts w:ascii="Arial" w:cs="Arial" w:eastAsia="Arial" w:hAnsi="Arial"/>
          <w:sz w:val="20"/>
          <w:szCs w:val="20"/>
          <w:color w:val="auto"/>
        </w:rPr>
        <w:t>amalgamate or consolidate with the Borrower or any of the Restricted Subsidiaries to the extent such merger, amalgamation or consolidation is permitted in Section 6.03) in order to consummate such Investment, in each case in accordance with the requirements of Sections 5.11 and 5.12;</w:t>
      </w:r>
    </w:p>
    <w:p>
      <w:pPr>
        <w:spacing w:after="0" w:line="199" w:lineRule="exact"/>
        <w:rPr>
          <w:sz w:val="20"/>
          <w:szCs w:val="20"/>
          <w:color w:val="auto"/>
        </w:rPr>
      </w:pPr>
    </w:p>
    <w:p>
      <w:pPr>
        <w:jc w:val="both"/>
        <w:ind w:left="540" w:right="60" w:firstLine="1507"/>
        <w:spacing w:after="0" w:line="263" w:lineRule="auto"/>
        <w:tabs>
          <w:tab w:leader="none" w:pos="2770" w:val="left"/>
        </w:tabs>
        <w:numPr>
          <w:ilvl w:val="2"/>
          <w:numId w:val="299"/>
        </w:numPr>
        <w:rPr>
          <w:rFonts w:ascii="Arial" w:cs="Arial" w:eastAsia="Arial" w:hAnsi="Arial"/>
          <w:sz w:val="19"/>
          <w:szCs w:val="19"/>
          <w:color w:val="010000"/>
        </w:rPr>
      </w:pPr>
      <w:r>
        <w:rPr>
          <w:rFonts w:ascii="Arial" w:cs="Arial" w:eastAsia="Arial" w:hAnsi="Arial"/>
          <w:sz w:val="19"/>
          <w:szCs w:val="19"/>
          <w:color w:val="auto"/>
        </w:rPr>
        <w:t>the proceeds of which shall be used to pay (or to make Restricted Payments to allow Holdings or a direct or indirect parent of the Borrower to pay) (1) fees and expenses related to any actual or proposed equity or debt offering not prohibited by this Agreement and (2) advisory, refinancing, transaction and exit fees and expenses attributable to the business of the Borrower and the Restricted Subsidiaries;</w:t>
      </w:r>
    </w:p>
    <w:p>
      <w:pPr>
        <w:spacing w:after="0" w:line="201" w:lineRule="exact"/>
        <w:rPr>
          <w:rFonts w:ascii="Arial" w:cs="Arial" w:eastAsia="Arial" w:hAnsi="Arial"/>
          <w:sz w:val="19"/>
          <w:szCs w:val="19"/>
          <w:color w:val="010000"/>
        </w:rPr>
      </w:pPr>
    </w:p>
    <w:p>
      <w:pPr>
        <w:jc w:val="both"/>
        <w:ind w:left="540" w:right="60" w:firstLine="1507"/>
        <w:spacing w:after="0" w:line="246" w:lineRule="auto"/>
        <w:tabs>
          <w:tab w:leader="none" w:pos="2771" w:val="left"/>
        </w:tabs>
        <w:numPr>
          <w:ilvl w:val="2"/>
          <w:numId w:val="299"/>
        </w:numPr>
        <w:rPr>
          <w:rFonts w:ascii="Arial" w:cs="Arial" w:eastAsia="Arial" w:hAnsi="Arial"/>
          <w:sz w:val="20"/>
          <w:szCs w:val="20"/>
          <w:color w:val="010000"/>
        </w:rPr>
      </w:pPr>
      <w:r>
        <w:rPr>
          <w:rFonts w:ascii="Arial" w:cs="Arial" w:eastAsia="Arial" w:hAnsi="Arial"/>
          <w:sz w:val="20"/>
          <w:szCs w:val="20"/>
          <w:color w:val="auto"/>
        </w:rPr>
        <w:t>the proceeds of which shall be used to pay customary salary, bonus and other benefits payable to officers and employees of Holdings or any direct or indirect parent of the Borrower to the extent such salaries, bonuses and other benefits are attributable to the ownership or operation of the Borrower and the Restricted Subsidiaries; and</w:t>
      </w:r>
    </w:p>
    <w:p>
      <w:pPr>
        <w:spacing w:after="0" w:line="203" w:lineRule="exact"/>
        <w:rPr>
          <w:rFonts w:ascii="Arial" w:cs="Arial" w:eastAsia="Arial" w:hAnsi="Arial"/>
          <w:sz w:val="20"/>
          <w:szCs w:val="20"/>
          <w:color w:val="010000"/>
        </w:rPr>
      </w:pPr>
    </w:p>
    <w:p>
      <w:pPr>
        <w:ind w:left="2780" w:hanging="733"/>
        <w:spacing w:after="0"/>
        <w:tabs>
          <w:tab w:leader="none" w:pos="2780" w:val="left"/>
        </w:tabs>
        <w:numPr>
          <w:ilvl w:val="2"/>
          <w:numId w:val="299"/>
        </w:numPr>
        <w:rPr>
          <w:rFonts w:ascii="Arial" w:cs="Arial" w:eastAsia="Arial" w:hAnsi="Arial"/>
          <w:sz w:val="18"/>
          <w:szCs w:val="18"/>
          <w:color w:val="010000"/>
        </w:rPr>
      </w:pPr>
      <w:r>
        <w:rPr>
          <w:rFonts w:ascii="Arial" w:cs="Arial" w:eastAsia="Arial" w:hAnsi="Arial"/>
          <w:sz w:val="18"/>
          <w:szCs w:val="18"/>
          <w:color w:val="auto"/>
        </w:rPr>
        <w:t>the proceeds of which shall be used to make payments permitted by clause (b)(iv) and (b)</w:t>
      </w:r>
    </w:p>
    <w:p>
      <w:pPr>
        <w:spacing w:after="0" w:line="38" w:lineRule="exact"/>
        <w:rPr>
          <w:rFonts w:ascii="Arial" w:cs="Arial" w:eastAsia="Arial" w:hAnsi="Arial"/>
          <w:sz w:val="18"/>
          <w:szCs w:val="18"/>
          <w:color w:val="010000"/>
        </w:rPr>
      </w:pPr>
    </w:p>
    <w:p>
      <w:pPr>
        <w:ind w:left="820" w:hanging="270"/>
        <w:spacing w:after="0"/>
        <w:tabs>
          <w:tab w:leader="none" w:pos="82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of Section 6.07;</w:t>
      </w:r>
    </w:p>
    <w:p>
      <w:pPr>
        <w:spacing w:after="0" w:line="225" w:lineRule="exact"/>
        <w:rPr>
          <w:rFonts w:ascii="Arial" w:cs="Arial" w:eastAsia="Arial" w:hAnsi="Arial"/>
          <w:sz w:val="20"/>
          <w:szCs w:val="20"/>
          <w:color w:val="auto"/>
        </w:rPr>
      </w:pPr>
    </w:p>
    <w:p>
      <w:pPr>
        <w:jc w:val="both"/>
        <w:ind w:left="-200" w:right="60" w:firstLine="1499"/>
        <w:spacing w:after="0" w:line="275" w:lineRule="auto"/>
        <w:tabs>
          <w:tab w:leader="none" w:pos="2031" w:val="left"/>
        </w:tabs>
        <w:numPr>
          <w:ilvl w:val="1"/>
          <w:numId w:val="300"/>
        </w:numPr>
        <w:rPr>
          <w:rFonts w:ascii="Arial" w:cs="Arial" w:eastAsia="Arial" w:hAnsi="Arial"/>
          <w:sz w:val="18"/>
          <w:szCs w:val="18"/>
          <w:color w:val="010000"/>
        </w:rPr>
      </w:pPr>
      <w:r>
        <w:rPr>
          <w:rFonts w:ascii="Arial" w:cs="Arial" w:eastAsia="Arial" w:hAnsi="Arial"/>
          <w:sz w:val="18"/>
          <w:szCs w:val="18"/>
          <w:color w:val="auto"/>
        </w:rPr>
        <w:t xml:space="preserve">in addition to the foregoing Restricted Payments, the Borrower may make additional Restricted Payments, in an aggregate amount not to exceed the sum of (A) the Available Amount that is Not Otherwise Applied as in effect immediately prior to the time of making of such Restricted Payment, plus (B) the Available Equity Amount that is Not Otherwise Applied as in effect immediately prior to the time of making of such Restricted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amounts included in the definition of “Available Amount” may only be used for Restricted Payments so long as no Specified Event of Default shall have occurred and be continuing at the time of declaration of such Restricted Payment;</w:t>
      </w:r>
    </w:p>
    <w:p>
      <w:pPr>
        <w:spacing w:after="0" w:line="181" w:lineRule="exact"/>
        <w:rPr>
          <w:rFonts w:ascii="Arial" w:cs="Arial" w:eastAsia="Arial" w:hAnsi="Arial"/>
          <w:sz w:val="18"/>
          <w:szCs w:val="18"/>
          <w:color w:val="010000"/>
        </w:rPr>
      </w:pPr>
    </w:p>
    <w:p>
      <w:pPr>
        <w:jc w:val="both"/>
        <w:ind w:left="-200" w:right="80" w:firstLine="1499"/>
        <w:spacing w:after="0" w:line="246" w:lineRule="auto"/>
        <w:tabs>
          <w:tab w:leader="none" w:pos="2031" w:val="left"/>
        </w:tabs>
        <w:numPr>
          <w:ilvl w:val="1"/>
          <w:numId w:val="300"/>
        </w:numPr>
        <w:rPr>
          <w:rFonts w:ascii="Arial" w:cs="Arial" w:eastAsia="Arial" w:hAnsi="Arial"/>
          <w:sz w:val="20"/>
          <w:szCs w:val="20"/>
          <w:color w:val="010000"/>
        </w:rPr>
      </w:pPr>
      <w:r>
        <w:rPr>
          <w:rFonts w:ascii="Arial" w:cs="Arial" w:eastAsia="Arial" w:hAnsi="Arial"/>
          <w:sz w:val="20"/>
          <w:szCs w:val="20"/>
          <w:color w:val="auto"/>
        </w:rPr>
        <w:t xml:space="preserve">redemptions in whole or in part of any of its Equity Interests for another class of its Equity Interests or with proceeds from substantially concurrent equity contributions or issuances of new Equity Interests; </w:t>
      </w:r>
      <w:r>
        <w:rPr>
          <w:rFonts w:ascii="Arial" w:cs="Arial" w:eastAsia="Arial" w:hAnsi="Arial"/>
          <w:sz w:val="20"/>
          <w:szCs w:val="20"/>
          <w:u w:val="single" w:color="auto"/>
          <w:color w:val="auto"/>
        </w:rPr>
        <w:t>provided</w:t>
      </w:r>
      <w:r>
        <w:rPr>
          <w:rFonts w:ascii="Arial" w:cs="Arial" w:eastAsia="Arial" w:hAnsi="Arial"/>
          <w:sz w:val="20"/>
          <w:szCs w:val="20"/>
          <w:color w:val="auto"/>
        </w:rPr>
        <w:t>, that such new Equity Interests contain terms and provisions at least as advantageous to the Lenders in all respects material to their interests as those contained in the Equity Interests redeemed thereby;</w:t>
      </w:r>
    </w:p>
    <w:p>
      <w:pPr>
        <w:spacing w:after="0" w:line="216" w:lineRule="exact"/>
        <w:rPr>
          <w:rFonts w:ascii="Arial" w:cs="Arial" w:eastAsia="Arial" w:hAnsi="Arial"/>
          <w:sz w:val="20"/>
          <w:szCs w:val="20"/>
          <w:color w:val="010000"/>
        </w:rPr>
      </w:pPr>
    </w:p>
    <w:p>
      <w:pPr>
        <w:jc w:val="both"/>
        <w:ind w:left="-200" w:right="60" w:firstLine="1499"/>
        <w:spacing w:after="0" w:line="246" w:lineRule="auto"/>
        <w:tabs>
          <w:tab w:leader="none" w:pos="2032" w:val="left"/>
        </w:tabs>
        <w:numPr>
          <w:ilvl w:val="1"/>
          <w:numId w:val="300"/>
        </w:numPr>
        <w:rPr>
          <w:rFonts w:ascii="Arial" w:cs="Arial" w:eastAsia="Arial" w:hAnsi="Arial"/>
          <w:sz w:val="20"/>
          <w:szCs w:val="20"/>
          <w:color w:val="010000"/>
        </w:rPr>
      </w:pPr>
      <w:r>
        <w:rPr>
          <w:rFonts w:ascii="Arial" w:cs="Arial" w:eastAsia="Arial" w:hAnsi="Arial"/>
          <w:sz w:val="20"/>
          <w:szCs w:val="20"/>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203" w:lineRule="exact"/>
        <w:rPr>
          <w:rFonts w:ascii="Arial" w:cs="Arial" w:eastAsia="Arial" w:hAnsi="Arial"/>
          <w:sz w:val="20"/>
          <w:szCs w:val="20"/>
          <w:color w:val="010000"/>
        </w:rPr>
      </w:pPr>
    </w:p>
    <w:p>
      <w:pPr>
        <w:jc w:val="both"/>
        <w:ind w:left="-200" w:firstLine="1499"/>
        <w:spacing w:after="0" w:line="244" w:lineRule="auto"/>
        <w:tabs>
          <w:tab w:leader="none" w:pos="2035" w:val="left"/>
        </w:tabs>
        <w:numPr>
          <w:ilvl w:val="1"/>
          <w:numId w:val="300"/>
        </w:numPr>
        <w:rPr>
          <w:rFonts w:ascii="Arial" w:cs="Arial" w:eastAsia="Arial" w:hAnsi="Arial"/>
          <w:sz w:val="20"/>
          <w:szCs w:val="20"/>
          <w:color w:val="010000"/>
        </w:rPr>
      </w:pPr>
      <w:r>
        <w:rPr>
          <w:rFonts w:ascii="Arial" w:cs="Arial" w:eastAsia="Arial" w:hAnsi="Arial"/>
          <w:sz w:val="20"/>
          <w:szCs w:val="20"/>
          <w:color w:val="auto"/>
        </w:rPr>
        <w:t>payments to Holdings or any Holdings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219" w:lineRule="exact"/>
        <w:rPr>
          <w:rFonts w:ascii="Arial" w:cs="Arial" w:eastAsia="Arial" w:hAnsi="Arial"/>
          <w:sz w:val="20"/>
          <w:szCs w:val="20"/>
          <w:color w:val="010000"/>
        </w:rPr>
      </w:pPr>
    </w:p>
    <w:p>
      <w:pPr>
        <w:jc w:val="both"/>
        <w:ind w:left="-200" w:right="80" w:firstLine="1499"/>
        <w:spacing w:after="0" w:line="249" w:lineRule="auto"/>
        <w:tabs>
          <w:tab w:leader="none" w:pos="2031" w:val="left"/>
        </w:tabs>
        <w:numPr>
          <w:ilvl w:val="1"/>
          <w:numId w:val="300"/>
        </w:numPr>
        <w:rPr>
          <w:rFonts w:ascii="Arial" w:cs="Arial" w:eastAsia="Arial" w:hAnsi="Arial"/>
          <w:sz w:val="20"/>
          <w:szCs w:val="20"/>
          <w:color w:val="010000"/>
        </w:rPr>
      </w:pPr>
      <w:r>
        <w:rPr>
          <w:rFonts w:ascii="Arial" w:cs="Arial" w:eastAsia="Arial" w:hAnsi="Arial"/>
          <w:sz w:val="20"/>
          <w:szCs w:val="20"/>
          <w:color w:val="auto"/>
        </w:rPr>
        <w:t>payments made or expected to be made by Holdings, any Holdings Parent, the Borrower or any Restricted Subsidiary in respect of withholding or similar taxes payable upon exercise of Equity Interests by any future, present or former employee, director, officer, manager</w:t>
      </w:r>
    </w:p>
    <w:p>
      <w:pPr>
        <w:spacing w:after="0" w:line="188"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121" w:right="479" w:bottom="1440" w:gutter="0" w:footer="0" w:header="0"/>
        </w:sectPr>
      </w:pPr>
    </w:p>
    <w:bookmarkStart w:id="326" w:name="page327"/>
    <w:bookmarkEnd w:id="326"/>
    <w:p>
      <w:pPr>
        <w:jc w:val="both"/>
        <w:ind w:left="740" w:right="60"/>
        <w:spacing w:after="0" w:line="250" w:lineRule="auto"/>
        <w:rPr>
          <w:sz w:val="20"/>
          <w:szCs w:val="20"/>
          <w:color w:val="auto"/>
        </w:rPr>
      </w:pPr>
      <w:r>
        <w:rPr>
          <w:rFonts w:ascii="Arial" w:cs="Arial" w:eastAsia="Arial" w:hAnsi="Arial"/>
          <w:sz w:val="20"/>
          <w:szCs w:val="20"/>
          <w:color w:val="auto"/>
        </w:rPr>
        <w:t>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199" w:lineRule="exact"/>
        <w:rPr>
          <w:sz w:val="20"/>
          <w:szCs w:val="20"/>
          <w:color w:val="auto"/>
        </w:rPr>
      </w:pPr>
    </w:p>
    <w:p>
      <w:pPr>
        <w:jc w:val="both"/>
        <w:ind w:left="740" w:right="60" w:firstLine="1499"/>
        <w:spacing w:after="0" w:line="246" w:lineRule="auto"/>
        <w:tabs>
          <w:tab w:leader="none" w:pos="2971" w:val="left"/>
        </w:tabs>
        <w:numPr>
          <w:ilvl w:val="1"/>
          <w:numId w:val="301"/>
        </w:numPr>
        <w:rPr>
          <w:rFonts w:ascii="Arial" w:cs="Arial" w:eastAsia="Arial" w:hAnsi="Arial"/>
          <w:sz w:val="20"/>
          <w:szCs w:val="20"/>
          <w:color w:val="010000"/>
        </w:rPr>
      </w:pPr>
      <w:r>
        <w:rPr>
          <w:rFonts w:ascii="Arial" w:cs="Arial" w:eastAsia="Arial" w:hAnsi="Arial"/>
          <w:sz w:val="20"/>
          <w:szCs w:val="20"/>
          <w:color w:val="auto"/>
        </w:rPr>
        <w:t>the distribution, by dividend or otherwise, of shares of Equity Interests of, or Indebtedness owed to Holdings, any Holdings Parent, the Borrower or any Restricted Subsidiary by, Unrestricted Subsidiaries (other than Unrestricted Subsidiaries, the primary assets of which are Permitted Investments) received as Permitted Investments from the Borrower or a Restricted Subsidiary;</w:t>
      </w:r>
    </w:p>
    <w:p>
      <w:pPr>
        <w:spacing w:after="0" w:line="216" w:lineRule="exact"/>
        <w:rPr>
          <w:rFonts w:ascii="Arial" w:cs="Arial" w:eastAsia="Arial" w:hAnsi="Arial"/>
          <w:sz w:val="20"/>
          <w:szCs w:val="20"/>
          <w:color w:val="010000"/>
        </w:rPr>
      </w:pPr>
    </w:p>
    <w:p>
      <w:pPr>
        <w:jc w:val="both"/>
        <w:ind w:left="740" w:right="60" w:firstLine="1499"/>
        <w:spacing w:after="0" w:line="243" w:lineRule="auto"/>
        <w:tabs>
          <w:tab w:leader="none" w:pos="2971" w:val="left"/>
        </w:tabs>
        <w:numPr>
          <w:ilvl w:val="1"/>
          <w:numId w:val="301"/>
        </w:numPr>
        <w:rPr>
          <w:rFonts w:ascii="Arial" w:cs="Arial" w:eastAsia="Arial" w:hAnsi="Arial"/>
          <w:sz w:val="20"/>
          <w:szCs w:val="20"/>
          <w:color w:val="010000"/>
        </w:rPr>
      </w:pPr>
      <w:r>
        <w:rPr>
          <w:rFonts w:ascii="Arial" w:cs="Arial" w:eastAsia="Arial" w:hAnsi="Arial"/>
          <w:sz w:val="20"/>
          <w:szCs w:val="20"/>
          <w:color w:val="auto"/>
        </w:rPr>
        <w:t>the declaration and payment of a Restricted Payment to Holdings on account of Holdings’ common stock (or the payment by the Borrower to Holdings or any Holdings Parent) to fund redemptions or share repurchases of such company’s common stock or a payment of dividends on such company’s common stock, in any fiscal year of the Borrower in an amount not to exceed the sum of (x) 7.0% per annum of the net cash proceeds of a public offering of common stock received by or contributed to the Borrower or any Subsidiary Loan Party and (y) 7.0% of the Market Capitalization of Holdings or such Holdings Parent;</w:t>
      </w:r>
    </w:p>
    <w:p>
      <w:pPr>
        <w:spacing w:after="0" w:line="207" w:lineRule="exact"/>
        <w:rPr>
          <w:rFonts w:ascii="Arial" w:cs="Arial" w:eastAsia="Arial" w:hAnsi="Arial"/>
          <w:sz w:val="20"/>
          <w:szCs w:val="20"/>
          <w:color w:val="010000"/>
        </w:rPr>
      </w:pPr>
    </w:p>
    <w:p>
      <w:pPr>
        <w:jc w:val="both"/>
        <w:ind w:left="740" w:right="60" w:firstLine="1499"/>
        <w:spacing w:after="0" w:line="249" w:lineRule="auto"/>
        <w:tabs>
          <w:tab w:leader="none" w:pos="2971" w:val="left"/>
        </w:tabs>
        <w:numPr>
          <w:ilvl w:val="1"/>
          <w:numId w:val="301"/>
        </w:numPr>
        <w:rPr>
          <w:rFonts w:ascii="Arial" w:cs="Arial" w:eastAsia="Arial" w:hAnsi="Arial"/>
          <w:sz w:val="20"/>
          <w:szCs w:val="20"/>
          <w:color w:val="010000"/>
        </w:rPr>
      </w:pPr>
      <w:r>
        <w:rPr>
          <w:rFonts w:ascii="Arial" w:cs="Arial" w:eastAsia="Arial" w:hAnsi="Arial"/>
          <w:sz w:val="20"/>
          <w:szCs w:val="20"/>
          <w:color w:val="auto"/>
        </w:rPr>
        <w:t>any distributions or payments of Securitization Fees, sales or contributions and other transfers of Securitization Assets and proceeds thereof and purchases of Securitization Assets, in each case in connection with a Qualified Securitization Facility;</w:t>
      </w:r>
    </w:p>
    <w:p>
      <w:pPr>
        <w:spacing w:after="0" w:line="214" w:lineRule="exact"/>
        <w:rPr>
          <w:rFonts w:ascii="Arial" w:cs="Arial" w:eastAsia="Arial" w:hAnsi="Arial"/>
          <w:sz w:val="20"/>
          <w:szCs w:val="20"/>
          <w:color w:val="010000"/>
        </w:rPr>
      </w:pPr>
    </w:p>
    <w:p>
      <w:pPr>
        <w:ind w:left="2980" w:hanging="741"/>
        <w:spacing w:after="0"/>
        <w:tabs>
          <w:tab w:leader="none" w:pos="2980" w:val="left"/>
        </w:tabs>
        <w:numPr>
          <w:ilvl w:val="1"/>
          <w:numId w:val="301"/>
        </w:numPr>
        <w:rPr>
          <w:rFonts w:ascii="Arial" w:cs="Arial" w:eastAsia="Arial" w:hAnsi="Arial"/>
          <w:sz w:val="18"/>
          <w:szCs w:val="18"/>
          <w:color w:val="010000"/>
        </w:rPr>
      </w:pPr>
      <w:r>
        <w:rPr>
          <w:rFonts w:ascii="Arial" w:cs="Arial" w:eastAsia="Arial" w:hAnsi="Arial"/>
          <w:sz w:val="18"/>
          <w:szCs w:val="18"/>
          <w:color w:val="auto"/>
        </w:rPr>
        <w:t>Restricted Payments in an amount not to exceed the sum of (I) the greater of (A) $55,000,000 and</w:t>
      </w:r>
    </w:p>
    <w:p>
      <w:pPr>
        <w:spacing w:after="0" w:line="38" w:lineRule="exact"/>
        <w:rPr>
          <w:rFonts w:ascii="Arial" w:cs="Arial" w:eastAsia="Arial" w:hAnsi="Arial"/>
          <w:sz w:val="18"/>
          <w:szCs w:val="18"/>
          <w:color w:val="010000"/>
        </w:rPr>
      </w:pPr>
    </w:p>
    <w:p>
      <w:pPr>
        <w:jc w:val="both"/>
        <w:ind w:left="740" w:firstLine="1"/>
        <w:spacing w:after="0" w:line="271" w:lineRule="auto"/>
        <w:tabs>
          <w:tab w:leader="none" w:pos="106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40% of Consolidated EBITDA for the Test Period then last ended at the time of making such Restricted Payment plus (II) unused amounts available to make prepayments, redemptions, repurchases, defeasances and other payments of Junior Financing pursuant to Section 6.07(b)(iv)(A) (it being understood that the usage of such amounts for Restricted Payments under this clause (xvi) shall reduce the amounts available for prepayments, redemptions, repurchases, defeasances and other payments in respect of Junior Financing under such Section 6.07(b)(iv)(A)) plus (III) unused amounts available to make Investments pursuant to Section 6.04(bb) (it being understood that the usage for such amounts for Restricted Payments under this clause (xvi) shall reduce the amount available for Investments under such Section 6.04(bb));</w:t>
      </w:r>
    </w:p>
    <w:p>
      <w:pPr>
        <w:spacing w:after="0" w:line="181" w:lineRule="exact"/>
        <w:rPr>
          <w:rFonts w:ascii="Arial" w:cs="Arial" w:eastAsia="Arial" w:hAnsi="Arial"/>
          <w:sz w:val="18"/>
          <w:szCs w:val="18"/>
          <w:color w:val="auto"/>
        </w:rPr>
      </w:pPr>
    </w:p>
    <w:p>
      <w:pPr>
        <w:ind w:left="740" w:right="60" w:firstLine="1499"/>
        <w:spacing w:after="0" w:line="315" w:lineRule="auto"/>
        <w:tabs>
          <w:tab w:leader="none" w:pos="2971" w:val="left"/>
        </w:tabs>
        <w:numPr>
          <w:ilvl w:val="1"/>
          <w:numId w:val="302"/>
        </w:numPr>
        <w:rPr>
          <w:rFonts w:ascii="Arial" w:cs="Arial" w:eastAsia="Arial" w:hAnsi="Arial"/>
          <w:sz w:val="18"/>
          <w:szCs w:val="18"/>
          <w:color w:val="010000"/>
        </w:rPr>
      </w:pPr>
      <w:r>
        <w:rPr>
          <w:rFonts w:ascii="Arial" w:cs="Arial" w:eastAsia="Arial" w:hAnsi="Arial"/>
          <w:sz w:val="18"/>
          <w:szCs w:val="18"/>
          <w:color w:val="auto"/>
        </w:rPr>
        <w:t>to the extent constituting Restricted Payments, the Borrower and the Restricted Subsidiaries may consummate (1) transactions permitted pursuant to Section 6.03 and (2) make Investments permitted under Section 6.04;</w:t>
      </w:r>
    </w:p>
    <w:p>
      <w:pPr>
        <w:spacing w:after="0" w:line="157" w:lineRule="exact"/>
        <w:rPr>
          <w:rFonts w:ascii="Arial" w:cs="Arial" w:eastAsia="Arial" w:hAnsi="Arial"/>
          <w:sz w:val="18"/>
          <w:szCs w:val="18"/>
          <w:color w:val="010000"/>
        </w:rPr>
      </w:pPr>
    </w:p>
    <w:p>
      <w:pPr>
        <w:jc w:val="both"/>
        <w:ind w:left="740" w:right="60" w:firstLine="1499"/>
        <w:spacing w:after="0" w:line="246" w:lineRule="auto"/>
        <w:tabs>
          <w:tab w:leader="none" w:pos="2971" w:val="left"/>
        </w:tabs>
        <w:numPr>
          <w:ilvl w:val="1"/>
          <w:numId w:val="302"/>
        </w:numPr>
        <w:rPr>
          <w:rFonts w:ascii="Arial" w:cs="Arial" w:eastAsia="Arial" w:hAnsi="Arial"/>
          <w:sz w:val="20"/>
          <w:szCs w:val="20"/>
          <w:color w:val="010000"/>
        </w:rPr>
      </w:pPr>
      <w:r>
        <w:rPr>
          <w:rFonts w:ascii="Arial" w:cs="Arial" w:eastAsia="Arial" w:hAnsi="Arial"/>
          <w:sz w:val="20"/>
          <w:szCs w:val="20"/>
          <w:color w:val="auto"/>
        </w:rPr>
        <w:t>any Restricted Subsidiary may make a Restricted Payment in connection with the acquisition of additional Equity Interests in such Restricted Subsidiary from minority shareholders to the extent such acquisition would have been permitted (and to the extent so permitted shall constitute such Investment) by the parent company of such Restricted Subsidiary pursuant to Section 6.04; and</w:t>
      </w:r>
    </w:p>
    <w:p>
      <w:pPr>
        <w:spacing w:after="0" w:line="203" w:lineRule="exact"/>
        <w:rPr>
          <w:rFonts w:ascii="Arial" w:cs="Arial" w:eastAsia="Arial" w:hAnsi="Arial"/>
          <w:sz w:val="20"/>
          <w:szCs w:val="20"/>
          <w:color w:val="010000"/>
        </w:rPr>
      </w:pPr>
    </w:p>
    <w:p>
      <w:pPr>
        <w:ind w:left="2980" w:hanging="741"/>
        <w:spacing w:after="0"/>
        <w:tabs>
          <w:tab w:leader="none" w:pos="2980" w:val="left"/>
        </w:tabs>
        <w:numPr>
          <w:ilvl w:val="1"/>
          <w:numId w:val="302"/>
        </w:numPr>
        <w:rPr>
          <w:rFonts w:ascii="Arial" w:cs="Arial" w:eastAsia="Arial" w:hAnsi="Arial"/>
          <w:sz w:val="19"/>
          <w:szCs w:val="19"/>
          <w:color w:val="010000"/>
        </w:rPr>
      </w:pPr>
      <w:r>
        <w:rPr>
          <w:rFonts w:ascii="Arial" w:cs="Arial" w:eastAsia="Arial" w:hAnsi="Arial"/>
          <w:sz w:val="19"/>
          <w:szCs w:val="19"/>
          <w:color w:val="auto"/>
        </w:rPr>
        <w:t>Restricted Payments to Holdings to effectuate repayment of the Existing Convertible Notes.</w:t>
      </w:r>
    </w:p>
    <w:p>
      <w:pPr>
        <w:spacing w:after="0" w:line="253" w:lineRule="exact"/>
        <w:rPr>
          <w:sz w:val="20"/>
          <w:szCs w:val="20"/>
          <w:color w:val="auto"/>
        </w:rPr>
      </w:pPr>
    </w:p>
    <w:p>
      <w:pPr>
        <w:jc w:val="both"/>
        <w:ind w:right="60" w:firstLine="1490"/>
        <w:spacing w:after="0" w:line="246" w:lineRule="auto"/>
        <w:tabs>
          <w:tab w:leader="none" w:pos="2232" w:val="left"/>
        </w:tabs>
        <w:numPr>
          <w:ilvl w:val="0"/>
          <w:numId w:val="303"/>
        </w:numPr>
        <w:rPr>
          <w:rFonts w:ascii="Arial" w:cs="Arial" w:eastAsia="Arial" w:hAnsi="Arial"/>
          <w:sz w:val="20"/>
          <w:szCs w:val="20"/>
          <w:color w:val="auto"/>
        </w:rPr>
      </w:pPr>
      <w:r>
        <w:rPr>
          <w:rFonts w:ascii="Arial" w:cs="Arial" w:eastAsia="Arial" w:hAnsi="Arial"/>
          <w:sz w:val="20"/>
          <w:szCs w:val="20"/>
          <w:color w:val="auto"/>
        </w:rPr>
        <w:t>The Borrower will not, and will not permit any Restricted Subsidiary to, make any voluntary prepayment or other distribution (whether in cash, securities or other property) of or in respect of principal of or interest on any Junior Financing constituting Material Indebtedness (other than to the extent of any Retained Declined Proceeds applied in compliance with Section 2.11(e)), including 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color w:val="auto"/>
        </w:rPr>
        <w:t>sinking fund or similar deposit, on account of the purchase, redemption, retirement, acquisition, cancellation or termination of any such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Junior Financing, except:</w:t>
      </w:r>
    </w:p>
    <w:p>
      <w:pPr>
        <w:spacing w:after="0" w:line="212" w:lineRule="exact"/>
        <w:rPr>
          <w:sz w:val="20"/>
          <w:szCs w:val="20"/>
          <w:color w:val="auto"/>
        </w:rPr>
      </w:pPr>
    </w:p>
    <w:p>
      <w:pPr>
        <w:jc w:val="both"/>
        <w:ind w:left="740" w:right="60" w:firstLine="1499"/>
        <w:spacing w:after="0" w:line="246" w:lineRule="auto"/>
        <w:tabs>
          <w:tab w:leader="none" w:pos="2971" w:val="left"/>
        </w:tabs>
        <w:numPr>
          <w:ilvl w:val="1"/>
          <w:numId w:val="304"/>
        </w:numPr>
        <w:rPr>
          <w:rFonts w:ascii="Arial" w:cs="Arial" w:eastAsia="Arial" w:hAnsi="Arial"/>
          <w:sz w:val="20"/>
          <w:szCs w:val="20"/>
          <w:color w:val="010000"/>
        </w:rPr>
      </w:pPr>
      <w:r>
        <w:rPr>
          <w:rFonts w:ascii="Arial" w:cs="Arial" w:eastAsia="Arial" w:hAnsi="Arial"/>
          <w:sz w:val="20"/>
          <w:szCs w:val="20"/>
          <w:color w:val="auto"/>
        </w:rPr>
        <w:t>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216" w:lineRule="exact"/>
        <w:rPr>
          <w:rFonts w:ascii="Arial" w:cs="Arial" w:eastAsia="Arial" w:hAnsi="Arial"/>
          <w:sz w:val="20"/>
          <w:szCs w:val="20"/>
          <w:color w:val="010000"/>
        </w:rPr>
      </w:pPr>
    </w:p>
    <w:p>
      <w:pPr>
        <w:ind w:left="740" w:right="60" w:firstLine="1499"/>
        <w:spacing w:after="0" w:line="260" w:lineRule="auto"/>
        <w:tabs>
          <w:tab w:leader="none" w:pos="2971" w:val="left"/>
        </w:tabs>
        <w:numPr>
          <w:ilvl w:val="1"/>
          <w:numId w:val="304"/>
        </w:numPr>
        <w:rPr>
          <w:rFonts w:ascii="Arial" w:cs="Arial" w:eastAsia="Arial" w:hAnsi="Arial"/>
          <w:sz w:val="20"/>
          <w:szCs w:val="20"/>
          <w:color w:val="010000"/>
        </w:rPr>
      </w:pPr>
      <w:r>
        <w:rPr>
          <w:rFonts w:ascii="Arial" w:cs="Arial" w:eastAsia="Arial" w:hAnsi="Arial"/>
          <w:sz w:val="20"/>
          <w:szCs w:val="20"/>
          <w:color w:val="auto"/>
        </w:rPr>
        <w:t>refinancings, supplements, substitutions, extensions, restructurings, exchanges or renewals of Indebtedness to the extent permitted by Section 6.01 and fees and expenses in connection therewith;</w:t>
      </w:r>
    </w:p>
    <w:p>
      <w:pPr>
        <w:spacing w:after="0" w:line="202" w:lineRule="exact"/>
        <w:rPr>
          <w:rFonts w:ascii="Arial" w:cs="Arial" w:eastAsia="Arial" w:hAnsi="Arial"/>
          <w:sz w:val="20"/>
          <w:szCs w:val="20"/>
          <w:color w:val="010000"/>
        </w:rPr>
      </w:pPr>
    </w:p>
    <w:p>
      <w:pPr>
        <w:jc w:val="both"/>
        <w:ind w:left="740" w:right="60" w:firstLine="1499"/>
        <w:spacing w:after="0" w:line="290" w:lineRule="auto"/>
        <w:tabs>
          <w:tab w:leader="none" w:pos="2971" w:val="left"/>
        </w:tabs>
        <w:numPr>
          <w:ilvl w:val="1"/>
          <w:numId w:val="304"/>
        </w:numPr>
        <w:rPr>
          <w:rFonts w:ascii="Arial" w:cs="Arial" w:eastAsia="Arial" w:hAnsi="Arial"/>
          <w:sz w:val="18"/>
          <w:szCs w:val="18"/>
          <w:color w:val="010000"/>
        </w:rPr>
      </w:pPr>
      <w:r>
        <w:rPr>
          <w:rFonts w:ascii="Arial" w:cs="Arial" w:eastAsia="Arial" w:hAnsi="Arial"/>
          <w:sz w:val="18"/>
          <w:szCs w:val="18"/>
          <w:color w:val="auto"/>
        </w:rPr>
        <w:t>the conversion of any Junior Financing to Equity Interests (other than Disqualified Equity Interests) of the Borrower, Holdings or any Holdings Parent, and any payment that is intended to prevent any Junior Financing from being treated as an “applicable high yield discount obligation” within the meaning of Section 163(i)(1) of the Code;</w:t>
      </w:r>
    </w:p>
    <w:p>
      <w:pPr>
        <w:spacing w:after="0" w:line="166" w:lineRule="exact"/>
        <w:rPr>
          <w:rFonts w:ascii="Arial" w:cs="Arial" w:eastAsia="Arial" w:hAnsi="Arial"/>
          <w:sz w:val="18"/>
          <w:szCs w:val="18"/>
          <w:color w:val="010000"/>
        </w:rPr>
      </w:pPr>
    </w:p>
    <w:p>
      <w:pPr>
        <w:jc w:val="both"/>
        <w:ind w:left="740" w:firstLine="1499"/>
        <w:spacing w:after="0" w:line="301" w:lineRule="auto"/>
        <w:tabs>
          <w:tab w:leader="none" w:pos="2974" w:val="left"/>
        </w:tabs>
        <w:numPr>
          <w:ilvl w:val="1"/>
          <w:numId w:val="304"/>
        </w:numPr>
        <w:rPr>
          <w:rFonts w:ascii="Arial" w:cs="Arial" w:eastAsia="Arial" w:hAnsi="Arial"/>
          <w:sz w:val="16"/>
          <w:szCs w:val="16"/>
          <w:color w:val="010000"/>
        </w:rPr>
      </w:pPr>
      <w:r>
        <w:rPr>
          <w:rFonts w:ascii="Arial" w:cs="Arial" w:eastAsia="Arial" w:hAnsi="Arial"/>
          <w:sz w:val="16"/>
          <w:szCs w:val="16"/>
          <w:color w:val="auto"/>
        </w:rPr>
        <w:t xml:space="preserve">prepayments, redemptions, repurchases, defeasances and other payments in respect of Junior Financing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subclause (A) not to exceed the sum of (I) the greater of (1) $55,000,000 and (2) 40% of Consolidated EBITDA on a Pro Forma Basis for the most recently ended Test Period after giving Pro Forma Effect to the making of such prepayment, redemption, purchase, defeasance or other payment plus (II) unused amounts available to make Restricted Payments pursuant to Section 6.07(a)(xvi) (it being understood that the usage of such amounts for prepayments, redemptions, repurchases, defeasances and other payments in respect of Junior Financing under this clause (b)(iv) shall reduce the amounts available for Restricted Payments under such Section 6.07(a)(xvi)),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Available Amount that is Not Otherwise Applied as in effect immediately prior to the time of making of such Investment </w:t>
      </w:r>
      <w:r>
        <w:rPr>
          <w:rFonts w:ascii="Arial" w:cs="Arial" w:eastAsia="Arial" w:hAnsi="Arial"/>
          <w:sz w:val="16"/>
          <w:szCs w:val="16"/>
          <w:u w:val="single" w:color="auto"/>
          <w:color w:val="auto"/>
        </w:rPr>
        <w:t>plus</w:t>
      </w:r>
    </w:p>
    <w:p>
      <w:pPr>
        <w:jc w:val="both"/>
        <w:ind w:left="740" w:firstLine="1"/>
        <w:spacing w:after="0" w:line="276" w:lineRule="auto"/>
        <w:tabs>
          <w:tab w:leader="none" w:pos="106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the Available Equity Amount that is Not Otherwise Applied as in effect immediately prior to the time of making of such Investment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unused amounts available to make Investments pursuant to Section 6.04(bb) (it being understood that the usage for such amounts for prepayments, redemptions, repurchases, defeasances and other payments in respect of Junior Financings Payments under this clause (iv) shall reduce the amount available for Investments under such Section 6.04(bb));</w:t>
      </w:r>
    </w:p>
    <w:p>
      <w:pPr>
        <w:spacing w:after="0" w:line="191" w:lineRule="exact"/>
        <w:rPr>
          <w:rFonts w:ascii="Arial" w:cs="Arial" w:eastAsia="Arial" w:hAnsi="Arial"/>
          <w:sz w:val="18"/>
          <w:szCs w:val="18"/>
          <w:color w:val="auto"/>
        </w:rPr>
      </w:pPr>
    </w:p>
    <w:p>
      <w:pPr>
        <w:ind w:left="2980" w:hanging="741"/>
        <w:spacing w:after="0"/>
        <w:tabs>
          <w:tab w:leader="none" w:pos="2980" w:val="left"/>
        </w:tabs>
        <w:numPr>
          <w:ilvl w:val="1"/>
          <w:numId w:val="305"/>
        </w:numPr>
        <w:rPr>
          <w:rFonts w:ascii="Arial" w:cs="Arial" w:eastAsia="Arial" w:hAnsi="Arial"/>
          <w:sz w:val="20"/>
          <w:szCs w:val="20"/>
          <w:color w:val="010000"/>
        </w:rPr>
      </w:pPr>
      <w:r>
        <w:rPr>
          <w:rFonts w:ascii="Arial" w:cs="Arial" w:eastAsia="Arial" w:hAnsi="Arial"/>
          <w:sz w:val="20"/>
          <w:szCs w:val="20"/>
          <w:color w:val="auto"/>
        </w:rPr>
        <w:t>payments made in connection with the Transactions;</w:t>
      </w:r>
    </w:p>
    <w:p>
      <w:pPr>
        <w:spacing w:after="0" w:line="241" w:lineRule="exact"/>
        <w:rPr>
          <w:rFonts w:ascii="Arial" w:cs="Arial" w:eastAsia="Arial" w:hAnsi="Arial"/>
          <w:sz w:val="20"/>
          <w:szCs w:val="20"/>
          <w:color w:val="010000"/>
        </w:rPr>
      </w:pPr>
    </w:p>
    <w:p>
      <w:pPr>
        <w:jc w:val="both"/>
        <w:ind w:left="740" w:right="60" w:firstLine="1499"/>
        <w:spacing w:after="0" w:line="271" w:lineRule="auto"/>
        <w:tabs>
          <w:tab w:leader="none" w:pos="2971" w:val="left"/>
        </w:tabs>
        <w:numPr>
          <w:ilvl w:val="1"/>
          <w:numId w:val="305"/>
        </w:numPr>
        <w:rPr>
          <w:rFonts w:ascii="Arial" w:cs="Arial" w:eastAsia="Arial" w:hAnsi="Arial"/>
          <w:sz w:val="18"/>
          <w:szCs w:val="18"/>
          <w:color w:val="010000"/>
        </w:rPr>
      </w:pPr>
      <w:r>
        <w:rPr>
          <w:rFonts w:ascii="Arial" w:cs="Arial" w:eastAsia="Arial" w:hAnsi="Arial"/>
          <w:sz w:val="18"/>
          <w:szCs w:val="18"/>
          <w:color w:val="auto"/>
        </w:rPr>
        <w:t xml:space="preserve">prepayments, redemptions, purchases, defeasances and other payments in respect of Junior Financing prior to their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prepayment, redemption, repurchase, defeasance or other payment, (x) on a Pro Forma Basis, the Total Net Leverage Ratio is less than or equal to 4.75 to 1.00 and</w:t>
      </w:r>
    </w:p>
    <w:p>
      <w:pPr>
        <w:spacing w:after="0" w:line="2" w:lineRule="exact"/>
        <w:rPr>
          <w:rFonts w:ascii="Arial" w:cs="Arial" w:eastAsia="Arial" w:hAnsi="Arial"/>
          <w:sz w:val="18"/>
          <w:szCs w:val="18"/>
          <w:color w:val="010000"/>
        </w:rPr>
      </w:pPr>
    </w:p>
    <w:p>
      <w:pPr>
        <w:ind w:left="740"/>
        <w:spacing w:after="0"/>
        <w:rPr>
          <w:rFonts w:ascii="Arial" w:cs="Arial" w:eastAsia="Arial" w:hAnsi="Arial"/>
          <w:sz w:val="18"/>
          <w:szCs w:val="18"/>
          <w:color w:val="010000"/>
        </w:rPr>
      </w:pPr>
      <w:r>
        <w:rPr>
          <w:rFonts w:ascii="Arial" w:cs="Arial" w:eastAsia="Arial" w:hAnsi="Arial"/>
          <w:sz w:val="20"/>
          <w:szCs w:val="20"/>
          <w:color w:val="auto"/>
        </w:rPr>
        <w:t>(y) no Event of Default shall have occurred and be continuing or would result therefrom; and</w:t>
      </w:r>
    </w:p>
    <w:p>
      <w:pPr>
        <w:spacing w:after="0" w:line="212" w:lineRule="exact"/>
        <w:rPr>
          <w:rFonts w:ascii="Arial" w:cs="Arial" w:eastAsia="Arial" w:hAnsi="Arial"/>
          <w:sz w:val="18"/>
          <w:szCs w:val="18"/>
          <w:color w:val="010000"/>
        </w:rPr>
      </w:pPr>
    </w:p>
    <w:p>
      <w:pPr>
        <w:ind w:left="740" w:right="60" w:firstLine="1499"/>
        <w:spacing w:after="0" w:line="260" w:lineRule="auto"/>
        <w:tabs>
          <w:tab w:leader="none" w:pos="2971" w:val="left"/>
        </w:tabs>
        <w:numPr>
          <w:ilvl w:val="1"/>
          <w:numId w:val="305"/>
        </w:numPr>
        <w:rPr>
          <w:rFonts w:ascii="Arial" w:cs="Arial" w:eastAsia="Arial" w:hAnsi="Arial"/>
          <w:sz w:val="20"/>
          <w:szCs w:val="20"/>
          <w:color w:val="010000"/>
        </w:rPr>
      </w:pPr>
      <w:r>
        <w:rPr>
          <w:rFonts w:ascii="Arial" w:cs="Arial" w:eastAsia="Arial" w:hAnsi="Arial"/>
          <w:sz w:val="20"/>
          <w:szCs w:val="20"/>
          <w:color w:val="auto"/>
        </w:rPr>
        <w:t>prepayment of Junior Financing owed to the Borrower or any Restricted Subsidiary or the prepayment of Permitted Refinancing of such Indebtedness with the proceeds of any other Junior Financing.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328" w:name="page329"/>
    <w:bookmarkEnd w:id="328"/>
    <w:p>
      <w:pPr>
        <w:jc w:val="both"/>
        <w:ind w:right="60" w:firstLine="1490"/>
        <w:spacing w:after="0" w:line="270" w:lineRule="auto"/>
        <w:tabs>
          <w:tab w:leader="none" w:pos="223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basket available for Restricted Payments pursuant to Section 6.07(a) may instead be used to either (i) make a payment or other distribution of or in respect of principal of or interest on any Junior Financing, or any payment or other distribution on account of the purchase, redemption, retirement, acquisition, cancellation or termination of any Junior Financing, pursuant to Section 6.07(b) (other than Section 6.07(b)(iv)(A)(II) except as provided for therein), and such payment or other distribution shall not be prohibited by Section 6.07(b) or (ii) make a Restricted Investment and such Restricted Investment shall not be prohibited by Section 6.04. For the avoidance of doubt, any such payment, other distribution or Restricted Investment shall reduce the amount available under such basket set forth in Section 6.07(a). Any basket available to make a payment or other distribution of or in respect of principal of or interest on any Junior Financing, or any payment or other distribution on account of the purchase, redemption, retirement, acquisition, cancellation or termination of any Junior Financing, pursuant to Section 6.07(b) may instead be used to make a Restricted Investment and such Restricted Investment shall not be prohibited by Section 6.04. For the avoidance of doubt, any Restricted Investment shall reduce the amount available under such basket set forth in Section 6.07(b).</w:t>
      </w:r>
    </w:p>
    <w:p>
      <w:pPr>
        <w:spacing w:after="0" w:line="190" w:lineRule="exact"/>
        <w:rPr>
          <w:sz w:val="20"/>
          <w:szCs w:val="20"/>
          <w:color w:val="auto"/>
        </w:rPr>
      </w:pPr>
    </w:p>
    <w:p>
      <w:pPr>
        <w:jc w:val="center"/>
        <w:ind w:left="1420"/>
        <w:spacing w:after="0"/>
        <w:tabs>
          <w:tab w:leader="none" w:pos="340" w:val="left"/>
        </w:tabs>
        <w:rPr>
          <w:sz w:val="20"/>
          <w:szCs w:val="20"/>
          <w:color w:val="auto"/>
        </w:rPr>
      </w:pPr>
      <w:r>
        <w:rPr>
          <w:rFonts w:ascii="Arial" w:cs="Arial" w:eastAsia="Arial" w:hAnsi="Arial"/>
          <w:sz w:val="20"/>
          <w:szCs w:val="20"/>
          <w:color w:val="010000"/>
        </w:rPr>
        <w:t>SECTION 6.08</w:t>
      </w:r>
      <w:r>
        <w:rPr>
          <w:sz w:val="20"/>
          <w:szCs w:val="20"/>
          <w:color w:val="auto"/>
        </w:rPr>
        <w:tab/>
      </w:r>
      <w:r>
        <w:rPr>
          <w:rFonts w:ascii="Arial" w:cs="Arial" w:eastAsia="Arial" w:hAnsi="Arial"/>
          <w:sz w:val="18"/>
          <w:szCs w:val="18"/>
          <w:u w:val="single" w:color="auto"/>
          <w:color w:val="auto"/>
        </w:rPr>
        <w:t>FCC License Holder Covenant</w:t>
      </w:r>
      <w:r>
        <w:rPr>
          <w:rFonts w:ascii="Arial" w:cs="Arial" w:eastAsia="Arial" w:hAnsi="Arial"/>
          <w:sz w:val="18"/>
          <w:szCs w:val="18"/>
          <w:color w:val="auto"/>
        </w:rPr>
        <w:t>.</w:t>
      </w:r>
    </w:p>
    <w:p>
      <w:pPr>
        <w:spacing w:after="0" w:line="242" w:lineRule="exact"/>
        <w:rPr>
          <w:sz w:val="20"/>
          <w:szCs w:val="20"/>
          <w:color w:val="auto"/>
        </w:rPr>
      </w:pPr>
    </w:p>
    <w:p>
      <w:pPr>
        <w:jc w:val="both"/>
        <w:ind w:firstLine="1499"/>
        <w:spacing w:after="0" w:line="242" w:lineRule="auto"/>
        <w:rPr>
          <w:sz w:val="20"/>
          <w:szCs w:val="20"/>
          <w:color w:val="auto"/>
        </w:rPr>
      </w:pPr>
      <w:r>
        <w:rPr>
          <w:rFonts w:ascii="Arial" w:cs="Arial" w:eastAsia="Arial" w:hAnsi="Arial"/>
          <w:sz w:val="20"/>
          <w:szCs w:val="20"/>
          <w:color w:val="auto"/>
        </w:rPr>
        <w:t>No FCC License Holder may (i) engage in any material business activities other than in connection with incidental to, or in support of, the acquisition and use of such licenses or its roles as licensee and/or licensor of the FCC Licenses (the “</w:t>
      </w:r>
      <w:r>
        <w:rPr>
          <w:rFonts w:ascii="Arial" w:cs="Arial" w:eastAsia="Arial" w:hAnsi="Arial"/>
          <w:sz w:val="20"/>
          <w:szCs w:val="20"/>
          <w:u w:val="single" w:color="auto"/>
          <w:color w:val="auto"/>
        </w:rPr>
        <w:t>Permitted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Activities</w:t>
      </w:r>
      <w:r>
        <w:rPr>
          <w:rFonts w:ascii="Arial" w:cs="Arial" w:eastAsia="Arial" w:hAnsi="Arial"/>
          <w:sz w:val="20"/>
          <w:szCs w:val="20"/>
          <w:color w:val="auto"/>
        </w:rPr>
        <w:t>”) or (ii) incur Indebtedness owed to any party other than Holdings or another Loan Party (other than Indebtedness owed to the FCC and incurred in connection with, incidental to, or in support of the Permitted Activities) or issue Equity Interests, other than in favor of or to Holdings or a Loan Party, in the case of (i) and (ii) other than as required by applicable law, rule or regulation; provided that any FCC License Holder may guarantee any Indebtedness (including any Secured Obligations) of Holdings or its Subsidiaries permitted to be incurred hereunder.</w:t>
      </w:r>
    </w:p>
    <w:p>
      <w:pPr>
        <w:spacing w:after="0" w:line="211"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6.09</w:t>
      </w:r>
      <w:r>
        <w:rPr>
          <w:sz w:val="20"/>
          <w:szCs w:val="20"/>
          <w:color w:val="auto"/>
        </w:rPr>
        <w:tab/>
      </w:r>
      <w:r>
        <w:rPr>
          <w:rFonts w:ascii="Arial" w:cs="Arial" w:eastAsia="Arial" w:hAnsi="Arial"/>
          <w:sz w:val="16"/>
          <w:szCs w:val="16"/>
          <w:u w:val="single" w:color="auto"/>
          <w:color w:val="auto"/>
        </w:rPr>
        <w:t>Restrictive Agreements</w:t>
      </w:r>
      <w:r>
        <w:rPr>
          <w:rFonts w:ascii="Arial" w:cs="Arial" w:eastAsia="Arial" w:hAnsi="Arial"/>
          <w:sz w:val="16"/>
          <w:szCs w:val="16"/>
          <w:color w:val="auto"/>
        </w:rPr>
        <w:t>.</w:t>
      </w:r>
    </w:p>
    <w:p>
      <w:pPr>
        <w:spacing w:after="0" w:line="228" w:lineRule="exact"/>
        <w:rPr>
          <w:sz w:val="20"/>
          <w:szCs w:val="20"/>
          <w:color w:val="auto"/>
        </w:rPr>
      </w:pPr>
    </w:p>
    <w:p>
      <w:pPr>
        <w:jc w:val="both"/>
        <w:ind w:right="60" w:firstLine="1499"/>
        <w:spacing w:after="0" w:line="263" w:lineRule="auto"/>
        <w:rPr>
          <w:sz w:val="20"/>
          <w:szCs w:val="20"/>
          <w:color w:val="auto"/>
        </w:rPr>
      </w:pPr>
      <w:r>
        <w:rPr>
          <w:rFonts w:ascii="Arial" w:cs="Arial" w:eastAsia="Arial" w:hAnsi="Arial"/>
          <w:sz w:val="19"/>
          <w:szCs w:val="19"/>
          <w:color w:val="auto"/>
        </w:rPr>
        <w:t xml:space="preserve">The Borrower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w:t>
      </w:r>
    </w:p>
    <w:p>
      <w:pPr>
        <w:spacing w:after="0" w:line="188" w:lineRule="exact"/>
        <w:rPr>
          <w:sz w:val="20"/>
          <w:szCs w:val="20"/>
          <w:color w:val="auto"/>
        </w:rPr>
      </w:pPr>
    </w:p>
    <w:p>
      <w:pPr>
        <w:jc w:val="both"/>
        <w:ind w:right="40" w:firstLine="1490"/>
        <w:spacing w:after="0" w:line="241" w:lineRule="auto"/>
        <w:tabs>
          <w:tab w:leader="none" w:pos="2286" w:val="left"/>
        </w:tabs>
        <w:numPr>
          <w:ilvl w:val="0"/>
          <w:numId w:val="307"/>
        </w:numPr>
        <w:rPr>
          <w:rFonts w:ascii="Arial" w:cs="Arial" w:eastAsia="Arial" w:hAnsi="Arial"/>
          <w:sz w:val="20"/>
          <w:szCs w:val="20"/>
          <w:color w:val="auto"/>
        </w:rPr>
      </w:pPr>
      <w:r>
        <w:rPr>
          <w:rFonts w:ascii="Arial" w:cs="Arial" w:eastAsia="Arial" w:hAnsi="Arial"/>
          <w:sz w:val="20"/>
          <w:szCs w:val="20"/>
          <w:color w:val="auto"/>
        </w:rPr>
        <w:t>restrictions and conditions imposed by (1) Requirements of Law, (2) any Loan Document, (3) any documentation governing Incremental Equivalent Debt, (4) any documentation governing Permitted Unsecured Refinancing Debt, Permitted First Priority Refinancing Debt or Permitted Junior Priority Refinancing Debt, (5) any documentation governing Indebtedness of a Restricted Subsidiary that is not a Loan Party incurred pursuant to Section 6.01 and that do not apply to any Loan Party, (6) any documentation governing Indebtedness incurred pursuant to Section 6.01(a)(v) (but only to the extent applicable to the assets financed by such Indebtedness (and replacements, additions, accessions and improvements to or proceeds of such assets and other assets financed by the same lender)), (vi), (vii), (viii), (x), (xi), (xii), (xiii), (xiv), (xv), (xvi), (xviii), (xxv), (xxvi), (xxix), (xxx), or (xxxiv), and (7) any documentation governing any Permitted Refinancing incurred to refinance any such Indebtedness referenced in clauses (1) through (6) above;</w:t>
      </w:r>
    </w:p>
    <w:p>
      <w:pPr>
        <w:spacing w:after="0" w:line="227" w:lineRule="exact"/>
        <w:rPr>
          <w:rFonts w:ascii="Arial" w:cs="Arial" w:eastAsia="Arial" w:hAnsi="Arial"/>
          <w:sz w:val="20"/>
          <w:szCs w:val="20"/>
          <w:color w:val="auto"/>
        </w:rPr>
      </w:pPr>
    </w:p>
    <w:p>
      <w:pPr>
        <w:jc w:val="both"/>
        <w:ind w:right="60" w:firstLine="1490"/>
        <w:spacing w:after="0" w:line="249" w:lineRule="auto"/>
        <w:tabs>
          <w:tab w:leader="none" w:pos="2286" w:val="left"/>
        </w:tabs>
        <w:numPr>
          <w:ilvl w:val="0"/>
          <w:numId w:val="307"/>
        </w:numPr>
        <w:rPr>
          <w:rFonts w:ascii="Arial" w:cs="Arial" w:eastAsia="Arial" w:hAnsi="Arial"/>
          <w:sz w:val="20"/>
          <w:szCs w:val="20"/>
          <w:color w:val="auto"/>
        </w:rPr>
      </w:pPr>
      <w:r>
        <w:rPr>
          <w:rFonts w:ascii="Arial" w:cs="Arial" w:eastAsia="Arial" w:hAnsi="Arial"/>
          <w:sz w:val="20"/>
          <w:szCs w:val="20"/>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1" w:right="499" w:bottom="1440" w:gutter="0" w:footer="0" w:header="0"/>
        </w:sectPr>
      </w:pPr>
    </w:p>
    <w:bookmarkStart w:id="329" w:name="page330"/>
    <w:bookmarkEnd w:id="329"/>
    <w:p>
      <w:pPr>
        <w:jc w:val="both"/>
        <w:ind w:right="40" w:firstLine="1490"/>
        <w:spacing w:after="0" w:line="250" w:lineRule="auto"/>
        <w:tabs>
          <w:tab w:leader="none" w:pos="2286" w:val="left"/>
        </w:tabs>
        <w:numPr>
          <w:ilvl w:val="0"/>
          <w:numId w:val="308"/>
        </w:numPr>
        <w:rPr>
          <w:rFonts w:ascii="Arial" w:cs="Arial" w:eastAsia="Arial" w:hAnsi="Arial"/>
          <w:sz w:val="20"/>
          <w:szCs w:val="20"/>
          <w:color w:val="auto"/>
        </w:rPr>
      </w:pPr>
      <w:r>
        <w:rPr>
          <w:rFonts w:ascii="Arial" w:cs="Arial" w:eastAsia="Arial" w:hAnsi="Arial"/>
          <w:sz w:val="20"/>
          <w:szCs w:val="20"/>
          <w:color w:val="auto"/>
        </w:rPr>
        <w:t xml:space="preserve">restrictions and conditions contained in agreements relating to the sale of a Subsidiary or any assets pending such sale;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 and conditions apply only to the Subsidiary or assets that is or are to be sold and such sale is permitted hereunder;</w:t>
      </w:r>
    </w:p>
    <w:p>
      <w:pPr>
        <w:spacing w:after="0" w:line="172" w:lineRule="exact"/>
        <w:rPr>
          <w:rFonts w:ascii="Arial" w:cs="Arial" w:eastAsia="Arial" w:hAnsi="Arial"/>
          <w:sz w:val="20"/>
          <w:szCs w:val="20"/>
          <w:color w:val="auto"/>
        </w:rPr>
      </w:pPr>
    </w:p>
    <w:p>
      <w:pPr>
        <w:ind w:right="40" w:firstLine="1490"/>
        <w:spacing w:after="0" w:line="385" w:lineRule="auto"/>
        <w:tabs>
          <w:tab w:leader="none" w:pos="2286" w:val="left"/>
        </w:tabs>
        <w:numPr>
          <w:ilvl w:val="0"/>
          <w:numId w:val="308"/>
        </w:numPr>
        <w:rPr>
          <w:rFonts w:ascii="Arial" w:cs="Arial" w:eastAsia="Arial" w:hAnsi="Arial"/>
          <w:sz w:val="16"/>
          <w:szCs w:val="16"/>
          <w:color w:val="auto"/>
        </w:rPr>
      </w:pPr>
      <w:r>
        <w:rPr>
          <w:rFonts w:ascii="Arial" w:cs="Arial" w:eastAsia="Arial" w:hAnsi="Arial"/>
          <w:sz w:val="16"/>
          <w:szCs w:val="16"/>
          <w:color w:val="auto"/>
        </w:rPr>
        <w:t>customary provisions in leases, licenses, sublicenses and other contracts (including licenses and sublicenses of Intellectual Property) restricting the assignment, license, sublicense, transfer or security interest thereof or assets subject thereto;</w:t>
      </w:r>
    </w:p>
    <w:p>
      <w:pPr>
        <w:spacing w:after="0" w:line="97" w:lineRule="exact"/>
        <w:rPr>
          <w:rFonts w:ascii="Arial" w:cs="Arial" w:eastAsia="Arial" w:hAnsi="Arial"/>
          <w:sz w:val="16"/>
          <w:szCs w:val="16"/>
          <w:color w:val="auto"/>
        </w:rPr>
      </w:pPr>
    </w:p>
    <w:p>
      <w:pPr>
        <w:ind w:right="20" w:firstLine="1490"/>
        <w:spacing w:after="0" w:line="260" w:lineRule="auto"/>
        <w:tabs>
          <w:tab w:leader="none" w:pos="2286" w:val="left"/>
        </w:tabs>
        <w:numPr>
          <w:ilvl w:val="0"/>
          <w:numId w:val="308"/>
        </w:numPr>
        <w:rPr>
          <w:rFonts w:ascii="Arial" w:cs="Arial" w:eastAsia="Arial" w:hAnsi="Arial"/>
          <w:sz w:val="20"/>
          <w:szCs w:val="20"/>
          <w:color w:val="auto"/>
        </w:rPr>
      </w:pPr>
      <w:r>
        <w:rPr>
          <w:rFonts w:ascii="Arial" w:cs="Arial" w:eastAsia="Arial" w:hAnsi="Arial"/>
          <w:sz w:val="20"/>
          <w:szCs w:val="20"/>
          <w:color w:val="auto"/>
        </w:rPr>
        <w:t>restrictions imposed by any agreement relating to secured Indebtedness permitted by this Agreement to the extent such restriction applies only to the property securing such Indebtedness;</w:t>
      </w:r>
    </w:p>
    <w:p>
      <w:pPr>
        <w:spacing w:after="0" w:line="189" w:lineRule="exact"/>
        <w:rPr>
          <w:rFonts w:ascii="Arial" w:cs="Arial" w:eastAsia="Arial" w:hAnsi="Arial"/>
          <w:sz w:val="20"/>
          <w:szCs w:val="20"/>
          <w:color w:val="auto"/>
        </w:rPr>
      </w:pPr>
    </w:p>
    <w:p>
      <w:pPr>
        <w:jc w:val="both"/>
        <w:ind w:firstLine="1490"/>
        <w:spacing w:after="0" w:line="244" w:lineRule="auto"/>
        <w:tabs>
          <w:tab w:leader="none" w:pos="2288" w:val="left"/>
        </w:tabs>
        <w:numPr>
          <w:ilvl w:val="0"/>
          <w:numId w:val="308"/>
        </w:numPr>
        <w:rPr>
          <w:rFonts w:ascii="Arial" w:cs="Arial" w:eastAsia="Arial" w:hAnsi="Arial"/>
          <w:sz w:val="20"/>
          <w:szCs w:val="20"/>
          <w:color w:val="auto"/>
        </w:rPr>
      </w:pPr>
      <w:r>
        <w:rPr>
          <w:rFonts w:ascii="Arial" w:cs="Arial" w:eastAsia="Arial" w:hAnsi="Arial"/>
          <w:sz w:val="20"/>
          <w:szCs w:val="20"/>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agreement was not entered into in contemplation of such Person becoming a Restricted Subsidiary and the restriction or condition set forth in such agreement does not apply to the Borrower or any Restricted Subsidiary (other than such Person that has become a Restricted Subsidiary);</w:t>
      </w:r>
    </w:p>
    <w:p>
      <w:pPr>
        <w:spacing w:after="0" w:line="206" w:lineRule="exact"/>
        <w:rPr>
          <w:rFonts w:ascii="Arial" w:cs="Arial" w:eastAsia="Arial" w:hAnsi="Arial"/>
          <w:sz w:val="20"/>
          <w:szCs w:val="20"/>
          <w:color w:val="auto"/>
        </w:rPr>
      </w:pPr>
    </w:p>
    <w:p>
      <w:pPr>
        <w:jc w:val="both"/>
        <w:ind w:right="40" w:firstLine="1490"/>
        <w:spacing w:after="0" w:line="246" w:lineRule="auto"/>
        <w:tabs>
          <w:tab w:leader="none" w:pos="2286" w:val="left"/>
        </w:tabs>
        <w:numPr>
          <w:ilvl w:val="0"/>
          <w:numId w:val="308"/>
        </w:numPr>
        <w:rPr>
          <w:rFonts w:ascii="Arial" w:cs="Arial" w:eastAsia="Arial" w:hAnsi="Arial"/>
          <w:sz w:val="20"/>
          <w:szCs w:val="20"/>
          <w:color w:val="auto"/>
        </w:rPr>
      </w:pPr>
      <w:r>
        <w:rPr>
          <w:rFonts w:ascii="Arial" w:cs="Arial" w:eastAsia="Arial" w:hAnsi="Arial"/>
          <w:sz w:val="20"/>
          <w:szCs w:val="20"/>
          <w:color w:val="auto"/>
        </w:rPr>
        <w:t>restrictions or conditions in any Indebtedness permitted pursuant to Section 6.01 that is incurred or assumed by Restricted Subsidiaries that are not Loan Parties to the extent such restrictions or conditions are no more restrictive in any material respect than the restrictions and conditions in the Loan Documents or are market terms at the time of issuance and are imposed solely on such Restricted Subsidiary and its Subsidiaries;</w:t>
      </w:r>
    </w:p>
    <w:p>
      <w:pPr>
        <w:spacing w:after="0" w:line="203" w:lineRule="exact"/>
        <w:rPr>
          <w:rFonts w:ascii="Arial" w:cs="Arial" w:eastAsia="Arial" w:hAnsi="Arial"/>
          <w:sz w:val="20"/>
          <w:szCs w:val="20"/>
          <w:color w:val="auto"/>
        </w:rPr>
      </w:pPr>
    </w:p>
    <w:p>
      <w:pPr>
        <w:ind w:right="40" w:firstLine="1490"/>
        <w:spacing w:after="0" w:line="286" w:lineRule="auto"/>
        <w:tabs>
          <w:tab w:leader="none" w:pos="2286" w:val="left"/>
        </w:tabs>
        <w:numPr>
          <w:ilvl w:val="0"/>
          <w:numId w:val="308"/>
        </w:numPr>
        <w:rPr>
          <w:rFonts w:ascii="Arial" w:cs="Arial" w:eastAsia="Arial" w:hAnsi="Arial"/>
          <w:sz w:val="19"/>
          <w:szCs w:val="19"/>
          <w:color w:val="auto"/>
        </w:rPr>
      </w:pPr>
      <w:r>
        <w:rPr>
          <w:rFonts w:ascii="Arial" w:cs="Arial" w:eastAsia="Arial" w:hAnsi="Arial"/>
          <w:sz w:val="19"/>
          <w:szCs w:val="19"/>
          <w:color w:val="auto"/>
        </w:rPr>
        <w:t>restrictions on cash (or Permitted Investments) or other deposits imposed by agreements entered into in the ordinary course of business (or other restrictions on cash or deposits constituting Permitted Encumbrances);</w:t>
      </w:r>
    </w:p>
    <w:p>
      <w:pPr>
        <w:spacing w:after="0" w:line="166" w:lineRule="exact"/>
        <w:rPr>
          <w:rFonts w:ascii="Arial" w:cs="Arial" w:eastAsia="Arial" w:hAnsi="Arial"/>
          <w:sz w:val="19"/>
          <w:szCs w:val="19"/>
          <w:color w:val="auto"/>
        </w:rPr>
      </w:pPr>
    </w:p>
    <w:p>
      <w:pPr>
        <w:ind w:right="40" w:firstLine="1490"/>
        <w:spacing w:after="0" w:line="385" w:lineRule="auto"/>
        <w:tabs>
          <w:tab w:leader="none" w:pos="2286" w:val="left"/>
        </w:tabs>
        <w:numPr>
          <w:ilvl w:val="0"/>
          <w:numId w:val="308"/>
        </w:numPr>
        <w:rPr>
          <w:rFonts w:ascii="Arial" w:cs="Arial" w:eastAsia="Arial" w:hAnsi="Arial"/>
          <w:sz w:val="16"/>
          <w:szCs w:val="16"/>
          <w:color w:val="auto"/>
        </w:rPr>
      </w:pPr>
      <w:r>
        <w:rPr>
          <w:rFonts w:ascii="Arial" w:cs="Arial" w:eastAsia="Arial" w:hAnsi="Arial"/>
          <w:sz w:val="16"/>
          <w:szCs w:val="16"/>
          <w:color w:val="auto"/>
        </w:rPr>
        <w:t>restrictions set forth on Schedule 6.09 and any extension, renewal, amendment, modification or replacement thereof, except to the extent any such amendment, modification or replacement expands the scope of any such restriction or condition;</w:t>
      </w:r>
    </w:p>
    <w:p>
      <w:pPr>
        <w:spacing w:after="0" w:line="97" w:lineRule="exact"/>
        <w:rPr>
          <w:rFonts w:ascii="Arial" w:cs="Arial" w:eastAsia="Arial" w:hAnsi="Arial"/>
          <w:sz w:val="16"/>
          <w:szCs w:val="16"/>
          <w:color w:val="auto"/>
        </w:rPr>
      </w:pPr>
    </w:p>
    <w:p>
      <w:pPr>
        <w:jc w:val="both"/>
        <w:ind w:right="40" w:firstLine="1490"/>
        <w:spacing w:after="0" w:line="282" w:lineRule="auto"/>
        <w:tabs>
          <w:tab w:leader="none" w:pos="228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customary provisions in shareholders agreements, joint venture agreements, organization constitutive documents or similar binding agreements relating to any joint venture or non-wholly-owned Restricted Subsidiary and other similar agreements applicable to joint ventures and non-wholly-owned Restricted Subsidiaries and applicable solely to such joint venture or non-wholly-owned Restricted Subsidiary and the Equity Interests issued thereby, in each case, permitted by Section 6.04;</w:t>
      </w:r>
    </w:p>
    <w:p>
      <w:pPr>
        <w:spacing w:after="0" w:line="173" w:lineRule="exact"/>
        <w:rPr>
          <w:rFonts w:ascii="Arial" w:cs="Arial" w:eastAsia="Arial" w:hAnsi="Arial"/>
          <w:sz w:val="18"/>
          <w:szCs w:val="18"/>
          <w:color w:val="auto"/>
        </w:rPr>
      </w:pPr>
    </w:p>
    <w:p>
      <w:pPr>
        <w:ind w:right="40" w:firstLine="1490"/>
        <w:spacing w:after="0" w:line="260" w:lineRule="auto"/>
        <w:tabs>
          <w:tab w:leader="none" w:pos="2286" w:val="left"/>
        </w:tabs>
        <w:numPr>
          <w:ilvl w:val="0"/>
          <w:numId w:val="308"/>
        </w:numPr>
        <w:rPr>
          <w:rFonts w:ascii="Arial" w:cs="Arial" w:eastAsia="Arial" w:hAnsi="Arial"/>
          <w:sz w:val="20"/>
          <w:szCs w:val="20"/>
          <w:color w:val="auto"/>
        </w:rPr>
      </w:pPr>
      <w:r>
        <w:rPr>
          <w:rFonts w:ascii="Arial" w:cs="Arial" w:eastAsia="Arial" w:hAnsi="Arial"/>
          <w:sz w:val="20"/>
          <w:szCs w:val="20"/>
          <w:color w:val="auto"/>
        </w:rPr>
        <w:t>customary restrictions contained in leases, subleases, licenses, sublicenses or asset sale agreements otherwise permitted hereby so long as such restrictions relate only to the assets subject thereto;</w:t>
      </w:r>
    </w:p>
    <w:p>
      <w:pPr>
        <w:spacing w:after="0" w:line="189" w:lineRule="exact"/>
        <w:rPr>
          <w:rFonts w:ascii="Arial" w:cs="Arial" w:eastAsia="Arial" w:hAnsi="Arial"/>
          <w:sz w:val="20"/>
          <w:szCs w:val="20"/>
          <w:color w:val="auto"/>
        </w:rPr>
      </w:pPr>
    </w:p>
    <w:p>
      <w:pPr>
        <w:ind w:right="40" w:firstLine="1490"/>
        <w:spacing w:after="0" w:line="260" w:lineRule="auto"/>
        <w:tabs>
          <w:tab w:leader="none" w:pos="2286" w:val="left"/>
        </w:tabs>
        <w:numPr>
          <w:ilvl w:val="0"/>
          <w:numId w:val="308"/>
        </w:numPr>
        <w:rPr>
          <w:rFonts w:ascii="Arial" w:cs="Arial" w:eastAsia="Arial" w:hAnsi="Arial"/>
          <w:sz w:val="20"/>
          <w:szCs w:val="20"/>
          <w:color w:val="auto"/>
        </w:rPr>
      </w:pPr>
      <w:r>
        <w:rPr>
          <w:rFonts w:ascii="Arial" w:cs="Arial" w:eastAsia="Arial" w:hAnsi="Arial"/>
          <w:sz w:val="20"/>
          <w:szCs w:val="20"/>
          <w:color w:val="auto"/>
        </w:rPr>
        <w:t>customary provisions restricting subletting or assignment of any lease governing a leasehold interest of Holdings, the Borrower or any Restricted Subsidiary; and</w:t>
      </w:r>
    </w:p>
    <w:p>
      <w:pPr>
        <w:spacing w:after="0" w:line="189" w:lineRule="exact"/>
        <w:rPr>
          <w:rFonts w:ascii="Arial" w:cs="Arial" w:eastAsia="Arial" w:hAnsi="Arial"/>
          <w:sz w:val="20"/>
          <w:szCs w:val="20"/>
          <w:color w:val="auto"/>
        </w:rPr>
      </w:pPr>
    </w:p>
    <w:p>
      <w:pPr>
        <w:jc w:val="both"/>
        <w:ind w:right="40" w:firstLine="1490"/>
        <w:spacing w:after="0" w:line="249" w:lineRule="auto"/>
        <w:tabs>
          <w:tab w:leader="none" w:pos="2286" w:val="left"/>
        </w:tabs>
        <w:numPr>
          <w:ilvl w:val="0"/>
          <w:numId w:val="308"/>
        </w:numPr>
        <w:rPr>
          <w:rFonts w:ascii="Arial" w:cs="Arial" w:eastAsia="Arial" w:hAnsi="Arial"/>
          <w:sz w:val="20"/>
          <w:szCs w:val="20"/>
          <w:color w:val="auto"/>
        </w:rPr>
      </w:pPr>
      <w:r>
        <w:rPr>
          <w:rFonts w:ascii="Arial" w:cs="Arial" w:eastAsia="Arial" w:hAnsi="Arial"/>
          <w:sz w:val="20"/>
          <w:szCs w:val="20"/>
          <w:color w:val="auto"/>
        </w:rPr>
        <w:t>customary net worth provisions contained in real property leases or other contracts entered into by Subsidiaries, so long as the Borrower has determined in good faith that such net worth provisions could not reasonably be expected to impair the ability of Holdings, the Borrower and its Subsidiaries to meet their ongoing obligations;</w:t>
      </w:r>
    </w:p>
    <w:p>
      <w:pPr>
        <w:spacing w:after="0" w:line="201" w:lineRule="exact"/>
        <w:rPr>
          <w:rFonts w:ascii="Arial" w:cs="Arial" w:eastAsia="Arial" w:hAnsi="Arial"/>
          <w:sz w:val="20"/>
          <w:szCs w:val="20"/>
          <w:color w:val="auto"/>
        </w:rPr>
      </w:pPr>
    </w:p>
    <w:p>
      <w:pPr>
        <w:ind w:left="2280" w:hanging="790"/>
        <w:spacing w:after="0"/>
        <w:tabs>
          <w:tab w:leader="none" w:pos="228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[reserved];</w:t>
      </w:r>
    </w:p>
    <w:p>
      <w:pPr>
        <w:spacing w:after="0" w:line="228" w:lineRule="exact"/>
        <w:rPr>
          <w:rFonts w:ascii="Arial" w:cs="Arial" w:eastAsia="Arial" w:hAnsi="Arial"/>
          <w:sz w:val="20"/>
          <w:szCs w:val="20"/>
          <w:color w:val="auto"/>
        </w:rPr>
      </w:pPr>
    </w:p>
    <w:p>
      <w:pPr>
        <w:ind w:right="40" w:firstLine="1490"/>
        <w:spacing w:after="0" w:line="260" w:lineRule="auto"/>
        <w:tabs>
          <w:tab w:leader="none" w:pos="2286" w:val="left"/>
        </w:tabs>
        <w:numPr>
          <w:ilvl w:val="0"/>
          <w:numId w:val="308"/>
        </w:numPr>
        <w:rPr>
          <w:rFonts w:ascii="Arial" w:cs="Arial" w:eastAsia="Arial" w:hAnsi="Arial"/>
          <w:sz w:val="20"/>
          <w:szCs w:val="20"/>
          <w:color w:val="auto"/>
        </w:rPr>
      </w:pPr>
      <w:r>
        <w:rPr>
          <w:rFonts w:ascii="Arial" w:cs="Arial" w:eastAsia="Arial" w:hAnsi="Arial"/>
          <w:sz w:val="20"/>
          <w:szCs w:val="20"/>
          <w:color w:val="auto"/>
        </w:rPr>
        <w:t>restrictions on transfers of assets subject to Liens permitted by Section 6.02 (but, with respect to any such Lien, only to the extent that such transfer restrictions apply solely to the assets that are the subject of such Lien);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1" w:right="519" w:bottom="1440" w:gutter="0" w:footer="0" w:header="0"/>
        </w:sectPr>
      </w:pPr>
    </w:p>
    <w:bookmarkStart w:id="330" w:name="page331"/>
    <w:bookmarkEnd w:id="330"/>
    <w:p>
      <w:pPr>
        <w:ind w:left="2280" w:hanging="790"/>
        <w:spacing w:after="0"/>
        <w:tabs>
          <w:tab w:leader="none" w:pos="228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restrictions created in connection with any Qualified Securitization Facility;</w:t>
      </w:r>
    </w:p>
    <w:p>
      <w:pPr>
        <w:spacing w:after="0" w:line="228" w:lineRule="exact"/>
        <w:rPr>
          <w:rFonts w:ascii="Arial" w:cs="Arial" w:eastAsia="Arial" w:hAnsi="Arial"/>
          <w:sz w:val="20"/>
          <w:szCs w:val="20"/>
          <w:color w:val="auto"/>
        </w:rPr>
      </w:pPr>
    </w:p>
    <w:p>
      <w:pPr>
        <w:ind w:right="20" w:firstLine="1490"/>
        <w:spacing w:after="0" w:line="260" w:lineRule="auto"/>
        <w:tabs>
          <w:tab w:leader="none" w:pos="2286" w:val="left"/>
        </w:tabs>
        <w:numPr>
          <w:ilvl w:val="0"/>
          <w:numId w:val="309"/>
        </w:numPr>
        <w:rPr>
          <w:rFonts w:ascii="Arial" w:cs="Arial" w:eastAsia="Arial" w:hAnsi="Arial"/>
          <w:sz w:val="20"/>
          <w:szCs w:val="20"/>
          <w:color w:val="auto"/>
        </w:rPr>
      </w:pPr>
      <w:r>
        <w:rPr>
          <w:rFonts w:ascii="Arial" w:cs="Arial" w:eastAsia="Arial" w:hAnsi="Arial"/>
          <w:sz w:val="20"/>
          <w:szCs w:val="20"/>
          <w:color w:val="auto"/>
        </w:rPr>
        <w:t>any restrictions regarding licensing or sublicensing by the Borrower and its Restricted Subsidiaries of intellectual property in the ordinary course of business;</w:t>
      </w:r>
    </w:p>
    <w:p>
      <w:pPr>
        <w:spacing w:after="0" w:line="202" w:lineRule="exact"/>
        <w:rPr>
          <w:rFonts w:ascii="Arial" w:cs="Arial" w:eastAsia="Arial" w:hAnsi="Arial"/>
          <w:sz w:val="20"/>
          <w:szCs w:val="20"/>
          <w:color w:val="auto"/>
        </w:rPr>
      </w:pPr>
    </w:p>
    <w:p>
      <w:pPr>
        <w:ind w:left="2280" w:hanging="790"/>
        <w:spacing w:after="0"/>
        <w:tabs>
          <w:tab w:leader="none" w:pos="2280" w:val="left"/>
        </w:tabs>
        <w:numPr>
          <w:ilvl w:val="0"/>
          <w:numId w:val="309"/>
        </w:numPr>
        <w:rPr>
          <w:rFonts w:ascii="Arial" w:cs="Arial" w:eastAsia="Arial" w:hAnsi="Arial"/>
          <w:sz w:val="19"/>
          <w:szCs w:val="19"/>
          <w:color w:val="auto"/>
        </w:rPr>
      </w:pPr>
      <w:r>
        <w:rPr>
          <w:rFonts w:ascii="Arial" w:cs="Arial" w:eastAsia="Arial" w:hAnsi="Arial"/>
          <w:sz w:val="19"/>
          <w:szCs w:val="19"/>
          <w:color w:val="auto"/>
        </w:rPr>
        <w:t>any restrictions that arise in connection with cash or other deposits permitted under Section 6.02 and</w:t>
      </w:r>
    </w:p>
    <w:p>
      <w:pPr>
        <w:spacing w:after="0" w:line="2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Section 6.04;</w:t>
      </w:r>
    </w:p>
    <w:p>
      <w:pPr>
        <w:spacing w:after="0" w:line="225" w:lineRule="exact"/>
        <w:rPr>
          <w:rFonts w:ascii="Arial" w:cs="Arial" w:eastAsia="Arial" w:hAnsi="Arial"/>
          <w:sz w:val="19"/>
          <w:szCs w:val="19"/>
          <w:color w:val="auto"/>
        </w:rPr>
      </w:pPr>
    </w:p>
    <w:p>
      <w:pPr>
        <w:jc w:val="both"/>
        <w:ind w:right="20" w:firstLine="1490"/>
        <w:spacing w:after="0" w:line="242" w:lineRule="auto"/>
        <w:tabs>
          <w:tab w:leader="none" w:pos="2286" w:val="left"/>
        </w:tabs>
        <w:numPr>
          <w:ilvl w:val="0"/>
          <w:numId w:val="309"/>
        </w:numPr>
        <w:rPr>
          <w:rFonts w:ascii="Arial" w:cs="Arial" w:eastAsia="Arial" w:hAnsi="Arial"/>
          <w:sz w:val="20"/>
          <w:szCs w:val="20"/>
          <w:color w:val="auto"/>
        </w:rPr>
      </w:pPr>
      <w:r>
        <w:rPr>
          <w:rFonts w:ascii="Arial" w:cs="Arial" w:eastAsia="Arial" w:hAnsi="Arial"/>
          <w:sz w:val="20"/>
          <w:szCs w:val="20"/>
          <w:color w:val="auto"/>
        </w:rPr>
        <w:t>comprise restrictions imposed by any agreement governing Indebtedness entered into on or after the Effective Date and permitted under Section 6.01 if the restrictions contained in any such agreement taken as a whole (a) are not materially less favorable to the Secured Parties than the encumbrances and restrictions contained in the Loan Documents (as determined by the Borrower) or (b) either (I) the Borrower determines at the time of entry into such agreement or instrument that such encumbrances or restrictions will not adversely affect, in any material respect, the Borrower’s ability to make principal or interest payments required hereunder or (II) such encumbrances or restriction applies only during the continuance of a default relating to such agreement or instrument; and</w:t>
      </w:r>
    </w:p>
    <w:p>
      <w:pPr>
        <w:spacing w:after="0" w:line="210" w:lineRule="exact"/>
        <w:rPr>
          <w:rFonts w:ascii="Arial" w:cs="Arial" w:eastAsia="Arial" w:hAnsi="Arial"/>
          <w:sz w:val="20"/>
          <w:szCs w:val="20"/>
          <w:color w:val="auto"/>
        </w:rPr>
      </w:pPr>
    </w:p>
    <w:p>
      <w:pPr>
        <w:ind w:left="2280" w:hanging="790"/>
        <w:spacing w:after="0"/>
        <w:tabs>
          <w:tab w:leader="none" w:pos="228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any FCC License.</w:t>
      </w:r>
    </w:p>
    <w:p>
      <w:pPr>
        <w:spacing w:after="0" w:line="323" w:lineRule="exact"/>
        <w:rPr>
          <w:sz w:val="20"/>
          <w:szCs w:val="20"/>
          <w:color w:val="auto"/>
        </w:rPr>
      </w:pPr>
    </w:p>
    <w:p>
      <w:pPr>
        <w:ind w:left="4120"/>
        <w:spacing w:after="0"/>
        <w:tabs>
          <w:tab w:leader="none" w:pos="5680" w:val="left"/>
          <w:tab w:leader="none" w:pos="6860" w:val="left"/>
          <w:tab w:leader="none" w:pos="7260" w:val="left"/>
        </w:tabs>
        <w:rPr>
          <w:sz w:val="20"/>
          <w:szCs w:val="20"/>
          <w:color w:val="auto"/>
        </w:rPr>
      </w:pPr>
      <w:r>
        <w:rPr>
          <w:rFonts w:ascii="Arial" w:cs="Arial" w:eastAsia="Arial" w:hAnsi="Arial"/>
          <w:sz w:val="20"/>
          <w:szCs w:val="20"/>
          <w:color w:val="010000"/>
        </w:rPr>
        <w:t>SECTION 6.10</w:t>
      </w:r>
      <w:r>
        <w:rPr>
          <w:sz w:val="20"/>
          <w:szCs w:val="20"/>
          <w:color w:val="auto"/>
        </w:rPr>
        <w:tab/>
      </w:r>
      <w:r>
        <w:rPr>
          <w:rFonts w:ascii="Arial" w:cs="Arial" w:eastAsia="Arial" w:hAnsi="Arial"/>
          <w:sz w:val="20"/>
          <w:szCs w:val="20"/>
          <w:u w:val="single" w:color="auto"/>
          <w:color w:val="auto"/>
        </w:rPr>
        <w:t>Amendment</w:t>
        <w:tab/>
        <w:t>of</w:t>
      </w:r>
      <w:r>
        <w:rPr>
          <w:sz w:val="20"/>
          <w:szCs w:val="20"/>
          <w:color w:val="auto"/>
        </w:rPr>
        <w:tab/>
      </w:r>
      <w:r>
        <w:rPr>
          <w:rFonts w:ascii="Arial" w:cs="Arial" w:eastAsia="Arial" w:hAnsi="Arial"/>
          <w:sz w:val="18"/>
          <w:szCs w:val="18"/>
          <w:u w:val="single" w:color="auto"/>
          <w:color w:val="auto"/>
        </w:rPr>
        <w:t>Organizational</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20"/>
          <w:szCs w:val="20"/>
          <w:u w:val="single" w:color="auto"/>
          <w:color w:val="auto"/>
        </w:rPr>
        <w:t>Documents</w:t>
      </w:r>
      <w:r>
        <w:rPr>
          <w:rFonts w:ascii="Arial" w:cs="Arial" w:eastAsia="Arial" w:hAnsi="Arial"/>
          <w:sz w:val="20"/>
          <w:szCs w:val="20"/>
          <w:color w:val="auto"/>
        </w:rPr>
        <w:t>.</w:t>
      </w:r>
    </w:p>
    <w:p>
      <w:pPr>
        <w:spacing w:after="0" w:line="212" w:lineRule="exact"/>
        <w:rPr>
          <w:sz w:val="20"/>
          <w:szCs w:val="20"/>
          <w:color w:val="auto"/>
        </w:rPr>
      </w:pPr>
    </w:p>
    <w:p>
      <w:pPr>
        <w:jc w:val="both"/>
        <w:ind w:right="20" w:firstLine="749"/>
        <w:spacing w:after="0" w:line="249" w:lineRule="auto"/>
        <w:rPr>
          <w:sz w:val="20"/>
          <w:szCs w:val="20"/>
          <w:color w:val="auto"/>
        </w:rPr>
      </w:pPr>
      <w:r>
        <w:rPr>
          <w:rFonts w:ascii="Arial" w:cs="Arial" w:eastAsia="Arial" w:hAnsi="Arial"/>
          <w:sz w:val="20"/>
          <w:szCs w:val="20"/>
          <w:color w:val="auto"/>
        </w:rPr>
        <w:t>The Borrower will not, and will not permit any Restricted Subsidiary to, amend or modify its Organizational Documents if the effect of such amendment or modification, when taken as a whole, is materially adverse to the rights and remedies of the Lenders or the Issuing Banks under the Loan Documents, taken as a whole.</w:t>
      </w:r>
    </w:p>
    <w:p>
      <w:pPr>
        <w:spacing w:after="0" w:line="215" w:lineRule="exact"/>
        <w:rPr>
          <w:sz w:val="20"/>
          <w:szCs w:val="20"/>
          <w:color w:val="auto"/>
        </w:rPr>
      </w:pPr>
    </w:p>
    <w:p>
      <w:pPr>
        <w:jc w:val="center"/>
        <w:ind w:left="1580"/>
        <w:spacing w:after="0"/>
        <w:tabs>
          <w:tab w:leader="none" w:pos="340" w:val="left"/>
        </w:tabs>
        <w:rPr>
          <w:sz w:val="20"/>
          <w:szCs w:val="20"/>
          <w:color w:val="auto"/>
        </w:rPr>
      </w:pPr>
      <w:r>
        <w:rPr>
          <w:rFonts w:ascii="Arial" w:cs="Arial" w:eastAsia="Arial" w:hAnsi="Arial"/>
          <w:sz w:val="20"/>
          <w:szCs w:val="20"/>
          <w:color w:val="010000"/>
        </w:rPr>
        <w:t>SECTION 6.11</w:t>
      </w:r>
      <w:r>
        <w:rPr>
          <w:sz w:val="20"/>
          <w:szCs w:val="20"/>
          <w:color w:val="auto"/>
        </w:rPr>
        <w:tab/>
      </w:r>
      <w:r>
        <w:rPr>
          <w:rFonts w:ascii="Arial" w:cs="Arial" w:eastAsia="Arial" w:hAnsi="Arial"/>
          <w:sz w:val="16"/>
          <w:szCs w:val="16"/>
          <w:u w:val="single" w:color="auto"/>
          <w:color w:val="auto"/>
        </w:rPr>
        <w:t>Financial Performance Covenant</w:t>
      </w:r>
      <w:r>
        <w:rPr>
          <w:rFonts w:ascii="Arial" w:cs="Arial" w:eastAsia="Arial" w:hAnsi="Arial"/>
          <w:sz w:val="16"/>
          <w:szCs w:val="16"/>
          <w:color w:val="auto"/>
        </w:rPr>
        <w:t>.</w:t>
      </w:r>
    </w:p>
    <w:p>
      <w:pPr>
        <w:spacing w:after="0" w:line="228" w:lineRule="exact"/>
        <w:rPr>
          <w:sz w:val="20"/>
          <w:szCs w:val="20"/>
          <w:color w:val="auto"/>
        </w:rPr>
      </w:pPr>
    </w:p>
    <w:p>
      <w:pPr>
        <w:jc w:val="both"/>
        <w:ind w:firstLine="1499"/>
        <w:spacing w:after="0" w:line="241" w:lineRule="auto"/>
        <w:rPr>
          <w:sz w:val="20"/>
          <w:szCs w:val="20"/>
          <w:color w:val="auto"/>
        </w:rPr>
      </w:pPr>
      <w:r>
        <w:rPr>
          <w:rFonts w:ascii="Arial" w:cs="Arial" w:eastAsia="Arial" w:hAnsi="Arial"/>
          <w:sz w:val="20"/>
          <w:szCs w:val="20"/>
          <w:color w:val="auto"/>
        </w:rPr>
        <w:t>As of the end of each Test Period (commencing with the Test Period ending on the last day of the second full fiscal quarter ending after the Effective Date and for each Test Period occurring thereafter) and only in the event that the aggregate Outstanding Amount of Revolving Loans outstanding on the last day of such fiscal quarter (excluding for any Test Period (i) cash collateralized Letters of Credit and (ii) undrawn Letters of Credit) exceeds 35.0% of the aggregate amount of all Revolving Commitments in effect as of such date, the Borrower shall not permit the Senior Secured First Lien Net Leverage Ratio as of the end of the applicable Test Period of the Borrower to be greater than 7.50 to 1.00. To the extent required to be tested with respect to any Test Period pursuant to the preceding sentence, compliance with this Section 6.11 shall be tested on the date that the Financial Statements for the applicable Test Period are delivered (or, if earlier, required to be delivered) pursuant to Section 5.01(a) or (b), as applicable, and not prior to such date.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365" w:right="539" w:bottom="1440" w:gutter="0" w:footer="0" w:header="0"/>
        </w:sectPr>
      </w:pPr>
    </w:p>
    <w:bookmarkStart w:id="331" w:name="page332"/>
    <w:bookmarkEnd w:id="331"/>
    <w:p>
      <w:pPr>
        <w:jc w:val="center"/>
        <w:ind w:right="-39"/>
        <w:spacing w:after="0"/>
        <w:rPr>
          <w:sz w:val="20"/>
          <w:szCs w:val="20"/>
          <w:color w:val="auto"/>
        </w:rPr>
      </w:pPr>
      <w:r>
        <w:rPr>
          <w:rFonts w:ascii="Arial" w:cs="Arial" w:eastAsia="Arial" w:hAnsi="Arial"/>
          <w:sz w:val="20"/>
          <w:szCs w:val="20"/>
          <w:color w:val="auto"/>
        </w:rPr>
        <w:t>ARTICLE VII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w:t>
      </w:r>
    </w:p>
    <w:p>
      <w:pPr>
        <w:spacing w:after="0" w:line="202" w:lineRule="exact"/>
        <w:rPr>
          <w:sz w:val="20"/>
          <w:szCs w:val="20"/>
          <w:color w:val="auto"/>
        </w:rPr>
      </w:pPr>
    </w:p>
    <w:p>
      <w:pPr>
        <w:ind w:left="4080"/>
        <w:spacing w:after="0"/>
        <w:tabs>
          <w:tab w:leader="none" w:pos="5640" w:val="left"/>
        </w:tabs>
        <w:rPr>
          <w:sz w:val="20"/>
          <w:szCs w:val="20"/>
          <w:color w:val="auto"/>
        </w:rPr>
      </w:pPr>
      <w:r>
        <w:rPr>
          <w:rFonts w:ascii="Arial" w:cs="Arial" w:eastAsia="Arial" w:hAnsi="Arial"/>
          <w:sz w:val="20"/>
          <w:szCs w:val="20"/>
          <w:color w:val="010000"/>
        </w:rPr>
        <w:t>SECTION 7.01</w:t>
      </w:r>
      <w:r>
        <w:rPr>
          <w:sz w:val="20"/>
          <w:szCs w:val="20"/>
          <w:color w:val="auto"/>
        </w:rPr>
        <w:tab/>
      </w:r>
      <w:r>
        <w:rPr>
          <w:rFonts w:ascii="Arial" w:cs="Arial" w:eastAsia="Arial" w:hAnsi="Arial"/>
          <w:sz w:val="18"/>
          <w:szCs w:val="18"/>
          <w:color w:val="auto"/>
        </w:rPr>
        <w:t>Events of Default.</w:t>
      </w:r>
    </w:p>
    <w:p>
      <w:pPr>
        <w:spacing w:after="0" w:line="202"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If any of the following events (any such event, an “</w:t>
      </w:r>
      <w:r>
        <w:rPr>
          <w:rFonts w:ascii="Arial" w:cs="Arial" w:eastAsia="Arial" w:hAnsi="Arial"/>
          <w:sz w:val="20"/>
          <w:szCs w:val="20"/>
          <w:u w:val="single" w:color="auto"/>
          <w:color w:val="auto"/>
        </w:rPr>
        <w:t>Event of Default</w:t>
      </w:r>
      <w:r>
        <w:rPr>
          <w:rFonts w:ascii="Arial" w:cs="Arial" w:eastAsia="Arial" w:hAnsi="Arial"/>
          <w:sz w:val="20"/>
          <w:szCs w:val="20"/>
          <w:color w:val="auto"/>
        </w:rPr>
        <w:t>”) shall occur:</w:t>
      </w:r>
    </w:p>
    <w:p>
      <w:pPr>
        <w:spacing w:after="0" w:line="188" w:lineRule="exact"/>
        <w:rPr>
          <w:sz w:val="20"/>
          <w:szCs w:val="20"/>
          <w:color w:val="auto"/>
        </w:rPr>
      </w:pPr>
    </w:p>
    <w:p>
      <w:pPr>
        <w:jc w:val="both"/>
        <w:ind w:left="-40" w:right="20" w:firstLine="1490"/>
        <w:spacing w:after="0" w:line="244" w:lineRule="auto"/>
        <w:tabs>
          <w:tab w:leader="none" w:pos="2192" w:val="left"/>
        </w:tabs>
        <w:numPr>
          <w:ilvl w:val="0"/>
          <w:numId w:val="310"/>
        </w:numPr>
        <w:rPr>
          <w:rFonts w:ascii="Arial" w:cs="Arial" w:eastAsia="Arial" w:hAnsi="Arial"/>
          <w:sz w:val="20"/>
          <w:szCs w:val="20"/>
          <w:color w:val="auto"/>
        </w:rPr>
      </w:pPr>
      <w:r>
        <w:rPr>
          <w:rFonts w:ascii="Arial" w:cs="Arial" w:eastAsia="Arial" w:hAnsi="Arial"/>
          <w:sz w:val="20"/>
          <w:szCs w:val="20"/>
          <w:color w:val="auto"/>
        </w:rPr>
        <w:t xml:space="preserve">any Loan Party shall fail to pay any principal of any Loan or any reimbursement obligation in respect of any LC Disbursement when and as the same shall become due and payable, whether at the due date thereof or at a date fixed for prepayment thereof or otherwise;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non-payment of principal or reimbursement obligation in respect of any LC Disbursement resulting from the Borrower’s good faith payment of an incorrect invoice received from the Administrative Agent shall not constitute an Event of Default;</w:t>
      </w:r>
    </w:p>
    <w:p>
      <w:pPr>
        <w:spacing w:after="0" w:line="179" w:lineRule="exact"/>
        <w:rPr>
          <w:rFonts w:ascii="Arial" w:cs="Arial" w:eastAsia="Arial" w:hAnsi="Arial"/>
          <w:sz w:val="20"/>
          <w:szCs w:val="20"/>
          <w:color w:val="auto"/>
        </w:rPr>
      </w:pPr>
    </w:p>
    <w:p>
      <w:pPr>
        <w:jc w:val="both"/>
        <w:ind w:left="-40" w:firstLine="1490"/>
        <w:spacing w:after="0" w:line="243" w:lineRule="auto"/>
        <w:tabs>
          <w:tab w:leader="none" w:pos="2192" w:val="left"/>
        </w:tabs>
        <w:numPr>
          <w:ilvl w:val="0"/>
          <w:numId w:val="310"/>
        </w:numPr>
        <w:rPr>
          <w:rFonts w:ascii="Arial" w:cs="Arial" w:eastAsia="Arial" w:hAnsi="Arial"/>
          <w:sz w:val="20"/>
          <w:szCs w:val="20"/>
          <w:color w:val="auto"/>
        </w:rPr>
      </w:pPr>
      <w:r>
        <w:rPr>
          <w:rFonts w:ascii="Arial" w:cs="Arial" w:eastAsia="Arial" w:hAnsi="Arial"/>
          <w:sz w:val="20"/>
          <w:szCs w:val="20"/>
          <w:color w:val="auto"/>
        </w:rPr>
        <w:t xml:space="preserve">any Loan Party shall fail to pay (i) any interest on any Loan when and as the same shall become due and payable, and such failure shall continue unremedied for a period of five (5) Business Days, or (ii) any fee or any other amount (other than an amount referred to in paragraph (a) or (b)(i) of this Section 7.01) payable under any Loan Document, when and as the same shall become due and payable, and such failure shall continue unremedied for a period of ten (10) Business Days;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non-payment of interest or other amounts resulting from the Borrower’s good faith payment of an incorrect invoice received from the Administrative Agent shall not constitute an Event of Default;</w:t>
      </w:r>
    </w:p>
    <w:p>
      <w:pPr>
        <w:spacing w:after="0" w:line="180" w:lineRule="exact"/>
        <w:rPr>
          <w:rFonts w:ascii="Arial" w:cs="Arial" w:eastAsia="Arial" w:hAnsi="Arial"/>
          <w:sz w:val="20"/>
          <w:szCs w:val="20"/>
          <w:color w:val="auto"/>
        </w:rPr>
      </w:pPr>
    </w:p>
    <w:p>
      <w:pPr>
        <w:jc w:val="both"/>
        <w:ind w:left="-40" w:firstLine="1490"/>
        <w:spacing w:after="0" w:line="258" w:lineRule="auto"/>
        <w:tabs>
          <w:tab w:leader="none" w:pos="2192" w:val="left"/>
        </w:tabs>
        <w:numPr>
          <w:ilvl w:val="0"/>
          <w:numId w:val="310"/>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on or after the Effective Date by or on behalf of Holdings, the Borrower or any of its Restricted Subsidiaries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and such incorrect representation or warranty (if curable) shall remain incorrect for a period of 30 days after notice thereof from the Administrative Agent to the Borrower;</w:t>
      </w:r>
    </w:p>
    <w:p>
      <w:pPr>
        <w:spacing w:after="0" w:line="154" w:lineRule="exact"/>
        <w:rPr>
          <w:rFonts w:ascii="Arial" w:cs="Arial" w:eastAsia="Arial" w:hAnsi="Arial"/>
          <w:sz w:val="19"/>
          <w:szCs w:val="19"/>
          <w:color w:val="auto"/>
        </w:rPr>
      </w:pPr>
    </w:p>
    <w:p>
      <w:pPr>
        <w:jc w:val="both"/>
        <w:ind w:left="-40" w:right="20" w:firstLine="1490"/>
        <w:spacing w:after="0" w:line="246" w:lineRule="auto"/>
        <w:tabs>
          <w:tab w:leader="none" w:pos="2192" w:val="left"/>
        </w:tabs>
        <w:numPr>
          <w:ilvl w:val="0"/>
          <w:numId w:val="310"/>
        </w:numPr>
        <w:rPr>
          <w:rFonts w:ascii="Arial" w:cs="Arial" w:eastAsia="Arial" w:hAnsi="Arial"/>
          <w:sz w:val="20"/>
          <w:szCs w:val="20"/>
          <w:color w:val="auto"/>
        </w:rPr>
      </w:pPr>
      <w:r>
        <w:rPr>
          <w:rFonts w:ascii="Arial" w:cs="Arial" w:eastAsia="Arial" w:hAnsi="Arial"/>
          <w:sz w:val="20"/>
          <w:szCs w:val="20"/>
          <w:color w:val="auto"/>
        </w:rPr>
        <w:t>(i) the Borrower or any of the Restricted Subsidiaries shall fail to observe or perform any covenant, condition or agreement contained in Sections 5.02(a), 5.04 (with respect to the existence of the Borrower only) or in Article VI (other than the Financial Performance Covenant), or Holdings shall fail to observe or perform any covenant, condition or agreement contained in Section 6.03; or</w:t>
      </w:r>
    </w:p>
    <w:p>
      <w:pPr>
        <w:spacing w:after="0" w:line="176" w:lineRule="exact"/>
        <w:rPr>
          <w:rFonts w:ascii="Arial" w:cs="Arial" w:eastAsia="Arial" w:hAnsi="Arial"/>
          <w:sz w:val="20"/>
          <w:szCs w:val="20"/>
          <w:color w:val="auto"/>
        </w:rPr>
      </w:pPr>
    </w:p>
    <w:p>
      <w:pPr>
        <w:jc w:val="both"/>
        <w:ind w:left="660" w:right="20" w:firstLine="1494"/>
        <w:spacing w:after="0" w:line="272" w:lineRule="auto"/>
        <w:tabs>
          <w:tab w:leader="none" w:pos="289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the Borrower or any of the Restricted Subsidiaries shall fail to observe or perform the Financial Performance Covenant;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failure to observe or perform the Financial Performance Covenant shall not constitute an Event of Default with respect to the Term Loans unless and until the Required Revolving Lenders shall have terminated their Revolving Commitments and declared the Revolving Loans then outstanding to be due and payable and such declaration has not been rescinded;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Event of Default under Section 6.11 is subject to cure as provided in Section 7.02 and an Event of Default with respect to such Section shall not occur until the expiration of the fifteenth (15th) Business Day subsequent to the date on which the Compliance Certificate with respect to the applicable fiscal quarter (or the fiscal year ended on the last day of such fiscal quarter) are required to be delivered pursuant to Section 5.01(d);</w:t>
      </w:r>
    </w:p>
    <w:p>
      <w:pPr>
        <w:spacing w:after="0" w:line="159" w:lineRule="exact"/>
        <w:rPr>
          <w:rFonts w:ascii="Arial" w:cs="Arial" w:eastAsia="Arial" w:hAnsi="Arial"/>
          <w:sz w:val="18"/>
          <w:szCs w:val="18"/>
          <w:color w:val="auto"/>
        </w:rPr>
      </w:pPr>
    </w:p>
    <w:p>
      <w:pPr>
        <w:jc w:val="both"/>
        <w:ind w:left="-40" w:right="20" w:firstLine="1490"/>
        <w:spacing w:after="0" w:line="246" w:lineRule="auto"/>
        <w:tabs>
          <w:tab w:leader="none" w:pos="2192" w:val="left"/>
        </w:tabs>
        <w:numPr>
          <w:ilvl w:val="0"/>
          <w:numId w:val="310"/>
        </w:numPr>
        <w:rPr>
          <w:rFonts w:ascii="Arial" w:cs="Arial" w:eastAsia="Arial" w:hAnsi="Arial"/>
          <w:sz w:val="20"/>
          <w:szCs w:val="20"/>
          <w:color w:val="auto"/>
        </w:rPr>
      </w:pPr>
      <w:r>
        <w:rPr>
          <w:rFonts w:ascii="Arial" w:cs="Arial" w:eastAsia="Arial" w:hAnsi="Arial"/>
          <w:sz w:val="20"/>
          <w:szCs w:val="20"/>
          <w:color w:val="auto"/>
        </w:rPr>
        <w:t>Holdings, the Borrower or any of the Restricted Subsidiaries shall fail to observe or perform any covenant, condition or agreement contained in any Loan Document (other than those specified in paragraph (a), (b) or (d) of this Section 7.01), and such failure shall continue unremedied for a period of thirty (30) days after written notice thereof from the Administrative Agent to the Borrower;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325" w:right="539" w:bottom="1440" w:gutter="0" w:footer="0" w:header="0"/>
        </w:sectPr>
      </w:pPr>
    </w:p>
    <w:bookmarkStart w:id="332" w:name="page333"/>
    <w:bookmarkEnd w:id="332"/>
    <w:p>
      <w:pPr>
        <w:jc w:val="both"/>
        <w:ind w:left="8" w:right="20" w:firstLine="1490"/>
        <w:spacing w:after="0" w:line="256" w:lineRule="auto"/>
        <w:tabs>
          <w:tab w:leader="none" w:pos="2240" w:val="left"/>
        </w:tabs>
        <w:numPr>
          <w:ilvl w:val="1"/>
          <w:numId w:val="311"/>
        </w:numPr>
        <w:rPr>
          <w:rFonts w:ascii="Arial" w:cs="Arial" w:eastAsia="Arial" w:hAnsi="Arial"/>
          <w:sz w:val="19"/>
          <w:szCs w:val="19"/>
          <w:color w:val="auto"/>
        </w:rPr>
      </w:pPr>
      <w:r>
        <w:rPr>
          <w:rFonts w:ascii="Arial" w:cs="Arial" w:eastAsia="Arial" w:hAnsi="Arial"/>
          <w:sz w:val="19"/>
          <w:szCs w:val="19"/>
          <w:color w:val="auto"/>
        </w:rPr>
        <w:t xml:space="preserve">Holdings,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 and all required notices have been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paragraph (f) shall not apply to any Indebtedness if the sole remedy of the holder thereof in the event of such non-payment is to elect to convert such Indebtedness into Qualified Equity Interests and cash in lieu of fractional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paragraph (f) shall not apply to any such failure that (x) is remedied by Holdings, the Borrower or any applicable Restricted Subsidiary or (y) waived (including in the form of amendment) by the requisite holders of the applicable item of Material Indebtedness in either case, prior to acceleration of all the Loans pursuant to this Section 7.01;</w:t>
      </w:r>
    </w:p>
    <w:p>
      <w:pPr>
        <w:spacing w:after="0" w:line="158" w:lineRule="exact"/>
        <w:rPr>
          <w:rFonts w:ascii="Arial" w:cs="Arial" w:eastAsia="Arial" w:hAnsi="Arial"/>
          <w:sz w:val="19"/>
          <w:szCs w:val="19"/>
          <w:color w:val="auto"/>
        </w:rPr>
      </w:pPr>
    </w:p>
    <w:p>
      <w:pPr>
        <w:jc w:val="both"/>
        <w:ind w:left="8" w:right="20" w:firstLine="1490"/>
        <w:spacing w:after="0" w:line="304" w:lineRule="auto"/>
        <w:tabs>
          <w:tab w:leader="none" w:pos="224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all applicable grace periods having expired and all required notices have been given)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paragraph</w:t>
      </w:r>
    </w:p>
    <w:p>
      <w:pPr>
        <w:jc w:val="both"/>
        <w:ind w:left="8" w:right="20" w:hanging="8"/>
        <w:spacing w:after="0" w:line="268" w:lineRule="auto"/>
        <w:tabs>
          <w:tab w:leader="none" w:pos="29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termination events or similar events occurring under any Swap Agreement that constitutes Material Indebtedness (it being understood that paragraph (f) of this Section 7.01 will apply to any failure to make any payment required as a result of any such termination or similar event) or (iii) any Indebtedness if the sole remedy of the holder thereof following such event or condition is to elect to convert such Indebtedness into Qualified Equity Interests and cash in lieu of fractional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paragraph (g) shall not apply to any such failure that (x) is remedied by Holdings, the Borrower or any applicable Restricted Subsidiary or (y) waived (including in the form of amendment) by the requisite holders of the applicable item of Material Indebtedness in either case, prior to acceleration of all the Loans pursuant to this Section 7.01;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w:t>
      </w:r>
    </w:p>
    <w:p>
      <w:pPr>
        <w:spacing w:after="0" w:line="161" w:lineRule="exact"/>
        <w:rPr>
          <w:rFonts w:ascii="Arial" w:cs="Arial" w:eastAsia="Arial" w:hAnsi="Arial"/>
          <w:sz w:val="18"/>
          <w:szCs w:val="18"/>
          <w:color w:val="auto"/>
        </w:rPr>
      </w:pPr>
    </w:p>
    <w:p>
      <w:pPr>
        <w:jc w:val="both"/>
        <w:ind w:left="8" w:firstLine="1490"/>
        <w:spacing w:after="0" w:line="274" w:lineRule="auto"/>
        <w:tabs>
          <w:tab w:leader="none" w:pos="2241"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court protection, examination, reorganization or other relief in respect of Holdings, the Borrower or any Material Subsidiary or its debts, or of a material part of its assets, under any Federal, state or foreign bankruptcy, insolvency, examinership, receivership or similar law, now or hereafter in effect or (ii) the appointment of a receiver, trustee, custodian, examiner, sequestrator, conservator, interim receiver, liquidator, receiver and manager, administrative receiver, administrator, insolvency practitioner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152" w:lineRule="exact"/>
        <w:rPr>
          <w:rFonts w:ascii="Arial" w:cs="Arial" w:eastAsia="Arial" w:hAnsi="Arial"/>
          <w:sz w:val="18"/>
          <w:szCs w:val="18"/>
          <w:color w:val="auto"/>
        </w:rPr>
      </w:pPr>
    </w:p>
    <w:p>
      <w:pPr>
        <w:jc w:val="both"/>
        <w:ind w:left="8" w:right="20" w:firstLine="1490"/>
        <w:spacing w:after="0" w:line="242" w:lineRule="auto"/>
        <w:tabs>
          <w:tab w:leader="none" w:pos="2240" w:val="left"/>
        </w:tabs>
        <w:numPr>
          <w:ilvl w:val="1"/>
          <w:numId w:val="312"/>
        </w:numPr>
        <w:rPr>
          <w:rFonts w:ascii="Arial" w:cs="Arial" w:eastAsia="Arial" w:hAnsi="Arial"/>
          <w:sz w:val="20"/>
          <w:szCs w:val="20"/>
          <w:color w:val="auto"/>
        </w:rPr>
      </w:pPr>
      <w:r>
        <w:rPr>
          <w:rFonts w:ascii="Arial" w:cs="Arial" w:eastAsia="Arial" w:hAnsi="Arial"/>
          <w:sz w:val="20"/>
          <w:szCs w:val="20"/>
          <w:color w:val="auto"/>
        </w:rPr>
        <w:t>Holdings, the Borrower or any Material Subsidiary shall (i) voluntarily commence any proceeding or file any petition seeking liquidation, court protection, examinership, reorganization or other relief under any Federal, state or foreign bankruptcy, insolvency, examinership, receivership or similar law, now or hereafter in effect (but excluding any such proceeding or petition (other than under the Bankruptcy Code) the sole purpose of which is to effect a transaction permitted under Section 6.03(a) that is not otherwise prohibited by the Loan Documents), (ii) consent to the institution of, or fail to contest in a timely and appropriate manner, any proceeding or petition described in paragraph (h) of this Section 7.01, (iii) apply for or consent to the appointment of a receiver, trustee, examiner, custodian, sequestrator,</w:t>
      </w:r>
    </w:p>
    <w:p>
      <w:pPr>
        <w:spacing w:after="0" w:line="197" w:lineRule="exact"/>
        <w:rPr>
          <w:sz w:val="20"/>
          <w:szCs w:val="20"/>
          <w:color w:val="auto"/>
        </w:rPr>
      </w:pPr>
    </w:p>
    <w:p>
      <w:pPr>
        <w:jc w:val="center"/>
        <w:ind w:right="-27"/>
        <w:spacing w:after="0"/>
        <w:rPr>
          <w:sz w:val="20"/>
          <w:szCs w:val="20"/>
          <w:color w:val="auto"/>
        </w:rPr>
      </w:pPr>
      <w:r>
        <w:rPr>
          <w:rFonts w:ascii="Arial" w:cs="Arial" w:eastAsia="Arial" w:hAnsi="Arial"/>
          <w:sz w:val="20"/>
          <w:szCs w:val="20"/>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492" w:top="325" w:right="539" w:bottom="1440" w:gutter="0" w:footer="0" w:header="0"/>
        </w:sectPr>
      </w:pPr>
    </w:p>
    <w:bookmarkStart w:id="333" w:name="page334"/>
    <w:bookmarkEnd w:id="333"/>
    <w:p>
      <w:pPr>
        <w:jc w:val="both"/>
        <w:ind w:left="8" w:right="20"/>
        <w:spacing w:after="0" w:line="278" w:lineRule="auto"/>
        <w:rPr>
          <w:sz w:val="20"/>
          <w:szCs w:val="20"/>
          <w:color w:val="auto"/>
        </w:rPr>
      </w:pPr>
      <w:r>
        <w:rPr>
          <w:rFonts w:ascii="Arial" w:cs="Arial" w:eastAsia="Arial" w:hAnsi="Arial"/>
          <w:sz w:val="18"/>
          <w:szCs w:val="18"/>
          <w:color w:val="auto"/>
        </w:rPr>
        <w:t>conservator, interim receiver, interim examiner, liquidator, receiver and manager, administrative receiver, administrator, insolvency practitioner or similar official for Holdings, the Borrower or any Material Subsidiary or for a material part of its assets (but excluding any such application or consent (other than under the Bankruptcy Code) the sole purpose of which is to effect a transaction permitted under Section 6.03(a) that is not otherwise prohibited by the Loan Documents), (iv) file an answer admitting the material allegations of a petition filed against it in any such proceeding or (v) make a general assignment for the benefit of creditors;</w:t>
      </w:r>
    </w:p>
    <w:p>
      <w:pPr>
        <w:spacing w:after="0" w:line="136" w:lineRule="exact"/>
        <w:rPr>
          <w:sz w:val="20"/>
          <w:szCs w:val="20"/>
          <w:color w:val="auto"/>
        </w:rPr>
      </w:pPr>
    </w:p>
    <w:p>
      <w:pPr>
        <w:jc w:val="both"/>
        <w:ind w:left="8" w:right="20" w:firstLine="1490"/>
        <w:spacing w:after="0" w:line="244" w:lineRule="auto"/>
        <w:tabs>
          <w:tab w:leader="none" w:pos="2240" w:val="left"/>
        </w:tabs>
        <w:numPr>
          <w:ilvl w:val="1"/>
          <w:numId w:val="313"/>
        </w:numPr>
        <w:rPr>
          <w:rFonts w:ascii="Arial" w:cs="Arial" w:eastAsia="Arial" w:hAnsi="Arial"/>
          <w:sz w:val="20"/>
          <w:szCs w:val="20"/>
          <w:color w:val="auto"/>
        </w:rPr>
      </w:pPr>
      <w:r>
        <w:rPr>
          <w:rFonts w:ascii="Arial" w:cs="Arial" w:eastAsia="Arial" w:hAnsi="Arial"/>
          <w:sz w:val="20"/>
          <w:szCs w:val="20"/>
          <w:color w:val="auto"/>
        </w:rPr>
        <w:t>one or more enforceable judgments for the payment of money in an aggregate amount in excess of $30,000,000 (to the extent not covered by insurance or another creditworthy (as reasonably determined by the Administrative Agent) indemnitor, and as to which such insurer or indemnitor has not denied coverage) shall be rendered against Holdings, the Borrower, any Material Subsidiary or any combination thereof and the same shall remain undischarged, unvacated, unbonded or unstayed for a period of 60 consecutive days;</w:t>
      </w:r>
    </w:p>
    <w:p>
      <w:pPr>
        <w:spacing w:after="0" w:line="179" w:lineRule="exact"/>
        <w:rPr>
          <w:rFonts w:ascii="Arial" w:cs="Arial" w:eastAsia="Arial" w:hAnsi="Arial"/>
          <w:sz w:val="20"/>
          <w:szCs w:val="20"/>
          <w:color w:val="auto"/>
        </w:rPr>
      </w:pPr>
    </w:p>
    <w:p>
      <w:pPr>
        <w:ind w:left="8" w:right="20" w:firstLine="1490"/>
        <w:spacing w:after="0" w:line="260" w:lineRule="auto"/>
        <w:tabs>
          <w:tab w:leader="none" w:pos="2240" w:val="left"/>
        </w:tabs>
        <w:numPr>
          <w:ilvl w:val="1"/>
          <w:numId w:val="313"/>
        </w:numPr>
        <w:rPr>
          <w:rFonts w:ascii="Arial" w:cs="Arial" w:eastAsia="Arial" w:hAnsi="Arial"/>
          <w:sz w:val="20"/>
          <w:szCs w:val="20"/>
          <w:color w:val="auto"/>
        </w:rPr>
      </w:pPr>
      <w:r>
        <w:rPr>
          <w:rFonts w:ascii="Arial" w:cs="Arial" w:eastAsia="Arial" w:hAnsi="Arial"/>
          <w:sz w:val="20"/>
          <w:szCs w:val="20"/>
          <w:color w:val="auto"/>
        </w:rPr>
        <w:t>an ERISA Event occurs that has resulted or would reasonably be expected, individually or together with any other ERISA Event(s) in the aggregate to result in a Material Adverse Effect;</w:t>
      </w:r>
    </w:p>
    <w:p>
      <w:pPr>
        <w:spacing w:after="0" w:line="162" w:lineRule="exact"/>
        <w:rPr>
          <w:rFonts w:ascii="Arial" w:cs="Arial" w:eastAsia="Arial" w:hAnsi="Arial"/>
          <w:sz w:val="20"/>
          <w:szCs w:val="20"/>
          <w:color w:val="auto"/>
        </w:rPr>
      </w:pPr>
    </w:p>
    <w:p>
      <w:pPr>
        <w:jc w:val="both"/>
        <w:ind w:left="8" w:right="20" w:firstLine="1490"/>
        <w:spacing w:after="0" w:line="305" w:lineRule="auto"/>
        <w:tabs>
          <w:tab w:leader="none" w:pos="224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any Lien purported to be created under any Security Document shall cease to be, or shall be asserted by any Loan Party not to be (other than in an informational notice), a valid and perfected (if and to the extent required to be perfected under the Loan Documents) Lien on any material portion of the Collateral, with the priority required by the applicable Security Documents, except</w:t>
      </w:r>
    </w:p>
    <w:p>
      <w:pPr>
        <w:spacing w:after="0" w:line="2" w:lineRule="exact"/>
        <w:rPr>
          <w:rFonts w:ascii="Arial" w:cs="Arial" w:eastAsia="Arial" w:hAnsi="Arial"/>
          <w:sz w:val="16"/>
          <w:szCs w:val="16"/>
          <w:color w:val="auto"/>
        </w:rPr>
      </w:pPr>
    </w:p>
    <w:p>
      <w:pPr>
        <w:jc w:val="both"/>
        <w:ind w:left="8" w:right="20" w:hanging="8"/>
        <w:spacing w:after="0" w:line="239" w:lineRule="auto"/>
        <w:tabs>
          <w:tab w:leader="none" w:pos="274" w:val="left"/>
        </w:tabs>
        <w:numPr>
          <w:ilvl w:val="0"/>
          <w:numId w:val="314"/>
        </w:numPr>
        <w:rPr>
          <w:rFonts w:ascii="Arial" w:cs="Arial" w:eastAsia="Arial" w:hAnsi="Arial"/>
          <w:sz w:val="20"/>
          <w:szCs w:val="20"/>
          <w:color w:val="auto"/>
        </w:rPr>
      </w:pPr>
      <w:r>
        <w:rPr>
          <w:rFonts w:ascii="Arial" w:cs="Arial" w:eastAsia="Arial" w:hAnsi="Arial"/>
          <w:sz w:val="20"/>
          <w:szCs w:val="20"/>
          <w:color w:val="auto"/>
        </w:rPr>
        <w:t>as a result of the release of a Loan Party (including as a result of the designation of a Restricted Subsidiary as an Unrestricted Subsidiary) or the sale or other disposition of the applicable Collateral to a Person that is not a Loan Party in a transaction permitted under the Loan Documents, (ii) as a result of the Collateral Agent’s failure to (A) maintain possession of any stock certificates, promissory notes or other instruments delivered to it under the Security Documents or (B) file Uniform Commercial Code amendment or continuation financing statements or (iii) as to Collateral consisting of real property to the extent that such losses are covered by a lender’s title insurance policy and such insurer has not denied coverage or (iv) as a result of acts or omissions of the Collateral Agent, the Administrative Agent or any Lender;</w:t>
      </w:r>
    </w:p>
    <w:p>
      <w:pPr>
        <w:spacing w:after="0" w:line="174" w:lineRule="exact"/>
        <w:rPr>
          <w:rFonts w:ascii="Arial" w:cs="Arial" w:eastAsia="Arial" w:hAnsi="Arial"/>
          <w:sz w:val="20"/>
          <w:szCs w:val="20"/>
          <w:color w:val="auto"/>
        </w:rPr>
      </w:pPr>
    </w:p>
    <w:p>
      <w:pPr>
        <w:jc w:val="both"/>
        <w:ind w:left="8" w:firstLine="1490"/>
        <w:spacing w:after="0" w:line="249" w:lineRule="auto"/>
        <w:tabs>
          <w:tab w:leader="none" w:pos="2240" w:val="left"/>
        </w:tabs>
        <w:numPr>
          <w:ilvl w:val="1"/>
          <w:numId w:val="314"/>
        </w:numPr>
        <w:rPr>
          <w:rFonts w:ascii="Arial" w:cs="Arial" w:eastAsia="Arial" w:hAnsi="Arial"/>
          <w:sz w:val="20"/>
          <w:szCs w:val="20"/>
          <w:color w:val="auto"/>
        </w:rPr>
      </w:pPr>
      <w:r>
        <w:rPr>
          <w:rFonts w:ascii="Arial" w:cs="Arial" w:eastAsia="Arial" w:hAnsi="Arial"/>
          <w:sz w:val="20"/>
          <w:szCs w:val="20"/>
          <w:color w:val="auto"/>
        </w:rPr>
        <w:t>any material provision of any Loan Document or any Guarantee of the Loan Document Obligations shall for any reason be asserted by any Loan Party not to be a legal, valid and binding obligation of any Loan Party thereto other than as expressly permitted hereunder or thereunder;</w:t>
      </w:r>
    </w:p>
    <w:p>
      <w:pPr>
        <w:spacing w:after="0" w:line="174" w:lineRule="exact"/>
        <w:rPr>
          <w:rFonts w:ascii="Arial" w:cs="Arial" w:eastAsia="Arial" w:hAnsi="Arial"/>
          <w:sz w:val="20"/>
          <w:szCs w:val="20"/>
          <w:color w:val="auto"/>
        </w:rPr>
      </w:pPr>
    </w:p>
    <w:p>
      <w:pPr>
        <w:jc w:val="both"/>
        <w:ind w:left="8" w:right="20" w:firstLine="1490"/>
        <w:spacing w:after="0" w:line="290" w:lineRule="auto"/>
        <w:tabs>
          <w:tab w:leader="none" w:pos="22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any material portion of the Guarantees of the Loan Document Obligations pursuant to the Guarantee Agreement, taken as a whole, shall cease to be in full force and effect (in each case, other than the occurrence of the Termination Date or otherwise in accordance with the terms of the Loan Documents including as a result of transactions permitted hereunder); or</w:t>
      </w:r>
    </w:p>
    <w:p>
      <w:pPr>
        <w:spacing w:after="0" w:line="139" w:lineRule="exact"/>
        <w:rPr>
          <w:rFonts w:ascii="Arial" w:cs="Arial" w:eastAsia="Arial" w:hAnsi="Arial"/>
          <w:sz w:val="18"/>
          <w:szCs w:val="18"/>
          <w:color w:val="auto"/>
        </w:rPr>
      </w:pPr>
    </w:p>
    <w:p>
      <w:pPr>
        <w:jc w:val="both"/>
        <w:ind w:left="8" w:right="20" w:firstLine="1490"/>
        <w:spacing w:after="0" w:line="272" w:lineRule="auto"/>
        <w:tabs>
          <w:tab w:leader="none" w:pos="22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 Change in Control shall occur; then, and in every such event (other than an event with respect to Holdings, the Borrower described in paragraph (h) or (i) of this Section 7.01), and at any time thereafter during the continuance of such event, the Administrative Agent at the request of the Required Lenders (or in the case of an Event of Default under Section 7.02(d)(ii), unless the condition set forth in the first proviso to Section 7.01(d)(ii) has been satisfied, the Required Revolving Lenders with respect to the Revolving Commitments and/or the Revolving Loans)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following actions may not be taken (A) in the case of an Event of Default under Section 7.01(d)(ii), until the ability to exercise the Cure Right under Section 7.02 has expired (but may be taken as soon as the ability to exercise the Cure Right has expired and it has not been so exercised) and (B) in the case of an Event of Default under Section 7.01(d)(i), if the express conditions in the last proviso contained in Section 7.01(d)(i) have been satisfied) shall, by notice to the Borrower, take any or all of the following actions, at the same or different times: (i)</w:t>
      </w:r>
    </w:p>
    <w:p>
      <w:pPr>
        <w:spacing w:after="0" w:line="168" w:lineRule="exact"/>
        <w:rPr>
          <w:sz w:val="20"/>
          <w:szCs w:val="20"/>
          <w:color w:val="auto"/>
        </w:rPr>
      </w:pPr>
    </w:p>
    <w:p>
      <w:pPr>
        <w:jc w:val="center"/>
        <w:ind w:right="-47"/>
        <w:spacing w:after="0"/>
        <w:rPr>
          <w:sz w:val="20"/>
          <w:szCs w:val="20"/>
          <w:color w:val="auto"/>
        </w:rPr>
      </w:pPr>
      <w:r>
        <w:rPr>
          <w:rFonts w:ascii="Arial" w:cs="Arial" w:eastAsia="Arial" w:hAnsi="Arial"/>
          <w:sz w:val="20"/>
          <w:szCs w:val="20"/>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492" w:top="325" w:right="539" w:bottom="1440" w:gutter="0" w:footer="0" w:header="0"/>
        </w:sectPr>
      </w:pPr>
    </w:p>
    <w:bookmarkStart w:id="334" w:name="page335"/>
    <w:bookmarkEnd w:id="334"/>
    <w:p>
      <w:pPr>
        <w:jc w:val="both"/>
        <w:ind w:right="20"/>
        <w:spacing w:after="0" w:line="269" w:lineRule="auto"/>
        <w:rPr>
          <w:sz w:val="20"/>
          <w:szCs w:val="20"/>
          <w:color w:val="auto"/>
        </w:rPr>
      </w:pPr>
      <w:r>
        <w:rPr>
          <w:rFonts w:ascii="Arial" w:cs="Arial" w:eastAsia="Arial" w:hAnsi="Arial"/>
          <w:sz w:val="18"/>
          <w:szCs w:val="18"/>
          <w:color w:val="auto"/>
        </w:rPr>
        <w:t>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(iii) demand the Borrower deposit cash collateral with the Administrative Agent as contemplated by Section 2.05(j) in the aggregate LC Exposure Amount of all outstanding Letters of Credit and thereupon the principal of the Loans and the LC Exposure of all Letters of Credit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Section 7.01,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Notwithstanding anything to the contrary set forth herein, neither the Administrative Agent nor any Lender shall take any remedial action that would constitute an assignment of any material FCC License issued to or otherwise held by any Loan Party or its Restricted Subsidiaries or transfer of control of any Loan Party, or its Restricted Subsidiaries in each case, in violation of any material aspect of any Communications Laws and, to the extent consent of the FCC is required, without the prior consent of the FCC.</w:t>
      </w:r>
    </w:p>
    <w:p>
      <w:pPr>
        <w:spacing w:after="0" w:line="15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 xml:space="preserve">Notwithstanding any other provisions herein or in any other Loan Document to the contrary, no dollar-denominated basket under Article VI shall be treated as having been breached if the relevant breach would not have occurred but for any fluctuation in exchange rates, and no action taken and reported to the Administrative Agent and the Lenders or otherwise publicly available shall provide the basis for any Event of Default more than two (2) years after the date on which such action was reported to the Administrative Agent and the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limitation shall not apply to the extent the Administrative Agent has commenced any remedial action or has provided notice to the Borrower that it reserved its rights relating to such Event of Default.</w:t>
      </w:r>
    </w:p>
    <w:p>
      <w:pPr>
        <w:spacing w:after="0" w:line="155" w:lineRule="exact"/>
        <w:rPr>
          <w:sz w:val="20"/>
          <w:szCs w:val="20"/>
          <w:color w:val="auto"/>
        </w:rPr>
      </w:pPr>
    </w:p>
    <w:p>
      <w:pPr>
        <w:jc w:val="both"/>
        <w:ind w:firstLine="749"/>
        <w:spacing w:after="0" w:line="309" w:lineRule="auto"/>
        <w:rPr>
          <w:sz w:val="20"/>
          <w:szCs w:val="20"/>
          <w:color w:val="auto"/>
        </w:rPr>
      </w:pPr>
      <w:r>
        <w:rPr>
          <w:rFonts w:ascii="Arial" w:cs="Arial" w:eastAsia="Arial" w:hAnsi="Arial"/>
          <w:sz w:val="16"/>
          <w:szCs w:val="16"/>
          <w:color w:val="auto"/>
        </w:rPr>
        <w:t xml:space="preserve">Notwithstanding anything herein to the contrary, any notice of Default, Event of Default, acceleration action or direction or requirement to undertake action relating to a Default or Event of Default provided to the Borrower by the Administrative Agent on behalf of one or more Lenders that have expressly requested that such notice be given to the Borrower must be accompanied by a written Net Short Representation from any such Lender (other than an Unrestricted Lender) delivered to the Borrower (with a copy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absence of any such written Net Short Representation, each such Lender shall be deemed to have represented and warranted to the Borrowers and the Administrative Agent that it is not a Net Short Lender (it being understood and agreed that the Borrower and the Administrative Agent shall be entitled to rely conclusively on each such representation and deemed representation, and neither the Borrower nor the Administrative Agent shall have any duty to independently verify the accuracy of any such representation or deemed representation) and (B) no Net Short Representation shall be required to be delivered during the pendency of a Default or Event of Default caused by any bankruptcy, insolvency, examinership, receivership or other similar proceeding.</w:t>
      </w:r>
    </w:p>
    <w:p>
      <w:pPr>
        <w:spacing w:after="0" w:line="363" w:lineRule="exact"/>
        <w:rPr>
          <w:sz w:val="20"/>
          <w:szCs w:val="20"/>
          <w:color w:val="auto"/>
        </w:rPr>
      </w:pPr>
    </w:p>
    <w:p>
      <w:pPr>
        <w:jc w:val="center"/>
        <w:ind w:right="-79"/>
        <w:spacing w:after="0"/>
        <w:tabs>
          <w:tab w:leader="none" w:pos="340" w:val="left"/>
        </w:tabs>
        <w:rPr>
          <w:sz w:val="20"/>
          <w:szCs w:val="20"/>
          <w:color w:val="auto"/>
        </w:rPr>
      </w:pPr>
      <w:r>
        <w:rPr>
          <w:rFonts w:ascii="Arial" w:cs="Arial" w:eastAsia="Arial" w:hAnsi="Arial"/>
          <w:sz w:val="20"/>
          <w:szCs w:val="20"/>
          <w:color w:val="010000"/>
        </w:rPr>
        <w:t>SECTION 7.02</w:t>
      </w:r>
      <w:r>
        <w:rPr>
          <w:sz w:val="20"/>
          <w:szCs w:val="20"/>
          <w:color w:val="auto"/>
        </w:rPr>
        <w:tab/>
      </w:r>
      <w:r>
        <w:rPr>
          <w:rFonts w:ascii="Arial" w:cs="Arial" w:eastAsia="Arial" w:hAnsi="Arial"/>
          <w:sz w:val="18"/>
          <w:szCs w:val="18"/>
          <w:u w:val="single" w:color="auto"/>
          <w:color w:val="auto"/>
        </w:rPr>
        <w:t>Right to Cure</w:t>
      </w:r>
      <w:r>
        <w:rPr>
          <w:rFonts w:ascii="Arial" w:cs="Arial" w:eastAsia="Arial" w:hAnsi="Arial"/>
          <w:sz w:val="18"/>
          <w:szCs w:val="18"/>
          <w:color w:val="auto"/>
        </w:rPr>
        <w: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325" w:right="539" w:bottom="1440" w:gutter="0" w:footer="0" w:header="0"/>
        </w:sectPr>
      </w:pPr>
    </w:p>
    <w:bookmarkStart w:id="335" w:name="page336"/>
    <w:bookmarkEnd w:id="335"/>
    <w:p>
      <w:pPr>
        <w:jc w:val="both"/>
        <w:ind w:right="40" w:firstLine="1490"/>
        <w:spacing w:after="0" w:line="256" w:lineRule="auto"/>
        <w:tabs>
          <w:tab w:leader="none" w:pos="2232" w:val="left"/>
        </w:tabs>
        <w:numPr>
          <w:ilvl w:val="0"/>
          <w:numId w:val="315"/>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Section 7.01, in the event that the Borrower and its Restricted Subsidiaries fail to comply with the requirements of the Financial Performance Covenant as of the last day of any applicable fiscal quarter of the Borrower, at any time after the beginning of such fiscal quarter until the expiration of the fifteenth (15th) Business Day subsequent to the date on which the Compliance Certificate with respect to such fiscal quarter (or the fiscal year ended on the last day of such fiscal quarter) is required to be delivered pursuant to Section 5.01(d) (the “</w:t>
      </w:r>
      <w:r>
        <w:rPr>
          <w:rFonts w:ascii="Arial" w:cs="Arial" w:eastAsia="Arial" w:hAnsi="Arial"/>
          <w:sz w:val="19"/>
          <w:szCs w:val="19"/>
          <w:u w:val="single" w:color="auto"/>
          <w:color w:val="auto"/>
        </w:rPr>
        <w:t>Cure Termination Date</w:t>
      </w:r>
      <w:r>
        <w:rPr>
          <w:rFonts w:ascii="Arial" w:cs="Arial" w:eastAsia="Arial" w:hAnsi="Arial"/>
          <w:sz w:val="19"/>
          <w:szCs w:val="19"/>
          <w:color w:val="auto"/>
        </w:rPr>
        <w:t>”), the Borrower shall have the right to issue Qualified Equity Interests for cash or otherwise receive cash contributions to the capital of the Borrower as cash common equity or other Qualified Equity Interests (collectively, the “</w:t>
      </w:r>
      <w:r>
        <w:rPr>
          <w:rFonts w:ascii="Arial" w:cs="Arial" w:eastAsia="Arial" w:hAnsi="Arial"/>
          <w:sz w:val="19"/>
          <w:szCs w:val="19"/>
          <w:u w:val="single" w:color="auto"/>
          <w:color w:val="auto"/>
        </w:rPr>
        <w:t>Cure Right</w:t>
      </w:r>
      <w:r>
        <w:rPr>
          <w:rFonts w:ascii="Arial" w:cs="Arial" w:eastAsia="Arial" w:hAnsi="Arial"/>
          <w:sz w:val="19"/>
          <w:szCs w:val="19"/>
          <w:color w:val="auto"/>
        </w:rPr>
        <w:t>”), and upon the receipt by the Borrower of the Net Proceeds of such issuance (the “</w:t>
      </w:r>
      <w:r>
        <w:rPr>
          <w:rFonts w:ascii="Arial" w:cs="Arial" w:eastAsia="Arial" w:hAnsi="Arial"/>
          <w:sz w:val="19"/>
          <w:szCs w:val="19"/>
          <w:u w:val="single" w:color="auto"/>
          <w:color w:val="auto"/>
        </w:rPr>
        <w:t>Cure Amount</w:t>
      </w:r>
      <w:r>
        <w:rPr>
          <w:rFonts w:ascii="Arial" w:cs="Arial" w:eastAsia="Arial" w:hAnsi="Arial"/>
          <w:sz w:val="19"/>
          <w:szCs w:val="19"/>
          <w:color w:val="auto"/>
        </w:rPr>
        <w:t>”) pursuant to the exercise by the Borrower of such Cure Right the Financial Performance Covenant shall be recalculated giving effect to the following pro forma adjustment:</w:t>
      </w:r>
    </w:p>
    <w:p>
      <w:pPr>
        <w:spacing w:after="0" w:line="154" w:lineRule="exact"/>
        <w:rPr>
          <w:rFonts w:ascii="Arial" w:cs="Arial" w:eastAsia="Arial" w:hAnsi="Arial"/>
          <w:sz w:val="19"/>
          <w:szCs w:val="19"/>
          <w:color w:val="auto"/>
        </w:rPr>
      </w:pPr>
    </w:p>
    <w:p>
      <w:pPr>
        <w:jc w:val="both"/>
        <w:ind w:left="740" w:firstLine="1499"/>
        <w:spacing w:after="0" w:line="290" w:lineRule="auto"/>
        <w:tabs>
          <w:tab w:leader="none" w:pos="3341" w:val="left"/>
        </w:tabs>
        <w:numPr>
          <w:ilvl w:val="1"/>
          <w:numId w:val="315"/>
        </w:numPr>
        <w:rPr>
          <w:rFonts w:ascii="Arial" w:cs="Arial" w:eastAsia="Arial" w:hAnsi="Arial"/>
          <w:sz w:val="18"/>
          <w:szCs w:val="18"/>
          <w:color w:val="010000"/>
        </w:rPr>
      </w:pPr>
      <w:r>
        <w:rPr>
          <w:rFonts w:ascii="Arial" w:cs="Arial" w:eastAsia="Arial" w:hAnsi="Arial"/>
          <w:sz w:val="18"/>
          <w:szCs w:val="18"/>
          <w:color w:val="auto"/>
        </w:rPr>
        <w:t>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and</w:t>
      </w:r>
    </w:p>
    <w:p>
      <w:pPr>
        <w:spacing w:after="0" w:line="139" w:lineRule="exact"/>
        <w:rPr>
          <w:rFonts w:ascii="Arial" w:cs="Arial" w:eastAsia="Arial" w:hAnsi="Arial"/>
          <w:sz w:val="18"/>
          <w:szCs w:val="18"/>
          <w:color w:val="010000"/>
        </w:rPr>
      </w:pPr>
    </w:p>
    <w:p>
      <w:pPr>
        <w:jc w:val="both"/>
        <w:ind w:left="740" w:right="40" w:firstLine="1499"/>
        <w:spacing w:after="0" w:line="272" w:lineRule="auto"/>
        <w:tabs>
          <w:tab w:leader="none" w:pos="3338" w:val="left"/>
        </w:tabs>
        <w:numPr>
          <w:ilvl w:val="1"/>
          <w:numId w:val="315"/>
        </w:numPr>
        <w:rPr>
          <w:rFonts w:ascii="Arial" w:cs="Arial" w:eastAsia="Arial" w:hAnsi="Arial"/>
          <w:sz w:val="18"/>
          <w:szCs w:val="18"/>
          <w:color w:val="010000"/>
        </w:rPr>
      </w:pPr>
      <w:r>
        <w:rPr>
          <w:rFonts w:ascii="Arial" w:cs="Arial" w:eastAsia="Arial" w:hAnsi="Arial"/>
          <w:sz w:val="18"/>
          <w:szCs w:val="18"/>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the Financial Performance Covenant, the Borrower and its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or event of default of the Financial Performance Covenant that had occurred shall be deemed cured for the purposes of this Agreement and the other Loan Documents;</w:t>
      </w:r>
    </w:p>
    <w:p>
      <w:pPr>
        <w:spacing w:after="0" w:line="159"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have notified the Administrative Agent of the exercise of such Cure Right within five (5) Business Days of the issuance of the relevant Qualified Equity Interests for cash or the receipt of the cash contributions by the Borrower.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325" w:right="519" w:bottom="1440" w:gutter="0" w:footer="0" w:header="0"/>
        </w:sectPr>
      </w:pPr>
    </w:p>
    <w:bookmarkStart w:id="336" w:name="page337"/>
    <w:bookmarkEnd w:id="336"/>
    <w:p>
      <w:pPr>
        <w:jc w:val="both"/>
        <w:ind w:firstLine="1490"/>
        <w:spacing w:after="0" w:line="268" w:lineRule="auto"/>
        <w:tabs>
          <w:tab w:leader="none" w:pos="223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(i) in each four consecutive fiscal quarter period of the Borrower there shall be at least two (2) fiscal quarters in which the Cure Right is not exercised, (ii) during the term of this Agreement, the Cure Right shall not be exercised more than five (5) times, (iii) for purposes of this Section 7.02, the Cure Amount shall be no greater than the amount required for purposes of complying with the Financial Performance Covenant and any amounts in excess thereof shall not be deemed to be a Cure Amount, (iv) the Lenders shall not be obligated to extend credit in the form of Revolving Loans or issue new Letters of Credit until the Cure Amount has been received by the Borrower and (v) neither the Administrative Agent nor any Lender or Secured Party shall exercise any remedy (including acceleration) under the Loan Documents or applicable law on the basis of an Event of Default caused by the failure to comply with Section 6.11 until after the Borrower’s ability to cure has lapsed and the Borrower has not exercised the Cure Right, and, if the Borrower shall have delivered to the Administrative Agent a notice of its intent to cure a breach or default under Section 7.01(d)(ii) prior to the Cure Termination Date, no Default or Event of Default under Section 7.01(d)(ii) shall then be deemed to be in existence and retroactively not to have occurred,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Cure Amount is not received by the Borrower on or prior to the Cure Termination Date, such Event of Default shall be deemed to arise). Notwithstanding any other provision in this Agreement to the contrary, the Cure Amount received pursuant to any exercise of the Cure Right shall not be included in the calculation of Consolidated EBITDA for any other purposes hereunder. For the avoidance of doubt, no Cure Amounts shall be applied to reduce the Indebtedness of the Borrower and its Restricted Subsidiaries on a Pro Forma Basis for purposes of determining compliance with the Financial Performance Covenant for the fiscal quarter in which such Cure Right was made and there shall not have been a breach of any covenant under Article VI of this Agreement by reason of having no longer included such Cure Amount in any basket during the relevant period.</w:t>
      </w:r>
    </w:p>
    <w:p>
      <w:pPr>
        <w:spacing w:after="0" w:line="155" w:lineRule="exact"/>
        <w:rPr>
          <w:sz w:val="20"/>
          <w:szCs w:val="20"/>
          <w:color w:val="auto"/>
        </w:rPr>
      </w:pPr>
    </w:p>
    <w:p>
      <w:pPr>
        <w:jc w:val="both"/>
        <w:ind w:left="2620" w:right="60" w:firstLine="1499"/>
        <w:spacing w:after="0" w:line="249" w:lineRule="auto"/>
        <w:rPr>
          <w:sz w:val="20"/>
          <w:szCs w:val="20"/>
          <w:color w:val="auto"/>
        </w:rPr>
      </w:pPr>
      <w:r>
        <w:rPr>
          <w:rFonts w:ascii="Arial" w:cs="Arial" w:eastAsia="Arial" w:hAnsi="Arial"/>
          <w:sz w:val="20"/>
          <w:szCs w:val="20"/>
          <w:color w:val="010000"/>
        </w:rPr>
        <w:t xml:space="preserve">SECTION 7.03 </w:t>
      </w:r>
      <w:r>
        <w:rPr>
          <w:rFonts w:ascii="Arial" w:cs="Arial" w:eastAsia="Arial" w:hAnsi="Arial"/>
          <w:sz w:val="20"/>
          <w:szCs w:val="20"/>
          <w:u w:val="single" w:color="auto"/>
          <w:color w:val="000000"/>
        </w:rPr>
        <w:t>Application of Proceeds</w:t>
      </w:r>
      <w:r>
        <w:rPr>
          <w:rFonts w:ascii="Arial" w:cs="Arial" w:eastAsia="Arial" w:hAnsi="Arial"/>
          <w:sz w:val="20"/>
          <w:szCs w:val="20"/>
          <w:color w:val="000000"/>
        </w:rPr>
        <w:t>. Subject to the terms of any applicable</w:t>
      </w:r>
      <w:r>
        <w:rPr>
          <w:rFonts w:ascii="Arial" w:cs="Arial" w:eastAsia="Arial" w:hAnsi="Arial"/>
          <w:sz w:val="20"/>
          <w:szCs w:val="20"/>
          <w:color w:val="010000"/>
        </w:rPr>
        <w:t xml:space="preserve"> </w:t>
      </w:r>
      <w:r>
        <w:rPr>
          <w:rFonts w:ascii="Arial" w:cs="Arial" w:eastAsia="Arial" w:hAnsi="Arial"/>
          <w:sz w:val="20"/>
          <w:szCs w:val="20"/>
          <w:color w:val="000000"/>
        </w:rPr>
        <w:t>Intercreditor Agreement, the Collateral Agent shall apply the proceeds of any collection or sale of Collateral, including any Collateral consisting of cash, as follows:</w:t>
      </w:r>
    </w:p>
    <w:p>
      <w:pPr>
        <w:spacing w:after="0" w:line="174" w:lineRule="exact"/>
        <w:rPr>
          <w:sz w:val="20"/>
          <w:szCs w:val="20"/>
          <w:color w:val="auto"/>
        </w:rPr>
      </w:pPr>
    </w:p>
    <w:p>
      <w:pPr>
        <w:jc w:val="both"/>
        <w:ind w:left="740" w:right="60" w:firstLine="749"/>
        <w:spacing w:after="0" w:line="278" w:lineRule="auto"/>
        <w:rPr>
          <w:sz w:val="20"/>
          <w:szCs w:val="20"/>
          <w:color w:val="auto"/>
        </w:rPr>
      </w:pPr>
      <w:r>
        <w:rPr>
          <w:rFonts w:ascii="Arial" w:cs="Arial" w:eastAsia="Arial" w:hAnsi="Arial"/>
          <w:sz w:val="18"/>
          <w:szCs w:val="18"/>
          <w:color w:val="auto"/>
        </w:rPr>
        <w:t>FIRST, to the payment of all costs and expenses incurred by the Collateral Agent in connection with such collection or sale or otherwise in connection with this Agreement, any other Loan Document or any of the Secured Obligations, including all court costs and the fees and expenses of its agents and legal counsel, the repayment of all advances made by the Collateral Agent hereunder or under any other Loan Document on behalf of any Loan Party and any other costs or expenses incurred in connection with the exercise of any right or remedy hereunder or under any other Loan Document;</w:t>
      </w:r>
    </w:p>
    <w:p>
      <w:pPr>
        <w:spacing w:after="0" w:line="150" w:lineRule="exact"/>
        <w:rPr>
          <w:sz w:val="20"/>
          <w:szCs w:val="20"/>
          <w:color w:val="auto"/>
        </w:rPr>
      </w:pPr>
    </w:p>
    <w:p>
      <w:pPr>
        <w:jc w:val="both"/>
        <w:ind w:left="740" w:right="60" w:firstLine="749"/>
        <w:spacing w:after="0" w:line="249" w:lineRule="auto"/>
        <w:rPr>
          <w:sz w:val="20"/>
          <w:szCs w:val="20"/>
          <w:color w:val="auto"/>
        </w:rPr>
      </w:pPr>
      <w:r>
        <w:rPr>
          <w:rFonts w:ascii="Arial" w:cs="Arial" w:eastAsia="Arial" w:hAnsi="Arial"/>
          <w:sz w:val="20"/>
          <w:szCs w:val="20"/>
          <w:color w:val="auto"/>
        </w:rPr>
        <w:t>SECOND, to the payment in full of the Secured Obligations (the amounts so applied to be distributed among the Secured Parties pro rata in accordance with the amounts of the Secured Obligations owed to them on the date of any such distribution);</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THIRD, to any agent of any other junior secured debt, in accordance with any applicable Intercreditor Agreement;</w:t>
      </w:r>
    </w:p>
    <w:p>
      <w:pPr>
        <w:spacing w:after="0" w:line="38"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and</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FOURTH, to the Loan Parties, their successors or assigns, or as a court of competent jurisdiction may otherwise</w:t>
      </w:r>
    </w:p>
    <w:p>
      <w:pPr>
        <w:spacing w:after="0" w:line="38" w:lineRule="exact"/>
        <w:rPr>
          <w:sz w:val="20"/>
          <w:szCs w:val="20"/>
          <w:color w:val="auto"/>
        </w:rPr>
      </w:pPr>
    </w:p>
    <w:p>
      <w:pPr>
        <w:ind w:left="740"/>
        <w:spacing w:after="0"/>
        <w:rPr>
          <w:sz w:val="20"/>
          <w:szCs w:val="20"/>
          <w:color w:val="auto"/>
        </w:rPr>
      </w:pPr>
      <w:r>
        <w:rPr>
          <w:rFonts w:ascii="Arial" w:cs="Arial" w:eastAsia="Arial" w:hAnsi="Arial"/>
          <w:sz w:val="20"/>
          <w:szCs w:val="20"/>
          <w:color w:val="auto"/>
        </w:rPr>
        <w:t>direct.</w:t>
      </w:r>
    </w:p>
    <w:p>
      <w:pPr>
        <w:spacing w:after="0" w:line="186" w:lineRule="exact"/>
        <w:rPr>
          <w:sz w:val="20"/>
          <w:szCs w:val="20"/>
          <w:color w:val="auto"/>
        </w:rPr>
      </w:pPr>
    </w:p>
    <w:p>
      <w:pPr>
        <w:jc w:val="both"/>
        <w:ind w:right="60"/>
        <w:spacing w:after="0" w:line="260" w:lineRule="auto"/>
        <w:rPr>
          <w:sz w:val="20"/>
          <w:szCs w:val="20"/>
          <w:color w:val="auto"/>
        </w:rPr>
      </w:pPr>
      <w:r>
        <w:rPr>
          <w:rFonts w:ascii="Arial" w:cs="Arial" w:eastAsia="Arial" w:hAnsi="Arial"/>
          <w:sz w:val="19"/>
          <w:szCs w:val="19"/>
          <w:color w:val="auto"/>
        </w:rPr>
        <w:t>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00" w:top="325" w:right="479" w:bottom="1440" w:gutter="0" w:footer="0" w:header="0"/>
        </w:sectPr>
      </w:pPr>
    </w:p>
    <w:bookmarkStart w:id="337" w:name="page338"/>
    <w:bookmarkEnd w:id="337"/>
    <w:p>
      <w:pPr>
        <w:jc w:val="both"/>
        <w:ind w:right="40"/>
        <w:spacing w:after="0" w:line="278" w:lineRule="auto"/>
        <w:rPr>
          <w:sz w:val="20"/>
          <w:szCs w:val="20"/>
          <w:color w:val="auto"/>
        </w:rPr>
      </w:pPr>
      <w:r>
        <w:rPr>
          <w:rFonts w:ascii="Arial" w:cs="Arial" w:eastAsia="Arial" w:hAnsi="Arial"/>
          <w:sz w:val="18"/>
          <w:szCs w:val="18"/>
          <w:color w:val="auto"/>
        </w:rPr>
        <w:t>answerable in any way for the misapplication thereof. The Collateral Agent shall have no liability to any of the Secured Parties for actions taken in reliance on information supplied to it as to the amounts of unpaid principal and 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above.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VIII</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ADMINISTRATIVE AGENT</w:t>
      </w:r>
    </w:p>
    <w:p>
      <w:pPr>
        <w:spacing w:after="0" w:line="228"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8.01</w:t>
      </w:r>
      <w:r>
        <w:rPr>
          <w:sz w:val="20"/>
          <w:szCs w:val="20"/>
          <w:color w:val="auto"/>
        </w:rPr>
        <w:tab/>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28" w:lineRule="exact"/>
        <w:rPr>
          <w:sz w:val="20"/>
          <w:szCs w:val="20"/>
          <w:color w:val="auto"/>
        </w:rPr>
      </w:pPr>
    </w:p>
    <w:p>
      <w:pPr>
        <w:jc w:val="both"/>
        <w:ind w:right="60" w:firstLine="1490"/>
        <w:spacing w:after="0" w:line="275" w:lineRule="auto"/>
        <w:tabs>
          <w:tab w:leader="none" w:pos="228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Each of the Lenders and the Issuing Banks hereby irrevocably appoints Morgan Stanley Senior Funding, Inc. to act on its behalf as the Administrative Agent and Collateral Agent hereunder and under the other Loan Documents and authorizes the Administrative Agent to take such actions on its behalf and to exercise such powers as are delegated to the Administrative Agent and Collateral Agent by the terms hereof or thereof, together with such actions and powers as are reasonably incidental thereto. The provisions of this Article are solely for the benefit of the Administrative Agent and the Collateral Agent, the Lenders and the Issuing Banks, and the Borrower shall not have rights as a third party beneficiary of any of such provisions.</w:t>
      </w:r>
    </w:p>
    <w:p>
      <w:pPr>
        <w:spacing w:after="0" w:line="181" w:lineRule="exact"/>
        <w:rPr>
          <w:rFonts w:ascii="Arial" w:cs="Arial" w:eastAsia="Arial" w:hAnsi="Arial"/>
          <w:sz w:val="18"/>
          <w:szCs w:val="18"/>
          <w:color w:val="auto"/>
        </w:rPr>
      </w:pPr>
    </w:p>
    <w:p>
      <w:pPr>
        <w:jc w:val="both"/>
        <w:ind w:right="20" w:firstLine="1490"/>
        <w:spacing w:after="0" w:line="269" w:lineRule="auto"/>
        <w:tabs>
          <w:tab w:leader="none" w:pos="228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Administrative Agent shall also act as the “Collateral Agent” under the Loan Documents, and each of the Lenders and the Issuing Banks hereby irrevocably appoints and authorizes the Collateral Agent to act as the agent of such Lender and such Issuing Bank, and acknowledges that, to the extent required in any relevant jurisdiction, the Administrative Agent may enter into such security trust or equivalent deeds as the Administrative Agent may consider necessary, in each case for purposes of acquiring, holding and enforcing any and all Liens on Collateral granted by any of the Loan Parties to secure any of the Secured Obligations, together with such powers and discretion as are reasonably incidental thereto. In this connection, the Collateral Agent and any co-agents, sub-agents and attorneys-in-fact appointed by the Administrative Agent and Collateral Agent pursuant to Section 8.05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VIII and Article IX (including Section 9.03 as though such co-agents, sub-agents and attorneys-in-fact were the “collateral agent”) as if set forth in full herein with respect thereto. It is understood and agreed that the use of the term “agent” herein or in any other Loan Document with reference to any of the agents is not intended to connote any fiduciary or other implied or (express) obligations arising under any agency doctrine of any applicable law. Instead such term is used as a matter of market custom and is intended to create or reflect only an administrative relationship between contracting parties.</w:t>
      </w:r>
    </w:p>
    <w:p>
      <w:pPr>
        <w:spacing w:after="0" w:line="191"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8.02</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228" w:lineRule="exact"/>
        <w:rPr>
          <w:sz w:val="20"/>
          <w:szCs w:val="20"/>
          <w:color w:val="auto"/>
        </w:rPr>
      </w:pPr>
    </w:p>
    <w:p>
      <w:pPr>
        <w:jc w:val="both"/>
        <w:ind w:firstLine="1499"/>
        <w:spacing w:after="0" w:line="242" w:lineRule="auto"/>
        <w:rPr>
          <w:sz w:val="20"/>
          <w:szCs w:val="20"/>
          <w:color w:val="auto"/>
        </w:rPr>
      </w:pPr>
      <w:r>
        <w:rPr>
          <w:rFonts w:ascii="Arial" w:cs="Arial" w:eastAsia="Arial" w:hAnsi="Arial"/>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Administrative Agent hereunder and without any duty to account therefor to the Lenders.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25" w:right="499" w:bottom="1440" w:gutter="0" w:footer="0" w:header="0"/>
        </w:sectPr>
      </w:pPr>
    </w:p>
    <w:bookmarkStart w:id="338" w:name="page339"/>
    <w:bookmarkEnd w:id="338"/>
    <w:p>
      <w:pPr>
        <w:ind w:left="4127"/>
        <w:spacing w:after="0"/>
        <w:tabs>
          <w:tab w:leader="none" w:pos="5687" w:val="left"/>
        </w:tabs>
        <w:rPr>
          <w:sz w:val="20"/>
          <w:szCs w:val="20"/>
          <w:color w:val="auto"/>
        </w:rPr>
      </w:pPr>
      <w:r>
        <w:rPr>
          <w:rFonts w:ascii="Arial" w:cs="Arial" w:eastAsia="Arial" w:hAnsi="Arial"/>
          <w:sz w:val="20"/>
          <w:szCs w:val="20"/>
          <w:color w:val="010000"/>
        </w:rPr>
        <w:t>SECTION 8.03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30" w:lineRule="exact"/>
        <w:rPr>
          <w:sz w:val="20"/>
          <w:szCs w:val="20"/>
          <w:color w:val="auto"/>
        </w:rPr>
      </w:pPr>
    </w:p>
    <w:p>
      <w:pPr>
        <w:ind w:left="7" w:right="20" w:firstLine="1499"/>
        <w:spacing w:after="0" w:line="260" w:lineRule="auto"/>
        <w:rPr>
          <w:sz w:val="20"/>
          <w:szCs w:val="20"/>
          <w:color w:val="auto"/>
        </w:rPr>
      </w:pPr>
      <w:r>
        <w:rPr>
          <w:rFonts w:ascii="Arial" w:cs="Arial" w:eastAsia="Arial" w:hAnsi="Arial"/>
          <w:sz w:val="20"/>
          <w:szCs w:val="20"/>
          <w:color w:val="auto"/>
        </w:rPr>
        <w:t>The Administrative Agent shall not have any duties or obligations except those expressly set forth herein and in the other Loan Documents. Without limiting the generality of the foregoing, the Administrative Agent:</w:t>
      </w:r>
    </w:p>
    <w:p>
      <w:pPr>
        <w:spacing w:after="0" w:line="189" w:lineRule="exact"/>
        <w:rPr>
          <w:sz w:val="20"/>
          <w:szCs w:val="20"/>
          <w:color w:val="auto"/>
        </w:rPr>
      </w:pPr>
    </w:p>
    <w:p>
      <w:pPr>
        <w:ind w:left="2227" w:hanging="730"/>
        <w:spacing w:after="0"/>
        <w:tabs>
          <w:tab w:leader="none" w:pos="222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w:t>
      </w:r>
    </w:p>
    <w:p>
      <w:pPr>
        <w:spacing w:after="0" w:line="38" w:lineRule="exact"/>
        <w:rPr>
          <w:sz w:val="20"/>
          <w:szCs w:val="20"/>
          <w:color w:val="auto"/>
        </w:rPr>
      </w:pPr>
    </w:p>
    <w:p>
      <w:pPr>
        <w:ind w:left="7"/>
        <w:spacing w:after="0"/>
        <w:rPr>
          <w:sz w:val="20"/>
          <w:szCs w:val="20"/>
          <w:color w:val="auto"/>
        </w:rPr>
      </w:pPr>
      <w:r>
        <w:rPr>
          <w:rFonts w:ascii="Arial" w:cs="Arial" w:eastAsia="Arial" w:hAnsi="Arial"/>
          <w:sz w:val="20"/>
          <w:szCs w:val="20"/>
          <w:color w:val="auto"/>
        </w:rPr>
        <w:t>and is continuing;</w:t>
      </w:r>
    </w:p>
    <w:p>
      <w:pPr>
        <w:spacing w:after="0" w:line="212" w:lineRule="exact"/>
        <w:rPr>
          <w:sz w:val="20"/>
          <w:szCs w:val="20"/>
          <w:color w:val="auto"/>
        </w:rPr>
      </w:pPr>
    </w:p>
    <w:p>
      <w:pPr>
        <w:jc w:val="both"/>
        <w:ind w:left="7" w:right="60" w:firstLine="1490"/>
        <w:spacing w:after="0" w:line="243" w:lineRule="auto"/>
        <w:tabs>
          <w:tab w:leader="none" w:pos="2240" w:val="left"/>
        </w:tabs>
        <w:numPr>
          <w:ilvl w:val="2"/>
          <w:numId w:val="319"/>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w:t>
      </w:r>
    </w:p>
    <w:p>
      <w:pPr>
        <w:spacing w:after="0" w:line="207" w:lineRule="exact"/>
        <w:rPr>
          <w:rFonts w:ascii="Arial" w:cs="Arial" w:eastAsia="Arial" w:hAnsi="Arial"/>
          <w:sz w:val="20"/>
          <w:szCs w:val="20"/>
          <w:color w:val="auto"/>
        </w:rPr>
      </w:pPr>
    </w:p>
    <w:p>
      <w:pPr>
        <w:jc w:val="both"/>
        <w:ind w:left="7" w:right="60" w:firstLine="1490"/>
        <w:spacing w:after="0" w:line="269" w:lineRule="auto"/>
        <w:tabs>
          <w:tab w:leader="none" w:pos="2240" w:val="left"/>
        </w:tabs>
        <w:numPr>
          <w:ilvl w:val="2"/>
          <w:numId w:val="319"/>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the Borrower or any of their Affiliates that is communicated to or obtained by the Person serving as the Administrative Agent or any of its Affiliates in any capacity;</w:t>
      </w:r>
    </w:p>
    <w:p>
      <w:pPr>
        <w:spacing w:after="0" w:line="182" w:lineRule="exact"/>
        <w:rPr>
          <w:rFonts w:ascii="Arial" w:cs="Arial" w:eastAsia="Arial" w:hAnsi="Arial"/>
          <w:sz w:val="19"/>
          <w:szCs w:val="19"/>
          <w:color w:val="auto"/>
        </w:rPr>
      </w:pPr>
    </w:p>
    <w:p>
      <w:pPr>
        <w:jc w:val="both"/>
        <w:ind w:left="7" w:firstLine="1467"/>
        <w:spacing w:after="0" w:line="256" w:lineRule="auto"/>
        <w:tabs>
          <w:tab w:leader="none" w:pos="2220" w:val="left"/>
        </w:tabs>
        <w:numPr>
          <w:ilvl w:val="1"/>
          <w:numId w:val="320"/>
        </w:numPr>
        <w:rPr>
          <w:rFonts w:ascii="Arial" w:cs="Arial" w:eastAsia="Arial" w:hAnsi="Arial"/>
          <w:sz w:val="19"/>
          <w:szCs w:val="19"/>
          <w:color w:val="auto"/>
        </w:rPr>
      </w:pPr>
      <w:r>
        <w:rPr>
          <w:rFonts w:ascii="Arial" w:cs="Arial" w:eastAsia="Arial" w:hAnsi="Arial"/>
          <w:sz w:val="19"/>
          <w:szCs w:val="19"/>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 9.02 and in the last paragraph of Section 7.01) or (ii) in the absence of its own gross negligence or willful misconduct as determined by a court of competent jurisdiction by final and non-appealable judgment;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action taken or not taken at the direction of the Required Lenders (or such other number of percentage of Lenders as shall be expressly provided for herein or in the other Loan Documents) shall constitute gross negligence or willful misconduct;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Administrative Agent shall be deemed not to have knowledge of any Default unless and until written notice conspicuously identified as a “notice of default” and describing such Default is given to the Administrative Agent by the Borrower, a Lender or the Issuing Bank; and</w:t>
      </w:r>
    </w:p>
    <w:p>
      <w:pPr>
        <w:spacing w:after="0" w:line="194" w:lineRule="exact"/>
        <w:rPr>
          <w:rFonts w:ascii="Arial" w:cs="Arial" w:eastAsia="Arial" w:hAnsi="Arial"/>
          <w:sz w:val="19"/>
          <w:szCs w:val="19"/>
          <w:color w:val="auto"/>
        </w:rPr>
      </w:pPr>
    </w:p>
    <w:p>
      <w:pPr>
        <w:jc w:val="both"/>
        <w:ind w:left="7" w:firstLine="1490"/>
        <w:spacing w:after="0" w:line="241" w:lineRule="auto"/>
        <w:tabs>
          <w:tab w:leader="none" w:pos="2244" w:val="left"/>
        </w:tabs>
        <w:numPr>
          <w:ilvl w:val="2"/>
          <w:numId w:val="320"/>
        </w:numPr>
        <w:rPr>
          <w:rFonts w:ascii="Arial" w:cs="Arial" w:eastAsia="Arial" w:hAnsi="Arial"/>
          <w:sz w:val="20"/>
          <w:szCs w:val="20"/>
          <w:color w:val="auto"/>
        </w:rPr>
      </w:pPr>
      <w:r>
        <w:rPr>
          <w:rFonts w:ascii="Arial" w:cs="Arial" w:eastAsia="Arial" w:hAnsi="Arial"/>
          <w:sz w:val="20"/>
          <w:szCs w:val="20"/>
          <w:color w:val="auto"/>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w:t>
      </w:r>
    </w:p>
    <w:p>
      <w:pPr>
        <w:spacing w:after="0" w:line="4" w:lineRule="exact"/>
        <w:rPr>
          <w:rFonts w:ascii="Arial" w:cs="Arial" w:eastAsia="Arial" w:hAnsi="Arial"/>
          <w:sz w:val="20"/>
          <w:szCs w:val="20"/>
          <w:color w:val="auto"/>
        </w:rPr>
      </w:pPr>
    </w:p>
    <w:p>
      <w:pPr>
        <w:ind w:left="7" w:hanging="7"/>
        <w:spacing w:after="0" w:line="243" w:lineRule="auto"/>
        <w:tabs>
          <w:tab w:leader="none" w:pos="348" w:val="left"/>
        </w:tabs>
        <w:numPr>
          <w:ilvl w:val="0"/>
          <w:numId w:val="321"/>
        </w:numPr>
        <w:rPr>
          <w:rFonts w:ascii="Arial" w:cs="Arial" w:eastAsia="Arial" w:hAnsi="Arial"/>
          <w:sz w:val="20"/>
          <w:szCs w:val="20"/>
          <w:color w:val="auto"/>
        </w:rPr>
      </w:pPr>
      <w:r>
        <w:rPr>
          <w:rFonts w:ascii="Arial" w:cs="Arial" w:eastAsia="Arial" w:hAnsi="Arial"/>
          <w:sz w:val="20"/>
          <w:szCs w:val="20"/>
          <w:color w:val="auto"/>
        </w:rPr>
        <w:t>the satisfaction of any condition set forth in Article IV or elsewhere herein, other than to confirm receipt of items expressly required to be delivered to the Administrative Agent.</w:t>
      </w:r>
    </w:p>
    <w:p>
      <w:pPr>
        <w:spacing w:after="0" w:line="206" w:lineRule="exact"/>
        <w:rPr>
          <w:sz w:val="20"/>
          <w:szCs w:val="20"/>
          <w:color w:val="auto"/>
        </w:rPr>
      </w:pPr>
    </w:p>
    <w:p>
      <w:pPr>
        <w:jc w:val="center"/>
        <w:ind w:left="1680"/>
        <w:spacing w:after="0"/>
        <w:tabs>
          <w:tab w:leader="none" w:pos="340" w:val="left"/>
        </w:tabs>
        <w:rPr>
          <w:sz w:val="20"/>
          <w:szCs w:val="20"/>
          <w:color w:val="auto"/>
        </w:rPr>
      </w:pPr>
      <w:r>
        <w:rPr>
          <w:rFonts w:ascii="Arial" w:cs="Arial" w:eastAsia="Arial" w:hAnsi="Arial"/>
          <w:sz w:val="20"/>
          <w:szCs w:val="20"/>
          <w:color w:val="010000"/>
        </w:rPr>
        <w:t>SECTION 8.04</w:t>
      </w:r>
      <w:r>
        <w:rPr>
          <w:sz w:val="20"/>
          <w:szCs w:val="20"/>
          <w:color w:val="auto"/>
        </w:rPr>
        <w:tab/>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228" w:lineRule="exact"/>
        <w:rPr>
          <w:sz w:val="20"/>
          <w:szCs w:val="20"/>
          <w:color w:val="auto"/>
        </w:rPr>
      </w:pPr>
    </w:p>
    <w:p>
      <w:pPr>
        <w:jc w:val="both"/>
        <w:ind w:left="7" w:right="60" w:firstLine="1499"/>
        <w:spacing w:after="0" w:line="246" w:lineRule="auto"/>
        <w:rPr>
          <w:sz w:val="20"/>
          <w:szCs w:val="20"/>
          <w:color w:val="auto"/>
        </w:rPr>
      </w:pPr>
      <w:r>
        <w:rPr>
          <w:rFonts w:ascii="Arial" w:cs="Arial" w:eastAsia="Arial" w:hAnsi="Arial"/>
          <w:sz w:val="20"/>
          <w:szCs w:val="20"/>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w:t>
      </w:r>
    </w:p>
    <w:p>
      <w:pPr>
        <w:spacing w:after="0" w:line="19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66040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7"/>
          </w:cols>
          <w:pgMar w:left="493" w:top="122" w:right="499" w:bottom="1440" w:gutter="0" w:footer="0" w:header="0"/>
        </w:sectPr>
      </w:pPr>
    </w:p>
    <w:bookmarkStart w:id="339" w:name="page340"/>
    <w:bookmarkEnd w:id="339"/>
    <w:p>
      <w:pPr>
        <w:jc w:val="both"/>
        <w:ind w:right="20"/>
        <w:spacing w:after="0" w:line="256" w:lineRule="auto"/>
        <w:rPr>
          <w:sz w:val="20"/>
          <w:szCs w:val="20"/>
          <w:color w:val="auto"/>
        </w:rPr>
      </w:pPr>
      <w:r>
        <w:rPr>
          <w:rFonts w:ascii="Arial" w:cs="Arial" w:eastAsia="Arial" w:hAnsi="Arial"/>
          <w:sz w:val="19"/>
          <w:szCs w:val="19"/>
          <w:color w:val="auto"/>
        </w:rPr>
        <w:t>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any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8.05</w:t>
      </w:r>
      <w:r>
        <w:rPr>
          <w:sz w:val="20"/>
          <w:szCs w:val="20"/>
          <w:color w:val="auto"/>
        </w:rPr>
        <w:tab/>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228" w:lineRule="exact"/>
        <w:rPr>
          <w:sz w:val="20"/>
          <w:szCs w:val="20"/>
          <w:color w:val="auto"/>
        </w:rPr>
      </w:pPr>
    </w:p>
    <w:p>
      <w:pPr>
        <w:jc w:val="both"/>
        <w:ind w:right="20" w:firstLine="1499"/>
        <w:spacing w:after="0" w:line="242" w:lineRule="auto"/>
        <w:rPr>
          <w:sz w:val="20"/>
          <w:szCs w:val="20"/>
          <w:color w:val="auto"/>
        </w:rPr>
      </w:pPr>
      <w:r>
        <w:rPr>
          <w:rFonts w:ascii="Arial" w:cs="Arial" w:eastAsia="Arial" w:hAnsi="Arial"/>
          <w:sz w:val="20"/>
          <w:szCs w:val="20"/>
          <w:color w:val="auto"/>
        </w:rPr>
        <w:t>The Administrative Agent may perform any and all of its duties and exercise its rights and powers hereunder or under any other Loan Document by or through any one or more sub-agents (which may include such of the Administrative Agent’s affiliates or branches as it deems appropriate)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211"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8.06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28" w:lineRule="exact"/>
        <w:rPr>
          <w:sz w:val="20"/>
          <w:szCs w:val="20"/>
          <w:color w:val="auto"/>
        </w:rPr>
      </w:pPr>
    </w:p>
    <w:p>
      <w:pPr>
        <w:jc w:val="both"/>
        <w:ind w:firstLine="1499"/>
        <w:spacing w:after="0" w:line="270" w:lineRule="auto"/>
        <w:rPr>
          <w:sz w:val="20"/>
          <w:szCs w:val="20"/>
          <w:color w:val="auto"/>
        </w:rPr>
      </w:pPr>
      <w:r>
        <w:rPr>
          <w:rFonts w:ascii="Arial" w:cs="Arial" w:eastAsia="Arial" w:hAnsi="Arial"/>
          <w:sz w:val="18"/>
          <w:szCs w:val="18"/>
          <w:color w:val="auto"/>
        </w:rPr>
        <w:t>Subject to the appointment and acceptance of a successor Administrative Agent as provided in this paragraph, the Administrative Agent may resign upon thirty (30) days’ notice to the Lenders, the Issuing Banks and the Borrower. Upon receipt of any such notice of resignation, the Required Lenders shall have the right, with the Borrower’s consent (such consent not to be unreasonably withheld or delayed) unless a Specified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then the retiring Administrative Agent may (but shall not be obligated to) on behalf of the Lenders and the Issuing Banks, appoint a successor Administrative Agent, which shall be an Approved Bank with an office in New York, New York, or an Affiliate of any such Approved Bank (the date upon which the retiring Administrative Agent is replaced,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shall notify the Borrower and the Lenders that no qualifying Person accepted such appointment, then such resignation shall nonetheless become effective in accordance with such notice.</w:t>
      </w:r>
    </w:p>
    <w:p>
      <w:pPr>
        <w:spacing w:after="0" w:line="189" w:lineRule="exact"/>
        <w:rPr>
          <w:sz w:val="20"/>
          <w:szCs w:val="20"/>
          <w:color w:val="auto"/>
        </w:rPr>
      </w:pPr>
    </w:p>
    <w:p>
      <w:pPr>
        <w:jc w:val="both"/>
        <w:ind w:right="40" w:firstLine="1499"/>
        <w:spacing w:after="0" w:line="260" w:lineRule="auto"/>
        <w:rPr>
          <w:sz w:val="20"/>
          <w:szCs w:val="20"/>
          <w:color w:val="auto"/>
        </w:rPr>
      </w:pPr>
      <w:r>
        <w:rPr>
          <w:rFonts w:ascii="Arial" w:cs="Arial" w:eastAsia="Arial" w:hAnsi="Arial"/>
          <w:sz w:val="19"/>
          <w:szCs w:val="19"/>
          <w:color w:val="auto"/>
        </w:rPr>
        <w:t>If the Person serving as Administrative Agent is a Defaulting Lender, the Required Lenders and the Borrower may, to the extent permitted by applicable law, by notice in writing to such Person remove such Person as Administrative Agent and, with the consent of the Borrower, appoint a successor. If no such successor shall have been so appointed by the Required Lenders and shall have accepted such appointment within thirty (30) days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192" w:lineRule="exact"/>
        <w:rPr>
          <w:sz w:val="20"/>
          <w:szCs w:val="20"/>
          <w:color w:val="auto"/>
        </w:rPr>
      </w:pPr>
    </w:p>
    <w:p>
      <w:pPr>
        <w:jc w:val="both"/>
        <w:ind w:right="40" w:firstLine="1499"/>
        <w:spacing w:after="0" w:line="260" w:lineRule="auto"/>
        <w:rPr>
          <w:sz w:val="20"/>
          <w:szCs w:val="20"/>
          <w:color w:val="auto"/>
        </w:rPr>
      </w:pPr>
      <w:r>
        <w:rPr>
          <w:rFonts w:ascii="Arial" w:cs="Arial" w:eastAsia="Arial" w:hAnsi="Arial"/>
          <w:sz w:val="19"/>
          <w:szCs w:val="19"/>
          <w:color w:val="auto"/>
        </w:rPr>
        <w:t>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(ii) with respect to any outstanding payment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2" w:right="519" w:bottom="1440" w:gutter="0" w:footer="0" w:header="0"/>
        </w:sectPr>
      </w:pPr>
    </w:p>
    <w:bookmarkStart w:id="340" w:name="page341"/>
    <w:bookmarkEnd w:id="340"/>
    <w:p>
      <w:pPr>
        <w:jc w:val="both"/>
        <w:ind w:right="40"/>
        <w:spacing w:after="0" w:line="270" w:lineRule="auto"/>
        <w:rPr>
          <w:sz w:val="20"/>
          <w:szCs w:val="20"/>
          <w:color w:val="auto"/>
        </w:rPr>
      </w:pPr>
      <w:r>
        <w:rPr>
          <w:rFonts w:ascii="Arial" w:cs="Arial" w:eastAsia="Arial" w:hAnsi="Arial"/>
          <w:sz w:val="18"/>
          <w:szCs w:val="18"/>
          <w:color w:val="auto"/>
        </w:rPr>
        <w:t>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Section 9.04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83" w:lineRule="exact"/>
        <w:rPr>
          <w:sz w:val="20"/>
          <w:szCs w:val="20"/>
          <w:color w:val="auto"/>
        </w:rPr>
      </w:pPr>
    </w:p>
    <w:p>
      <w:pPr>
        <w:jc w:val="both"/>
        <w:ind w:firstLine="1499"/>
        <w:spacing w:after="0" w:line="255" w:lineRule="auto"/>
        <w:rPr>
          <w:sz w:val="20"/>
          <w:szCs w:val="20"/>
          <w:color w:val="auto"/>
        </w:rPr>
      </w:pPr>
      <w:r>
        <w:rPr>
          <w:rFonts w:ascii="Arial" w:cs="Arial" w:eastAsia="Arial" w:hAnsi="Arial"/>
          <w:sz w:val="19"/>
          <w:szCs w:val="19"/>
          <w:color w:val="auto"/>
        </w:rPr>
        <w:t>Any resignation by Morgan Stanley Senior Funding, Inc. as Administrative Agent pursuant to this Section 8.06 shall also constitute its resignation as an Issuing Bank, in which case such resigning Issuing Bank (x) shall not be required to issue any further Letters of Credit hereunder and (y) shall maintain all of its rights as Issuing Bank with respect to any Letters of Credit issued by it, prior to the date of such resignation so long as such Letters of Credit or LC Exposure remain outstanding and not otherwise cash collateralized in accordance with the terms herein. Upon the acceptance of a successor’s appointment as Administrative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200"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8.07</w:t>
      </w:r>
      <w:r>
        <w:rPr>
          <w:sz w:val="20"/>
          <w:szCs w:val="20"/>
          <w:color w:val="auto"/>
        </w:rPr>
        <w:tab/>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w:t>
      </w:r>
    </w:p>
    <w:p>
      <w:pPr>
        <w:spacing w:after="0" w:line="228" w:lineRule="exact"/>
        <w:rPr>
          <w:sz w:val="20"/>
          <w:szCs w:val="20"/>
          <w:color w:val="auto"/>
        </w:rPr>
      </w:pPr>
    </w:p>
    <w:p>
      <w:pPr>
        <w:jc w:val="both"/>
        <w:ind w:right="20" w:firstLine="1499"/>
        <w:spacing w:after="0" w:line="242" w:lineRule="auto"/>
        <w:rPr>
          <w:sz w:val="20"/>
          <w:szCs w:val="20"/>
          <w:color w:val="auto"/>
        </w:rPr>
      </w:pPr>
      <w:r>
        <w:rPr>
          <w:rFonts w:ascii="Arial" w:cs="Arial" w:eastAsia="Arial" w:hAnsi="Arial"/>
          <w:sz w:val="20"/>
          <w:szCs w:val="20"/>
          <w:color w:val="auto"/>
        </w:rPr>
        <w:t>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11" w:lineRule="exact"/>
        <w:rPr>
          <w:sz w:val="20"/>
          <w:szCs w:val="20"/>
          <w:color w:val="auto"/>
        </w:rPr>
      </w:pPr>
    </w:p>
    <w:p>
      <w:pPr>
        <w:jc w:val="both"/>
        <w:ind w:firstLine="1499"/>
        <w:spacing w:after="0" w:line="244" w:lineRule="auto"/>
        <w:rPr>
          <w:sz w:val="20"/>
          <w:szCs w:val="20"/>
          <w:color w:val="auto"/>
        </w:rPr>
      </w:pPr>
      <w:r>
        <w:rPr>
          <w:rFonts w:ascii="Arial" w:cs="Arial" w:eastAsia="Arial" w:hAnsi="Arial"/>
          <w:sz w:val="20"/>
          <w:szCs w:val="20"/>
          <w:color w:val="auto"/>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1" w:right="519" w:bottom="1440" w:gutter="0" w:footer="0" w:header="0"/>
        </w:sectPr>
      </w:pPr>
    </w:p>
    <w:bookmarkStart w:id="341" w:name="page342"/>
    <w:bookmarkEnd w:id="341"/>
    <w:p>
      <w:pPr>
        <w:jc w:val="both"/>
        <w:ind w:right="140" w:firstLine="1499"/>
        <w:spacing w:after="0" w:line="255" w:lineRule="auto"/>
        <w:rPr>
          <w:sz w:val="20"/>
          <w:szCs w:val="20"/>
          <w:color w:val="auto"/>
        </w:rPr>
      </w:pPr>
      <w:r>
        <w:rPr>
          <w:rFonts w:ascii="Arial" w:cs="Arial" w:eastAsia="Arial" w:hAnsi="Arial"/>
          <w:sz w:val="19"/>
          <w:szCs w:val="19"/>
          <w:color w:val="auto"/>
        </w:rPr>
        <w:t>No Lender shall have any right individually to realize upon any of the Collateral or to enforce any Guarantee of the Secured Obligations, it being understood and agreed that all powers, rights and remedies under the Loan Documents may be exercised solely by the Administrative Agent and Collateral Agent on behalf of the Lenders in accordance with the terms thereof. In the event of a foreclosure by the Administrative Agent or Collateral Agent on any of the Collateral pursuant to a public or private sale or other disposition, the Administrative Agent, the Collateral Agent or any Lender may be the purchaser or licensor of any or all of such Collateral at any such sale or other disposition, and the Administrative Agent or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Administrative Agent or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spacing w:after="0" w:line="195"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8.08</w:t>
      </w:r>
      <w:r>
        <w:rPr>
          <w:sz w:val="20"/>
          <w:szCs w:val="20"/>
          <w:color w:val="auto"/>
        </w:rPr>
        <w:tab/>
      </w:r>
      <w:r>
        <w:rPr>
          <w:rFonts w:ascii="Arial" w:cs="Arial" w:eastAsia="Arial" w:hAnsi="Arial"/>
          <w:sz w:val="18"/>
          <w:szCs w:val="18"/>
          <w:u w:val="single" w:color="auto"/>
          <w:color w:val="auto"/>
        </w:rPr>
        <w:t>No Other Duties, Etc.</w:t>
      </w:r>
    </w:p>
    <w:p>
      <w:pPr>
        <w:spacing w:after="0" w:line="228" w:lineRule="exact"/>
        <w:rPr>
          <w:sz w:val="20"/>
          <w:szCs w:val="20"/>
          <w:color w:val="auto"/>
        </w:rPr>
      </w:pPr>
    </w:p>
    <w:p>
      <w:pPr>
        <w:jc w:val="both"/>
        <w:ind w:right="200" w:firstLine="1499"/>
        <w:spacing w:after="0" w:line="290" w:lineRule="auto"/>
        <w:rPr>
          <w:sz w:val="20"/>
          <w:szCs w:val="20"/>
          <w:color w:val="auto"/>
        </w:rPr>
      </w:pPr>
      <w:r>
        <w:rPr>
          <w:rFonts w:ascii="Arial" w:cs="Arial" w:eastAsia="Arial" w:hAnsi="Arial"/>
          <w:sz w:val="18"/>
          <w:szCs w:val="18"/>
          <w:color w:val="auto"/>
        </w:rPr>
        <w:t>Anything herein to the contrary notwithstanding, neither any Joint Lead Arrangers nor any person named on the cover page hereof as a Joint Lead Arranger shall have any powers, duties or responsibilities under this Agreement or any of the other Loan Documents, except in its capacity, as applicable, as the Administrative Agent, a Lender, or an Issuing Bank hereunder.</w:t>
      </w:r>
    </w:p>
    <w:p>
      <w:pPr>
        <w:spacing w:after="0" w:line="167"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8.09</w:t>
      </w:r>
      <w:r>
        <w:rPr>
          <w:sz w:val="20"/>
          <w:szCs w:val="20"/>
          <w:color w:val="auto"/>
        </w:rPr>
        <w:tab/>
      </w:r>
      <w:r>
        <w:rPr>
          <w:rFonts w:ascii="Arial" w:cs="Arial" w:eastAsia="Arial" w:hAnsi="Arial"/>
          <w:sz w:val="18"/>
          <w:szCs w:val="18"/>
          <w:u w:val="single" w:color="auto"/>
          <w:color w:val="auto"/>
        </w:rPr>
        <w:t>Administrative Agent May File Proofs</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20"/>
          <w:szCs w:val="20"/>
          <w:u w:val="single" w:color="auto"/>
          <w:color w:val="auto"/>
        </w:rPr>
        <w:t>of Claim</w:t>
      </w:r>
      <w:r>
        <w:rPr>
          <w:rFonts w:ascii="Arial" w:cs="Arial" w:eastAsia="Arial" w:hAnsi="Arial"/>
          <w:sz w:val="20"/>
          <w:szCs w:val="20"/>
          <w:color w:val="auto"/>
        </w:rPr>
        <w:t>.</w:t>
      </w:r>
    </w:p>
    <w:p>
      <w:pPr>
        <w:spacing w:after="0" w:line="212" w:lineRule="exact"/>
        <w:rPr>
          <w:sz w:val="20"/>
          <w:szCs w:val="20"/>
          <w:color w:val="auto"/>
        </w:rPr>
      </w:pPr>
    </w:p>
    <w:p>
      <w:pPr>
        <w:jc w:val="both"/>
        <w:ind w:right="140" w:firstLine="1499"/>
        <w:spacing w:after="0" w:line="263" w:lineRule="auto"/>
        <w:rPr>
          <w:sz w:val="20"/>
          <w:szCs w:val="20"/>
          <w:color w:val="auto"/>
        </w:rPr>
      </w:pPr>
      <w:r>
        <w:rPr>
          <w:rFonts w:ascii="Arial" w:cs="Arial" w:eastAsia="Arial" w:hAnsi="Arial"/>
          <w:sz w:val="19"/>
          <w:szCs w:val="19"/>
          <w:color w:val="auto"/>
        </w:rPr>
        <w:t>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8" w:lineRule="exact"/>
        <w:rPr>
          <w:sz w:val="20"/>
          <w:szCs w:val="20"/>
          <w:color w:val="auto"/>
        </w:rPr>
      </w:pPr>
    </w:p>
    <w:p>
      <w:pPr>
        <w:jc w:val="both"/>
        <w:ind w:right="200" w:firstLine="1490"/>
        <w:spacing w:after="0" w:line="258" w:lineRule="auto"/>
        <w:tabs>
          <w:tab w:leader="none" w:pos="2232"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Letters of Credit outstandings and all other Secured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Sections 2.12 and 9.03) allowed in such judicial proceeding; and</w:t>
      </w:r>
    </w:p>
    <w:p>
      <w:pPr>
        <w:spacing w:after="0" w:line="195" w:lineRule="exact"/>
        <w:rPr>
          <w:rFonts w:ascii="Arial" w:cs="Arial" w:eastAsia="Arial" w:hAnsi="Arial"/>
          <w:sz w:val="19"/>
          <w:szCs w:val="19"/>
          <w:color w:val="auto"/>
        </w:rPr>
      </w:pPr>
    </w:p>
    <w:p>
      <w:pPr>
        <w:ind w:left="2220" w:hanging="730"/>
        <w:spacing w:after="0"/>
        <w:tabs>
          <w:tab w:leader="none" w:pos="2220"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2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distribute the same;</w:t>
      </w:r>
    </w:p>
    <w:p>
      <w:pPr>
        <w:spacing w:after="0" w:line="212"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and each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Sections 2.12 and 9.03.</w:t>
      </w:r>
    </w:p>
    <w:p>
      <w:pPr>
        <w:spacing w:after="0" w:line="379"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00" w:top="122" w:right="359" w:bottom="1440" w:gutter="0" w:footer="0" w:header="0"/>
        </w:sectPr>
      </w:pPr>
    </w:p>
    <w:bookmarkStart w:id="342" w:name="page343"/>
    <w:bookmarkEnd w:id="342"/>
    <w:p>
      <w:pPr>
        <w:jc w:val="both"/>
        <w:ind w:firstLine="1499"/>
        <w:spacing w:after="0" w:line="24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any Issuing Bank any plan of reorganization, arrangement, adjustment or composition affecting the Secured Obligations or the rights of any Lender or any Issuing Bank to authorize the Administrative Agent to vote in respect of the claim of any Lender or any Issuing Bank or in any such proceeding.</w:t>
      </w:r>
    </w:p>
    <w:p>
      <w:pPr>
        <w:spacing w:after="0" w:line="205" w:lineRule="exact"/>
        <w:rPr>
          <w:sz w:val="20"/>
          <w:szCs w:val="20"/>
          <w:color w:val="auto"/>
        </w:rPr>
      </w:pPr>
    </w:p>
    <w:p>
      <w:pPr>
        <w:ind w:left="4120"/>
        <w:spacing w:after="0"/>
        <w:tabs>
          <w:tab w:leader="none" w:pos="5680" w:val="left"/>
          <w:tab w:leader="none" w:pos="6080" w:val="left"/>
          <w:tab w:leader="none" w:pos="6860" w:val="left"/>
          <w:tab w:leader="none" w:pos="8060" w:val="left"/>
        </w:tabs>
        <w:rPr>
          <w:sz w:val="20"/>
          <w:szCs w:val="20"/>
          <w:color w:val="auto"/>
        </w:rPr>
      </w:pPr>
      <w:r>
        <w:rPr>
          <w:rFonts w:ascii="Arial" w:cs="Arial" w:eastAsia="Arial" w:hAnsi="Arial"/>
          <w:sz w:val="20"/>
          <w:szCs w:val="20"/>
          <w:color w:val="010000"/>
        </w:rPr>
        <w:t>SECTION 8.10</w:t>
      </w:r>
      <w:r>
        <w:rPr>
          <w:sz w:val="20"/>
          <w:szCs w:val="20"/>
          <w:color w:val="auto"/>
        </w:rPr>
        <w:tab/>
      </w:r>
      <w:r>
        <w:rPr>
          <w:rFonts w:ascii="Arial" w:cs="Arial" w:eastAsia="Arial" w:hAnsi="Arial"/>
          <w:sz w:val="20"/>
          <w:szCs w:val="20"/>
          <w:u w:val="single" w:color="auto"/>
          <w:color w:val="auto"/>
        </w:rPr>
        <w:t>No</w:t>
        <w:tab/>
        <w:t>Waiver;</w:t>
        <w:tab/>
        <w:t>Cumulative</w:t>
      </w:r>
      <w:r>
        <w:rPr>
          <w:sz w:val="20"/>
          <w:szCs w:val="20"/>
          <w:color w:val="auto"/>
        </w:rPr>
        <w:tab/>
      </w:r>
      <w:r>
        <w:rPr>
          <w:rFonts w:ascii="Arial" w:cs="Arial" w:eastAsia="Arial" w:hAnsi="Arial"/>
          <w:sz w:val="16"/>
          <w:szCs w:val="16"/>
          <w:u w:val="single" w:color="auto"/>
          <w:color w:val="auto"/>
        </w:rPr>
        <w:t>Remedies;</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20"/>
          <w:szCs w:val="20"/>
          <w:u w:val="single" w:color="auto"/>
          <w:color w:val="auto"/>
        </w:rPr>
        <w:t>Enforcement</w:t>
      </w:r>
      <w:r>
        <w:rPr>
          <w:rFonts w:ascii="Arial" w:cs="Arial" w:eastAsia="Arial" w:hAnsi="Arial"/>
          <w:sz w:val="20"/>
          <w:szCs w:val="20"/>
          <w:color w:val="auto"/>
        </w:rPr>
        <w:t>.</w:t>
      </w:r>
    </w:p>
    <w:p>
      <w:pPr>
        <w:spacing w:after="0" w:line="212" w:lineRule="exact"/>
        <w:rPr>
          <w:sz w:val="20"/>
          <w:szCs w:val="20"/>
          <w:color w:val="auto"/>
        </w:rPr>
      </w:pPr>
    </w:p>
    <w:p>
      <w:pPr>
        <w:jc w:val="both"/>
        <w:ind w:right="40" w:firstLine="1499"/>
        <w:spacing w:after="0" w:line="278" w:lineRule="auto"/>
        <w:rPr>
          <w:sz w:val="20"/>
          <w:szCs w:val="20"/>
          <w:color w:val="auto"/>
        </w:rPr>
      </w:pPr>
      <w:r>
        <w:rPr>
          <w:rFonts w:ascii="Arial" w:cs="Arial" w:eastAsia="Arial" w:hAnsi="Arial"/>
          <w:sz w:val="18"/>
          <w:szCs w:val="18"/>
          <w:color w:val="auto"/>
        </w:rPr>
        <w:t>No failure by any Lender, any Issuing Bank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7" w:lineRule="exact"/>
        <w:rPr>
          <w:sz w:val="20"/>
          <w:szCs w:val="20"/>
          <w:color w:val="auto"/>
        </w:rPr>
      </w:pPr>
    </w:p>
    <w:p>
      <w:pPr>
        <w:jc w:val="both"/>
        <w:ind w:right="40" w:firstLine="1499"/>
        <w:spacing w:after="0" w:line="269"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 for the benefit of all the Lenders and the Issuing Banks;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Issuing Banks from exercising the rights and remedies that inure to its benefit (solely in its capacity as Issuing Bank, as the case may be) hereunder and under the other Loan Documents, (c) any Lender from exercising setoff rights in accordance with Section 9.08 (subject to the terms of Section 2.18),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Article VII and (ii) in addition to the matters set forth in clauses (b), (c) and (d) of the preceding proviso and subject to Section 2.18, any Lender may, with the consent of the Required Lenders, enforce any rights and remedies available to it and as authorized by the Required Lenders.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1" w:right="499" w:bottom="1440" w:gutter="0" w:footer="0" w:header="0"/>
        </w:sectPr>
      </w:pPr>
    </w:p>
    <w:bookmarkStart w:id="343" w:name="page344"/>
    <w:bookmarkEnd w:id="343"/>
    <w:p>
      <w:pPr>
        <w:ind w:left="4120"/>
        <w:spacing w:after="0"/>
        <w:tabs>
          <w:tab w:leader="none" w:pos="5680" w:val="left"/>
        </w:tabs>
        <w:rPr>
          <w:sz w:val="20"/>
          <w:szCs w:val="20"/>
          <w:color w:val="auto"/>
        </w:rPr>
      </w:pPr>
      <w:r>
        <w:rPr>
          <w:rFonts w:ascii="Arial" w:cs="Arial" w:eastAsia="Arial" w:hAnsi="Arial"/>
          <w:sz w:val="20"/>
          <w:szCs w:val="20"/>
          <w:color w:val="010000"/>
        </w:rPr>
        <w:t>SECTION 8.11</w:t>
      </w:r>
      <w:r>
        <w:rPr>
          <w:sz w:val="20"/>
          <w:szCs w:val="20"/>
          <w:color w:val="auto"/>
        </w:rPr>
        <w:tab/>
      </w:r>
      <w:r>
        <w:rPr>
          <w:rFonts w:ascii="Arial" w:cs="Arial" w:eastAsia="Arial" w:hAnsi="Arial"/>
          <w:sz w:val="16"/>
          <w:szCs w:val="16"/>
          <w:u w:val="single" w:color="auto"/>
          <w:color w:val="auto"/>
        </w:rPr>
        <w:t>Return of Certain Payments.</w:t>
      </w:r>
    </w:p>
    <w:p>
      <w:pPr>
        <w:spacing w:after="0" w:line="230" w:lineRule="exact"/>
        <w:rPr>
          <w:sz w:val="20"/>
          <w:szCs w:val="20"/>
          <w:color w:val="auto"/>
        </w:rPr>
      </w:pPr>
    </w:p>
    <w:p>
      <w:pPr>
        <w:jc w:val="both"/>
        <w:ind w:firstLine="1467"/>
        <w:spacing w:after="0" w:line="272" w:lineRule="auto"/>
        <w:tabs>
          <w:tab w:leader="none" w:pos="226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Each Lender and each Issuing Bank (and each Participant of any of the foregoing, by its acceptance of a Participation) hereby acknowledges and agrees that if the Administrative Agent notifies such Lender or Issuing Bank that the Administrative Agent has determined in its sole discretion that any funds (or any portion thereof) received by such Lender or Issuing Bank (any of the foregoing, but in any event excluding the Loan Parties and their Affiliates, a “</w:t>
      </w:r>
      <w:r>
        <w:rPr>
          <w:rFonts w:ascii="Arial" w:cs="Arial" w:eastAsia="Arial" w:hAnsi="Arial"/>
          <w:sz w:val="18"/>
          <w:szCs w:val="18"/>
          <w:u w:val="single" w:color="auto"/>
          <w:color w:val="auto"/>
        </w:rPr>
        <w:t>Recipient</w:t>
      </w:r>
      <w:r>
        <w:rPr>
          <w:rFonts w:ascii="Arial" w:cs="Arial" w:eastAsia="Arial" w:hAnsi="Arial"/>
          <w:sz w:val="18"/>
          <w:szCs w:val="18"/>
          <w:color w:val="auto"/>
        </w:rPr>
        <w:t>”) from the Administrative Agent (or any of its Affiliates) were erroneously transmitted to, or otherwise erroneously or mistakenly received by, such Recipient (whether or not known to such Recipient) (whether as a payment, prepayment or repayment of principal, interest, fees or otherwise; individually and collectively, a “</w:t>
      </w:r>
      <w:r>
        <w:rPr>
          <w:rFonts w:ascii="Arial" w:cs="Arial" w:eastAsia="Arial" w:hAnsi="Arial"/>
          <w:sz w:val="18"/>
          <w:szCs w:val="18"/>
          <w:u w:val="single" w:color="auto"/>
          <w:color w:val="auto"/>
        </w:rPr>
        <w:t>Payment</w:t>
      </w:r>
      <w:r>
        <w:rPr>
          <w:rFonts w:ascii="Arial" w:cs="Arial" w:eastAsia="Arial" w:hAnsi="Arial"/>
          <w:sz w:val="18"/>
          <w:szCs w:val="18"/>
          <w:color w:val="auto"/>
        </w:rPr>
        <w:t>”) and demands the return of such Payment, such Recipient shall promptly, but in no event later than one Business Day thereafter, return to the Administrative Agent the amount of any such Payment as to which such a demand was made. A notice of the Administrative Agent to any Recipient under this Section shall be conclusive, absent manifest error.</w:t>
      </w:r>
    </w:p>
    <w:p>
      <w:pPr>
        <w:spacing w:after="0" w:line="181" w:lineRule="exact"/>
        <w:rPr>
          <w:rFonts w:ascii="Arial" w:cs="Arial" w:eastAsia="Arial" w:hAnsi="Arial"/>
          <w:sz w:val="18"/>
          <w:szCs w:val="18"/>
          <w:color w:val="auto"/>
        </w:rPr>
      </w:pPr>
    </w:p>
    <w:p>
      <w:pPr>
        <w:jc w:val="both"/>
        <w:ind w:right="40" w:firstLine="1490"/>
        <w:spacing w:after="0" w:line="272" w:lineRule="auto"/>
        <w:tabs>
          <w:tab w:leader="none" w:pos="2286" w:val="left"/>
        </w:tabs>
        <w:numPr>
          <w:ilvl w:val="1"/>
          <w:numId w:val="323"/>
        </w:numPr>
        <w:rPr>
          <w:rFonts w:ascii="Arial" w:cs="Arial" w:eastAsia="Arial" w:hAnsi="Arial"/>
          <w:sz w:val="18"/>
          <w:szCs w:val="18"/>
          <w:color w:val="auto"/>
        </w:rPr>
      </w:pPr>
      <w:r>
        <w:rPr>
          <w:rFonts w:ascii="Arial" w:cs="Arial" w:eastAsia="Arial" w:hAnsi="Arial"/>
          <w:sz w:val="18"/>
          <w:szCs w:val="18"/>
          <w:color w:val="auto"/>
        </w:rPr>
        <w:t>Without limitation of clause (a) above, each Recipient further acknowledges and agrees that if such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w:t>
      </w:r>
      <w:r>
        <w:rPr>
          <w:rFonts w:ascii="Arial" w:cs="Arial" w:eastAsia="Arial" w:hAnsi="Arial"/>
          <w:sz w:val="18"/>
          <w:szCs w:val="18"/>
          <w:u w:val="single" w:color="auto"/>
          <w:color w:val="auto"/>
        </w:rPr>
        <w:t>Payment Notice</w:t>
      </w:r>
      <w:r>
        <w:rPr>
          <w:rFonts w:ascii="Arial" w:cs="Arial" w:eastAsia="Arial" w:hAnsi="Arial"/>
          <w:sz w:val="18"/>
          <w:szCs w:val="18"/>
          <w:color w:val="auto"/>
        </w:rPr>
        <w:t>”), (y) that was not preceded or accompanied by a Payment Notice, or (z) that such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w:t>
      </w:r>
    </w:p>
    <w:p>
      <w:pPr>
        <w:spacing w:after="0" w:line="181" w:lineRule="exact"/>
        <w:rPr>
          <w:rFonts w:ascii="Arial" w:cs="Arial" w:eastAsia="Arial" w:hAnsi="Arial"/>
          <w:sz w:val="18"/>
          <w:szCs w:val="18"/>
          <w:color w:val="auto"/>
        </w:rPr>
      </w:pPr>
    </w:p>
    <w:p>
      <w:pPr>
        <w:jc w:val="both"/>
        <w:ind w:right="40" w:firstLine="1490"/>
        <w:spacing w:after="0" w:line="272" w:lineRule="auto"/>
        <w:tabs>
          <w:tab w:leader="none" w:pos="2286"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Payment required to be returned by a Recipient under this Section shall be made in Same Day Funds in the currency so received, together with interest thereon in respect of each day from and including the date such Payment (or portion thereof) was received by such Recipient to the date such amount is repaid to the Administrative Agent at the greater of the Overnight Rate/Federal Funds Rate and a rate determined by the Administrative Agent in accordance with banking industry rules on interbank compensation from time to time in effect. Each Recipient hereby agrees that it shall not assert and, to the fullest extent permitted by applicable law,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spacing w:after="0" w:line="186" w:lineRule="exact"/>
        <w:rPr>
          <w:rFonts w:ascii="Arial" w:cs="Arial" w:eastAsia="Arial" w:hAnsi="Arial"/>
          <w:sz w:val="18"/>
          <w:szCs w:val="18"/>
          <w:color w:val="auto"/>
        </w:rPr>
      </w:pPr>
    </w:p>
    <w:p>
      <w:pPr>
        <w:jc w:val="both"/>
        <w:ind w:right="40" w:firstLine="1490"/>
        <w:spacing w:after="0" w:line="243" w:lineRule="auto"/>
        <w:tabs>
          <w:tab w:leader="none" w:pos="2287"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to the extent such erroneous Payment is, and with respect to the amount of such erroneous Payment that is, comprised of funds of the Borrower or any other Loan Party.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1" w:right="499"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20"/>
          <w:szCs w:val="20"/>
          <w:color w:val="auto"/>
        </w:rPr>
        <w:t>ARTICLE IX</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228" w:lineRule="exact"/>
        <w:rPr>
          <w:sz w:val="20"/>
          <w:szCs w:val="20"/>
          <w:color w:val="auto"/>
        </w:rPr>
      </w:pPr>
    </w:p>
    <w:p>
      <w:pPr>
        <w:jc w:val="center"/>
        <w:ind w:right="420"/>
        <w:spacing w:after="0"/>
        <w:tabs>
          <w:tab w:leader="none" w:pos="340" w:val="left"/>
        </w:tabs>
        <w:rPr>
          <w:sz w:val="20"/>
          <w:szCs w:val="20"/>
          <w:color w:val="auto"/>
        </w:rPr>
      </w:pPr>
      <w:r>
        <w:rPr>
          <w:rFonts w:ascii="Arial" w:cs="Arial" w:eastAsia="Arial" w:hAnsi="Arial"/>
          <w:sz w:val="20"/>
          <w:szCs w:val="20"/>
          <w:color w:val="010000"/>
        </w:rPr>
        <w:t>SECTION 9.01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8" w:lineRule="exact"/>
        <w:rPr>
          <w:sz w:val="20"/>
          <w:szCs w:val="20"/>
          <w:color w:val="auto"/>
        </w:rPr>
      </w:pPr>
    </w:p>
    <w:p>
      <w:pPr>
        <w:jc w:val="both"/>
        <w:ind w:right="60" w:firstLine="1490"/>
        <w:spacing w:after="0" w:line="269" w:lineRule="auto"/>
        <w:tabs>
          <w:tab w:leader="none" w:pos="2232" w:val="left"/>
        </w:tabs>
        <w:numPr>
          <w:ilvl w:val="0"/>
          <w:numId w:val="324"/>
        </w:numPr>
        <w:rPr>
          <w:rFonts w:ascii="Arial" w:cs="Arial" w:eastAsia="Arial" w:hAnsi="Arial"/>
          <w:sz w:val="19"/>
          <w:szCs w:val="19"/>
          <w:color w:val="auto"/>
        </w:rPr>
      </w:pPr>
      <w:r>
        <w:rPr>
          <w:rFonts w:ascii="Arial" w:cs="Arial" w:eastAsia="Arial" w:hAnsi="Arial"/>
          <w:sz w:val="19"/>
          <w:szCs w:val="19"/>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(including e-mail), as follows:</w:t>
      </w:r>
    </w:p>
    <w:p>
      <w:pPr>
        <w:spacing w:after="0" w:line="155" w:lineRule="exact"/>
        <w:rPr>
          <w:rFonts w:ascii="Arial" w:cs="Arial" w:eastAsia="Arial" w:hAnsi="Arial"/>
          <w:sz w:val="19"/>
          <w:szCs w:val="19"/>
          <w:color w:val="auto"/>
        </w:rPr>
      </w:pPr>
    </w:p>
    <w:p>
      <w:pPr>
        <w:jc w:val="both"/>
        <w:ind w:left="740" w:right="60" w:firstLine="1499"/>
        <w:spacing w:after="0" w:line="249" w:lineRule="auto"/>
        <w:tabs>
          <w:tab w:leader="none" w:pos="3338" w:val="left"/>
        </w:tabs>
        <w:numPr>
          <w:ilvl w:val="1"/>
          <w:numId w:val="324"/>
        </w:numPr>
        <w:rPr>
          <w:rFonts w:ascii="Arial" w:cs="Arial" w:eastAsia="Arial" w:hAnsi="Arial"/>
          <w:sz w:val="20"/>
          <w:szCs w:val="20"/>
          <w:color w:val="010000"/>
        </w:rPr>
      </w:pPr>
      <w:r>
        <w:rPr>
          <w:rFonts w:ascii="Arial" w:cs="Arial" w:eastAsia="Arial" w:hAnsi="Arial"/>
          <w:sz w:val="20"/>
          <w:szCs w:val="20"/>
          <w:color w:val="auto"/>
        </w:rPr>
        <w:t>if to Holdings, the Borrower, the Administrative Agent or Morgan Stanley Senior Funding, Inc. as an Issuing Bank, to the address, fax number, e-mail address or telephone number specified for such Person on Schedule 9.01; and</w:t>
      </w:r>
    </w:p>
    <w:p>
      <w:pPr>
        <w:spacing w:after="0" w:line="201" w:lineRule="exact"/>
        <w:rPr>
          <w:rFonts w:ascii="Arial" w:cs="Arial" w:eastAsia="Arial" w:hAnsi="Arial"/>
          <w:sz w:val="20"/>
          <w:szCs w:val="20"/>
          <w:color w:val="010000"/>
        </w:rPr>
      </w:pPr>
    </w:p>
    <w:p>
      <w:pPr>
        <w:jc w:val="both"/>
        <w:ind w:left="740" w:firstLine="1499"/>
        <w:spacing w:after="0" w:line="246" w:lineRule="auto"/>
        <w:tabs>
          <w:tab w:leader="none" w:pos="3345" w:val="left"/>
        </w:tabs>
        <w:numPr>
          <w:ilvl w:val="1"/>
          <w:numId w:val="324"/>
        </w:numPr>
        <w:rPr>
          <w:rFonts w:ascii="Arial" w:cs="Arial" w:eastAsia="Arial" w:hAnsi="Arial"/>
          <w:sz w:val="20"/>
          <w:szCs w:val="20"/>
          <w:color w:val="010000"/>
        </w:rPr>
      </w:pPr>
      <w:r>
        <w:rPr>
          <w:rFonts w:ascii="Arial" w:cs="Arial" w:eastAsia="Arial" w:hAnsi="Arial"/>
          <w:sz w:val="20"/>
          <w:szCs w:val="20"/>
          <w:color w:val="auto"/>
        </w:rPr>
        <w:t>if to any other Lender or Issuing Bank,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203" w:lineRule="exact"/>
        <w:rPr>
          <w:sz w:val="20"/>
          <w:szCs w:val="20"/>
          <w:color w:val="auto"/>
        </w:rPr>
      </w:pPr>
    </w:p>
    <w:p>
      <w:pPr>
        <w:jc w:val="both"/>
        <w:ind w:right="60" w:firstLine="1499"/>
        <w:spacing w:after="0" w:line="278"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77" w:lineRule="exact"/>
        <w:rPr>
          <w:sz w:val="20"/>
          <w:szCs w:val="20"/>
          <w:color w:val="auto"/>
        </w:rPr>
      </w:pPr>
    </w:p>
    <w:p>
      <w:pPr>
        <w:jc w:val="both"/>
        <w:ind w:right="40" w:firstLine="1490"/>
        <w:spacing w:after="0" w:line="260" w:lineRule="auto"/>
        <w:tabs>
          <w:tab w:leader="none" w:pos="2232" w:val="left"/>
        </w:tabs>
        <w:numPr>
          <w:ilvl w:val="0"/>
          <w:numId w:val="325"/>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Issuing Banks hereunder may be delivered or furnished by electronic communication (including e-mail and Internet or intranet websites) pursuant to procedures reasonably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any Issuing Bank pursuant to Article II if such Lender or such Issuing Bank, as applicable, has notified the Administrative Agent that it is incapable of receiving notices under such Article by electronic communication.</w:t>
      </w:r>
    </w:p>
    <w:p>
      <w:pPr>
        <w:spacing w:after="0" w:line="192" w:lineRule="exact"/>
        <w:rPr>
          <w:sz w:val="20"/>
          <w:szCs w:val="20"/>
          <w:color w:val="auto"/>
        </w:rPr>
      </w:pPr>
    </w:p>
    <w:p>
      <w:pPr>
        <w:jc w:val="both"/>
        <w:ind w:right="60" w:firstLine="1499"/>
        <w:spacing w:after="0" w:line="257"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when sent to the proper e-mail address as specified on Schedule 9.01 (as updated from time to time in accordance with Section 9.01(d)),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when an e-mail is sent to the intended recipient at its e-mail address as described in the foregoing clause (i) of notification that such notice or communication is available and identifying the website address therefor.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1" w:right="499" w:bottom="1440" w:gutter="0" w:footer="0" w:header="0"/>
        </w:sectPr>
      </w:pPr>
    </w:p>
    <w:bookmarkStart w:id="345" w:name="page346"/>
    <w:bookmarkEnd w:id="345"/>
    <w:p>
      <w:pPr>
        <w:jc w:val="both"/>
        <w:ind w:firstLine="1490"/>
        <w:spacing w:after="0" w:line="254" w:lineRule="auto"/>
        <w:tabs>
          <w:tab w:leader="none" w:pos="2234" w:val="left"/>
        </w:tabs>
        <w:numPr>
          <w:ilvl w:val="0"/>
          <w:numId w:val="326"/>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have any liability to Holdings, the Borrower, any Lender, any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Agent Party have any liability to Holdings, the Borrower, any Lender, any Issuing Bank or any other Person for indirect, special, incidental, consequential or punitive damages (as opposed to direct or actual damages).</w:t>
      </w:r>
    </w:p>
    <w:p>
      <w:pPr>
        <w:spacing w:after="0" w:line="202" w:lineRule="exact"/>
        <w:rPr>
          <w:rFonts w:ascii="Arial" w:cs="Arial" w:eastAsia="Arial" w:hAnsi="Arial"/>
          <w:sz w:val="19"/>
          <w:szCs w:val="19"/>
          <w:color w:val="auto"/>
        </w:rPr>
      </w:pPr>
    </w:p>
    <w:p>
      <w:pPr>
        <w:jc w:val="both"/>
        <w:ind w:firstLine="1490"/>
        <w:spacing w:after="0" w:line="257" w:lineRule="auto"/>
        <w:tabs>
          <w:tab w:leader="none" w:pos="2234" w:val="left"/>
        </w:tabs>
        <w:numPr>
          <w:ilvl w:val="0"/>
          <w:numId w:val="326"/>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Holdings, the Borrower, the Administrative Agent and any Issuing Bank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Administrative Agent and the Issuing Banks.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96" w:lineRule="exact"/>
        <w:rPr>
          <w:rFonts w:ascii="Arial" w:cs="Arial" w:eastAsia="Arial" w:hAnsi="Arial"/>
          <w:sz w:val="19"/>
          <w:szCs w:val="19"/>
          <w:color w:val="auto"/>
        </w:rPr>
      </w:pPr>
    </w:p>
    <w:p>
      <w:pPr>
        <w:jc w:val="both"/>
        <w:ind w:right="20" w:firstLine="1490"/>
        <w:spacing w:after="0" w:line="243" w:lineRule="auto"/>
        <w:tabs>
          <w:tab w:leader="none" w:pos="2232" w:val="left"/>
        </w:tabs>
        <w:numPr>
          <w:ilvl w:val="0"/>
          <w:numId w:val="326"/>
        </w:numPr>
        <w:rPr>
          <w:rFonts w:ascii="Arial" w:cs="Arial" w:eastAsia="Arial" w:hAnsi="Arial"/>
          <w:sz w:val="20"/>
          <w:szCs w:val="20"/>
          <w:color w:val="auto"/>
        </w:rPr>
      </w:pPr>
      <w:r>
        <w:rPr>
          <w:rFonts w:ascii="Arial" w:cs="Arial" w:eastAsia="Arial" w:hAnsi="Arial"/>
          <w:sz w:val="20"/>
          <w:szCs w:val="20"/>
          <w:u w:val="single" w:color="auto"/>
          <w:color w:val="auto"/>
        </w:rPr>
        <w:t>Reliance by Administrative Agent, Issuing Bank and Lenders</w:t>
      </w:r>
      <w:r>
        <w:rPr>
          <w:rFonts w:ascii="Arial" w:cs="Arial" w:eastAsia="Arial" w:hAnsi="Arial"/>
          <w:sz w:val="20"/>
          <w:szCs w:val="20"/>
          <w:color w:val="auto"/>
        </w:rPr>
        <w:t>. The Administrative Agent and the Issuing Banks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telephonic communications with the Administrative Agent may be recorded by the Administrative Agent and each of the parties hereto hereby consents to such recording.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1" w:right="519" w:bottom="1440" w:gutter="0" w:footer="0" w:header="0"/>
        </w:sectPr>
      </w:pPr>
    </w:p>
    <w:bookmarkStart w:id="346" w:name="page347"/>
    <w:bookmarkEnd w:id="346"/>
    <w:p>
      <w:pPr>
        <w:ind w:left="4120"/>
        <w:spacing w:after="0"/>
        <w:tabs>
          <w:tab w:leader="none" w:pos="5680" w:val="left"/>
        </w:tabs>
        <w:rPr>
          <w:sz w:val="20"/>
          <w:szCs w:val="20"/>
          <w:color w:val="auto"/>
        </w:rPr>
      </w:pPr>
      <w:r>
        <w:rPr>
          <w:rFonts w:ascii="Arial" w:cs="Arial" w:eastAsia="Arial" w:hAnsi="Arial"/>
          <w:sz w:val="20"/>
          <w:szCs w:val="20"/>
          <w:color w:val="010000"/>
        </w:rPr>
        <w:t>SECTION 9.02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230" w:lineRule="exact"/>
        <w:rPr>
          <w:sz w:val="20"/>
          <w:szCs w:val="20"/>
          <w:color w:val="auto"/>
        </w:rPr>
      </w:pPr>
    </w:p>
    <w:p>
      <w:pPr>
        <w:jc w:val="both"/>
        <w:ind w:firstLine="1490"/>
        <w:spacing w:after="0" w:line="270" w:lineRule="auto"/>
        <w:tabs>
          <w:tab w:leader="none" w:pos="228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or Event of Default, regardless of whether the Administrative Agent, any Lender or any Issuing Bank may have had notice or knowledge of such Default or Event of Default at the time. No notice or demand on the Borrower or Holdings in any case shall entitle the Borrower or Holdings to any other or further notice or demand in similar or other circumstances.</w:t>
      </w:r>
    </w:p>
    <w:p>
      <w:pPr>
        <w:spacing w:after="0" w:line="185" w:lineRule="exact"/>
        <w:rPr>
          <w:rFonts w:ascii="Arial" w:cs="Arial" w:eastAsia="Arial" w:hAnsi="Arial"/>
          <w:sz w:val="18"/>
          <w:szCs w:val="18"/>
          <w:color w:val="auto"/>
        </w:rPr>
      </w:pPr>
    </w:p>
    <w:p>
      <w:pPr>
        <w:jc w:val="both"/>
        <w:ind w:right="40" w:firstLine="1490"/>
        <w:spacing w:after="0" w:line="267" w:lineRule="auto"/>
        <w:tabs>
          <w:tab w:leader="none" w:pos="228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Except as provided in Section 2.20 with respect to any Incremental Facility Amendment, Section 2.21 with respect to any Refinancing Amendment or Section 2.24 with respect to any Permitted Amendment, neither this Agreement, any Loan Document nor any provision hereof or thereof may be waived, amended or modified except, in the case of this Agreement, pursuant to an agreement or agreements in writing entered into by the Borrower and the Required Lenders (with a written copy thereof being provided to the Administrative Agent unless such waiver, amendment or modification affects the rights, duties, privileges or obligations of the Administrative Agent under this Agreement, in which case consent of the Administrative Agent shall be required) or,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consent of the Required Lenders shall not be required with respect to the amendments set forth below;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agreement shall (i) increase the Commitment of any Lender without the written consent of such Lender (it being understood that a waiver of any condition precedent set forth in Section 4.02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Cash Interest Coverage Ratio or in the component definitions thereof shall not constitute a reduction of interest or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to waive or otherwise modify any obligation of the Borrower to pay default interest pursuant to Section 2.13(c), (iii) postpone the maturity of any Loan (it being understood that a waiver of any Default, Event of Default, mandatory prepayment or mandatory reduction of the Commitments shall not constitute an extension of any maturity date), or the date of any scheduled amortization payment of the principal amount of any Term Loan under Section 2.10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(iv) change Section 2.18(b), Section 2.18(c) or Section 7.03 in a manner that would alter the pro rata sharing of payments or other amounts required thereby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1" w:right="519" w:bottom="1440" w:gutter="0" w:footer="0" w:header="0"/>
        </w:sectPr>
      </w:pPr>
    </w:p>
    <w:bookmarkStart w:id="347" w:name="page348"/>
    <w:bookmarkEnd w:id="347"/>
    <w:p>
      <w:pPr>
        <w:jc w:val="both"/>
        <w:spacing w:after="0" w:line="267" w:lineRule="auto"/>
        <w:rPr>
          <w:sz w:val="20"/>
          <w:szCs w:val="20"/>
          <w:color w:val="auto"/>
        </w:rPr>
      </w:pPr>
      <w:r>
        <w:rPr>
          <w:rFonts w:ascii="Arial" w:cs="Arial" w:eastAsia="Arial" w:hAnsi="Arial"/>
          <w:sz w:val="18"/>
          <w:szCs w:val="18"/>
          <w:color w:val="auto"/>
        </w:rPr>
        <w:t>without the consent of the Supermajority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changes required in connection with any Refinancing Amendment, Incremental Facility Amendment or other transaction expressly permitted hereunder shall only require the approval (to the extent any approval is required) of the Required Lenders), (v) change any of the provisions of this Section 9.02(b) without the written consent of such Lender directly and adversely affected thereby, (vi) change the percentage set forth in the definition of “Required Lenders”, “Required Revolving Lenders”, “Supermajority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all or substantially all the value of the Guarantees under the Guarantee Agreement (except as expressly provided in the Loan Documents) without the written consent of each Lender (other than a Defaulting Lender) or (viii) release all or substantially all the Collateral from the Liens of the Security Documents, without the written consent of each Lender (other than a Defaulting Lender), except as expressly provided in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connection with an amendment that addresses solely a re-pricing transaction in which any Class of Term Loans or Revolving Commitments (and the Revolving Loans in respect hereof) is refinanced with a replacement Class of term loans or revolving commitments (and the revolving loans in respect hereof) bearing (or is modified in such a manner such that the resulting term loans or revolving commitments (and the revolving loans in respect hereof) bear a lower Effective Yield, only the consent of the Lenders holding Term Loans or Revolving Commitments (and the Revolving Loans in respect hereof) subject to such permitted re-pricing transaction that will continue as a Lender in respect of the re-priced tranche of Term Loans or Revolving Commitments (and the Revolving Loans in respect hereof) or modified Term Loans or Revolving Commitments and the Revolving Loans in respect hereof shall be required);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no such agreement shall amend, modify or otherwise affect the rights or duties of the Administrative Agent or any Issuing Bank without the prior written consent of the Administrative Agent, or such Issuing Bank, as the case may be, (B) any provision of this Agreement or any other Loan Document may be amended by an agreement in writing entered into by the Borrower and the Administrative Agent to cure any mistake, ambiguity, omission, defect, obvious error or incorrect cross-reference, or to effect administrative changes of a technical, conforming or immaterial nature or to correct any inconsistency without further action or consent of any other party if the same is not objected to in writing by the Required Lenders to the Administrative Agent within five (5) Business Days following receipt of notice thereof, (C) technical and conforming modifications to the Loan Documents may be made with the consent of the Borrower and the Administrative Agent (and no other Person) to the extent necessary to (i) to integrate any Incremental Facility or Credit Agreement Refinancing Indebtedness, (ii) to integrate and terms or conditions from any Incremental Facility Amendment that are more restrictive than this Agreement in accordance with Section 2.20(d), (iii) to increase the interest rates (including any interest rate margins or interest rate floors), fees and other amounts payable to any Class or Classes of Lenders hereunder to the extent required by Section 2.20(b)(i), (iv) increase, expand and/or extend the call protection provisions and any “most favored nation” provisions benefiting any Class or Classes of Lenders hereunder and/or (v) modify any other provision hereunder or under any other Loan Document in a manner more favorable to the then-existing Lenders or Class or Classes of Lenders, in each case in connection with the issuance or incurrence of any Incremental Term Facility or other Indebtedness permitted hereunder, where the terms of any such Incremental Facility or other Indebtedness are more favorable to the lenders thereof than the corresponding terms applicable to other Loans or Commitments then existing hereunder, and it is intended that one or more then-existing Classes of Loans or Commitments under this Agreement share in the benefit of such more favorable terms in order to comply with the provisions hereof relating to the incurrence of such Incremental Facility or 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consent of the Lenders or the Required Lenders, as the case may be, shall not be required to make any such changes necessary to be made in connection with any borrowing of Incremental Loans, any borrowing of Credit Agreement Refinancing Indebtedness and otherwise to effect the provisions of Section 2.20 or 2.21) and (D) any waiver, amendment or modification of this Agreement that by its terms affects the rights or duties under this Agreement of Lenders holding Loans or Commitments of a particular Class (but not the Lenders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348" w:name="page349"/>
    <w:bookmarkEnd w:id="348"/>
    <w:p>
      <w:pPr>
        <w:jc w:val="both"/>
        <w:ind w:right="20"/>
        <w:spacing w:after="0" w:line="268" w:lineRule="auto"/>
        <w:rPr>
          <w:sz w:val="20"/>
          <w:szCs w:val="20"/>
          <w:color w:val="auto"/>
        </w:rPr>
      </w:pPr>
      <w:r>
        <w:rPr>
          <w:rFonts w:ascii="Arial" w:cs="Arial" w:eastAsia="Arial" w:hAnsi="Arial"/>
          <w:sz w:val="18"/>
          <w:szCs w:val="18"/>
          <w:color w:val="auto"/>
        </w:rPr>
        <w:t>holding Loans or Commitments of any other Class) may be effected by an agreement or agreements in writing entered into by the Borrower and the requisite percentage in interest of the affected Class of Lenders stating that would be required to consent thereto under this Section if such Class of Lenders were the only Class of Lenders hereunder at the time, which includes amendments to covenants or other provisions of this Agreement that would benefit Lenders of other Classes of Loans. Notwithstanding the foregoing, (a) this Agreement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(b) guarantees, Security Documents and related documents in connection with this Agreement may be in a form reasonably determined by the Administrative Agent and may be, together with this Agreement and the other Loan Documents,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(iii) to cause such guarantee, collateral security document or other document to be consistent with this Agreement and the other Loan Documents or (iv) to integrate any Incremental Facility or Credit Agreement Refinancing Indebtedness in a manner consistent with this Agreement and the other Loan Documents. Notwithstanding the foregoing, no Lender or Issuing Bank consent is required to effect any amendment, modification or supplement to any Intercreditor Agreement or subordination agreement or arrangement permitted under this Agreement or in any document pertaining to any Indebtedness permitted hereby that is permitted to be secured by the Collateral, including any Incremental Term Loan or Incremental Revolving Loan, any Other Term Loan, Other Revolving Loan or Other Revolving Commitments, for the purpose of adding the holders of such Indebtedness (or their senior representative) as a party thereto and otherwise causing such Indebtedness to be subject thereto, to give effect hereto or otherwise carry out the purposes thereof, in each case as contemplated by the terms of such Intercreditor Agreement permitted under this Agreement (including any changes thereto as contemplated by Section 9.14(b)) or subordination agreement or arrangement permitted under this Agreement, as applicable.</w:t>
      </w:r>
    </w:p>
    <w:p>
      <w:pPr>
        <w:spacing w:after="0" w:line="187" w:lineRule="exact"/>
        <w:rPr>
          <w:sz w:val="20"/>
          <w:szCs w:val="20"/>
          <w:color w:val="auto"/>
        </w:rPr>
      </w:pPr>
    </w:p>
    <w:p>
      <w:pPr>
        <w:jc w:val="both"/>
        <w:ind w:firstLine="1490"/>
        <w:spacing w:after="0" w:line="268" w:lineRule="auto"/>
        <w:tabs>
          <w:tab w:leader="none" w:pos="228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 connection with any proposed amendment, modification, waiver or termination (a “</w:t>
      </w:r>
      <w:r>
        <w:rPr>
          <w:rFonts w:ascii="Arial" w:cs="Arial" w:eastAsia="Arial" w:hAnsi="Arial"/>
          <w:sz w:val="18"/>
          <w:szCs w:val="18"/>
          <w:u w:val="single" w:color="auto"/>
          <w:color w:val="auto"/>
        </w:rPr>
        <w:t>Proposed Change</w:t>
      </w:r>
      <w:r>
        <w:rPr>
          <w:rFonts w:ascii="Arial" w:cs="Arial" w:eastAsia="Arial" w:hAnsi="Arial"/>
          <w:sz w:val="18"/>
          <w:szCs w:val="18"/>
          <w:color w:val="auto"/>
        </w:rPr>
        <w:t>”) requiring the consent of all Lenders or all directly and adversely affected Lenders, if the consent of the Required Lenders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Arial" w:cs="Arial" w:eastAsia="Arial" w:hAnsi="Arial"/>
          <w:sz w:val="18"/>
          <w:szCs w:val="18"/>
          <w:u w:val="single" w:color="auto"/>
          <w:color w:val="auto"/>
        </w:rPr>
        <w:t>Non-Consenting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then the Borrower may, at its sole expense and effort, upon notice to such Non-Consenting Lender and the Administrative Agent, (I)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and each Issuing Bank), which consent shall not unreasonably be withheld, (b) such Non-Consenting Lender shall have received payment of an amount equal to the outstanding par principal amount of its Loans and participations in LC Disbursements, accrued interest thereon, accrued fees and all other amounts payable to it hereunder (including pursuant to Section 2.11(a)(i)) from the Eligible Assignee (to the extent of such outstanding principal and accrued interest and fees) or the Borrower (in the case of all other amounts) and (c) unless waived, the Borrower or such Eligible Assignee shall have paid to the Administrative Agent the processing and recordation fee specified in Section 9.04(b) or (II) terminate the Commitment of such Non-Consenting Lender and repay all Loan Document Obligations of the Borrower owing to such Non-Consenting Lender relating to the Loans held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1" w:right="519" w:bottom="1440" w:gutter="0" w:footer="0" w:header="0"/>
        </w:sectPr>
      </w:pPr>
    </w:p>
    <w:bookmarkStart w:id="349" w:name="page350"/>
    <w:bookmarkEnd w:id="349"/>
    <w:p>
      <w:pPr>
        <w:jc w:val="both"/>
        <w:ind w:left="8" w:right="20"/>
        <w:spacing w:after="0" w:line="246" w:lineRule="auto"/>
        <w:rPr>
          <w:sz w:val="20"/>
          <w:szCs w:val="20"/>
          <w:color w:val="auto"/>
        </w:rPr>
      </w:pPr>
      <w:r>
        <w:rPr>
          <w:rFonts w:ascii="Arial" w:cs="Arial" w:eastAsia="Arial" w:hAnsi="Arial"/>
          <w:sz w:val="20"/>
          <w:szCs w:val="20"/>
          <w:color w:val="auto"/>
        </w:rPr>
        <w:t xml:space="preserve">by such Non-Consenting Lender as of such termination date (including in the case of a Repricing Transaction, any “prepayment premium” pursuant to Section 2.11 that would otherwise be owed in connection therewith);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termination shall be in respect of all of its interests, rights and obligations with respect to the Class of Loans or Commitments that is the subject of the related consent, waiver and amendment.</w:t>
      </w:r>
    </w:p>
    <w:p>
      <w:pPr>
        <w:spacing w:after="0" w:line="204" w:lineRule="exact"/>
        <w:rPr>
          <w:sz w:val="20"/>
          <w:szCs w:val="20"/>
          <w:color w:val="auto"/>
        </w:rPr>
      </w:pPr>
    </w:p>
    <w:p>
      <w:pPr>
        <w:jc w:val="both"/>
        <w:ind w:left="8" w:right="60" w:firstLine="1490"/>
        <w:spacing w:after="0" w:line="272" w:lineRule="auto"/>
        <w:tabs>
          <w:tab w:leader="none" w:pos="229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or the other Loan Documents to the contrary,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w:t>
      </w:r>
    </w:p>
    <w:p>
      <w:pPr>
        <w:spacing w:after="0" w:line="186" w:lineRule="exact"/>
        <w:rPr>
          <w:rFonts w:ascii="Arial" w:cs="Arial" w:eastAsia="Arial" w:hAnsi="Arial"/>
          <w:sz w:val="18"/>
          <w:szCs w:val="18"/>
          <w:color w:val="auto"/>
        </w:rPr>
      </w:pPr>
    </w:p>
    <w:p>
      <w:pPr>
        <w:jc w:val="both"/>
        <w:ind w:left="8" w:right="60" w:firstLine="1490"/>
        <w:spacing w:after="0" w:line="268" w:lineRule="auto"/>
        <w:tabs>
          <w:tab w:leader="none" w:pos="229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Notwithstanding anything in this Agreement or the other Loan Documents to the contrary, each Affiliated Lender (other than an Affiliated Debt Fund) hereby agrees that, for purposes of any plan of reorganization, such Affiliated Lender will be deemed to have voted in the same proportion as non-Affiliated Lenders voting on such matter; provided that such Affiliated Lender shall be entitled to vote in accordance with its sole discretion in connection with any plan of reorganization to the extent (a)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 (b) that would deprive such Affiliated Lender of its pro rata share of any payments to which it is entitled or</w:t>
      </w:r>
    </w:p>
    <w:p>
      <w:pPr>
        <w:spacing w:after="0" w:line="2" w:lineRule="exact"/>
        <w:rPr>
          <w:rFonts w:ascii="Arial" w:cs="Arial" w:eastAsia="Arial" w:hAnsi="Arial"/>
          <w:sz w:val="18"/>
          <w:szCs w:val="18"/>
          <w:color w:val="auto"/>
        </w:rPr>
      </w:pPr>
    </w:p>
    <w:p>
      <w:pPr>
        <w:ind w:left="268" w:hanging="268"/>
        <w:spacing w:after="0"/>
        <w:tabs>
          <w:tab w:leader="none" w:pos="268" w:val="left"/>
        </w:tabs>
        <w:numPr>
          <w:ilvl w:val="0"/>
          <w:numId w:val="330"/>
        </w:numPr>
        <w:rPr>
          <w:rFonts w:ascii="Arial" w:cs="Arial" w:eastAsia="Arial" w:hAnsi="Arial"/>
          <w:sz w:val="20"/>
          <w:szCs w:val="20"/>
          <w:color w:val="auto"/>
        </w:rPr>
      </w:pPr>
      <w:r>
        <w:rPr>
          <w:rFonts w:ascii="Arial" w:cs="Arial" w:eastAsia="Arial" w:hAnsi="Arial"/>
          <w:sz w:val="20"/>
          <w:szCs w:val="20"/>
          <w:color w:val="auto"/>
        </w:rPr>
        <w:t>if such plan of reorganization does not require the consent of each Lender or each affected Lender.</w:t>
      </w:r>
    </w:p>
    <w:p>
      <w:pPr>
        <w:spacing w:after="0" w:line="212" w:lineRule="exact"/>
        <w:rPr>
          <w:rFonts w:ascii="Arial" w:cs="Arial" w:eastAsia="Arial" w:hAnsi="Arial"/>
          <w:sz w:val="20"/>
          <w:szCs w:val="20"/>
          <w:color w:val="auto"/>
        </w:rPr>
      </w:pPr>
    </w:p>
    <w:p>
      <w:pPr>
        <w:jc w:val="both"/>
        <w:ind w:left="8" w:right="60" w:firstLine="1490"/>
        <w:spacing w:after="0" w:line="257" w:lineRule="auto"/>
        <w:tabs>
          <w:tab w:leader="none" w:pos="2294" w:val="left"/>
        </w:tabs>
        <w:numPr>
          <w:ilvl w:val="1"/>
          <w:numId w:val="330"/>
        </w:numPr>
        <w:rPr>
          <w:rFonts w:ascii="Arial" w:cs="Arial" w:eastAsia="Arial" w:hAnsi="Arial"/>
          <w:sz w:val="19"/>
          <w:szCs w:val="19"/>
          <w:color w:val="auto"/>
        </w:rPr>
      </w:pPr>
      <w:r>
        <w:rPr>
          <w:rFonts w:ascii="Arial" w:cs="Arial" w:eastAsia="Arial" w:hAnsi="Arial"/>
          <w:sz w:val="19"/>
          <w:szCs w:val="19"/>
          <w:color w:val="auto"/>
        </w:rPr>
        <w:t>Notwithstanding anything in this Agreement or the other Loan Documents to the contrary, only the consent of the Required Revolving Lenders shall be necessary to (A) amend or otherwise modify Section 6.11 or Section 7.02 (or, in each case, solely for the purposes of determining compliance with the Financial Performance Covenant, any defined terms used therein), (B) waive or consent to any Default or Event of Default resulting from a breach of the Financial Performance Covenant, (C) alter the rights or remedies of the Required Revolving Lenders arising pursuant to Article VII as a result of a breach of Section 6.11, (D) amend, modify or waive conditions to any extensions of credit under the Revolving Facility or (E) add or modify representations, covenants or other terms or conditions solely for the benefit of the Revolving Facility.</w:t>
      </w:r>
    </w:p>
    <w:p>
      <w:pPr>
        <w:spacing w:after="0" w:line="196" w:lineRule="exact"/>
        <w:rPr>
          <w:sz w:val="20"/>
          <w:szCs w:val="20"/>
          <w:color w:val="auto"/>
        </w:rPr>
      </w:pPr>
    </w:p>
    <w:p>
      <w:pPr>
        <w:ind w:left="4128"/>
        <w:spacing w:after="0"/>
        <w:tabs>
          <w:tab w:leader="none" w:pos="5688" w:val="left"/>
        </w:tabs>
        <w:rPr>
          <w:sz w:val="20"/>
          <w:szCs w:val="20"/>
          <w:color w:val="auto"/>
        </w:rPr>
      </w:pPr>
      <w:r>
        <w:rPr>
          <w:rFonts w:ascii="Arial" w:cs="Arial" w:eastAsia="Arial" w:hAnsi="Arial"/>
          <w:sz w:val="20"/>
          <w:szCs w:val="20"/>
          <w:color w:val="010000"/>
        </w:rPr>
        <w:t>SECTION 9.03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28" w:lineRule="exact"/>
        <w:rPr>
          <w:sz w:val="20"/>
          <w:szCs w:val="20"/>
          <w:color w:val="auto"/>
        </w:rPr>
      </w:pPr>
    </w:p>
    <w:p>
      <w:pPr>
        <w:jc w:val="both"/>
        <w:ind w:left="8" w:firstLine="1467"/>
        <w:spacing w:after="0" w:line="272" w:lineRule="auto"/>
        <w:tabs>
          <w:tab w:leader="none" w:pos="227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Borrower shall pay, if the Effective Date occurs and the Transactions have been consummated, (i) all reasonable and documented out-of-pocket costs and expenses incurred by the Administrative Agent, the Joint Lead Arrangers, each Issuing Bank and their respective Affiliates (without duplication), (but limited, (A) in the case of legal fees and expenses, to the reasonable, documented and out-of-pocket fees, disbursements and other charges of one counsel to the Administrative Agent, the Issuing Bank, and the Joint Lead Arrangers, taken as a whole, plus, if reasonably necessary, one local counsel to the Administrative Agent, the Issuing Banks, and the Joint Lead Arrangers, taken as a whole, in any relevant material jurisdiction, in each case excluding allocated costs of in-house counsel (and in the case of an actual or reasonably perceived potential conflict of interest, one additional counsel and local counsel to the affected Lenders, taken as a whole), and (B) in the case of other consultants and advisors, limited to the fees and expenses of such persons approved by the Borrower, acting reasonably), in each case for the</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121" w:right="499" w:bottom="1440" w:gutter="0" w:footer="0" w:header="0"/>
        </w:sectPr>
      </w:pPr>
    </w:p>
    <w:bookmarkStart w:id="350" w:name="page351"/>
    <w:bookmarkEnd w:id="350"/>
    <w:p>
      <w:pPr>
        <w:jc w:val="both"/>
        <w:spacing w:after="0" w:line="269" w:lineRule="auto"/>
        <w:rPr>
          <w:sz w:val="20"/>
          <w:szCs w:val="20"/>
          <w:color w:val="auto"/>
        </w:rPr>
      </w:pPr>
      <w:r>
        <w:rPr>
          <w:rFonts w:ascii="Arial" w:cs="Arial" w:eastAsia="Arial" w:hAnsi="Arial"/>
          <w:sz w:val="18"/>
          <w:szCs w:val="18"/>
          <w:color w:val="auto"/>
        </w:rPr>
        <w:t>Administrative Agent, in connection with the syndication of the credit facilities provided for herein, and the preparation, execution, delivery and administration of the Loan Documents or any amendments, modifications or waivers of the provisions thereof), (ii) all reasonable and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(but not third party costs or expenses such as legal fees or the fees of other advisors) incurred by the Administrative Agent, each Issuing Bank or any Lender and the fees, charges and disbursements of counsel to the Administrative Agent, the Issuing Banks and the Lenders, taken as a whole, in any relevant material jurisdiction (and in the case of an actual or reasonably perceived potential conflict of interest, one additional counsel to the affected Lenders, taken as a whole) and in the case of other consultants and advisers, limited to the fees and expenses of such persons approved by the Borrower, acting reasonably) (but limited, (A) in the case of legal fees and expenses, to the fees, disbursements and other charges of one counsel to the Administrative Agent, the Issuing Banks, and the Lenders, taken as a whole, and, if reasonably necessary, one local counsel to the Administrative Agent, the Issuing Banks, and the Lenders, taken as a whole, in each relevant material jurisdiction (and in the case of an actual or reasonably perceived potential conflict of interest, one additional counsel to the affected Lenders, taken as a whole) and (B) in the case of other consultants and advisers, limited to the fees and expenses of such persons approved by the Borrower, acting reasonably) in connection with the enforcement or protection of any rights or remedies in connection with the Loan Documents (including all such costs and expenses incurred during any legal proceeding, including any proceeding under any Debtor Relief Laws or during any workout, restructuring or negotiations in respect of such Loans or Letters of Credit).</w:t>
      </w:r>
    </w:p>
    <w:p>
      <w:pPr>
        <w:spacing w:after="0" w:line="156" w:lineRule="exact"/>
        <w:rPr>
          <w:sz w:val="20"/>
          <w:szCs w:val="20"/>
          <w:color w:val="auto"/>
        </w:rPr>
      </w:pPr>
    </w:p>
    <w:p>
      <w:pPr>
        <w:jc w:val="both"/>
        <w:ind w:firstLine="1467"/>
        <w:spacing w:after="0" w:line="268" w:lineRule="auto"/>
        <w:tabs>
          <w:tab w:leader="none" w:pos="226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Without duplication of the expense reimbursement obligations pursuant to clause (a) above, the Borrower shall indemnify the Administrative Agent, each Issuing Bank, each Lender, the Joint Lead Arrangers and each Related Party (other than Excluded Affiliates to the extent acting in their capacities as such)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reasonable, documented and out-of-pocket expenses (but limited, in the case of legal expenses, to the reasonable and documented and invoiced out-of-pocket fees and expenses of one counsel for all Indemnitees and to the extent reasonably determined by the Administrative Agent to be necessary, one local counsel in each relevant material jurisdiction (and, in the case of a conflict of interest, where the Indemnitee affected by such conflict notifies Holdings of the existence of such conflict and thereafter retains its own counsel, one additional counsel to the affected Indemnitees, taken as a whole) for all Indemnitees (which may include a single special counsel acting in multiple jurisdictions but excluding allocated costs of in-house counsel)), incurred by or asserted against any Indemnitee by any third party or by the Borrower, Holdings or any Subsidiary arising out of, in connection with, or as a result of (i) 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the syndication of the credit facilities provided for herein,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to the extent in any way arising from or relating to any of the foregoing, any actual or alleged presence or Release or threat of Release of Hazardous Materials on, at, to or from any Mortgaged Property or any other real property currently or formerly owned or operated by Holdings, the Borrower or any Subsidiary, or any other Environmental Liability related in any way to Holdings,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costs or related expenses (w) resulted from the gross negligence, bad faith or willful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351" w:name="page352"/>
    <w:bookmarkEnd w:id="351"/>
    <w:p>
      <w:pPr>
        <w:jc w:val="both"/>
        <w:ind w:left="8"/>
        <w:spacing w:after="0" w:line="269" w:lineRule="auto"/>
        <w:rPr>
          <w:sz w:val="20"/>
          <w:szCs w:val="20"/>
          <w:color w:val="auto"/>
        </w:rPr>
      </w:pPr>
      <w:r>
        <w:rPr>
          <w:rFonts w:ascii="Arial" w:cs="Arial" w:eastAsia="Arial" w:hAnsi="Arial"/>
          <w:sz w:val="18"/>
          <w:szCs w:val="18"/>
          <w:color w:val="auto"/>
        </w:rPr>
        <w:t>misconduct of such Indemnitee or its Related Parties (as determined by a court of competent jurisdiction in a final and non-appealable judgment), (x) resulted from a material breach of the Loan Documents by such Indemnitee or its Related Parties (as determined by a court of competent jurisdiction in a final and non-appealable judgment), (y) arise from disputes between or among Indemnitees (other than disputes involving claims against the Administrative Agent, the Collateral Agent or the Joint Lead Arrangers or any Issuing Bank, in each case, in their respective capacities) that do not involve an act or omission by Holdings, the Borrower or any Restricted Subsidiary or</w:t>
      </w:r>
    </w:p>
    <w:p>
      <w:pPr>
        <w:spacing w:after="0" w:line="2" w:lineRule="exact"/>
        <w:rPr>
          <w:sz w:val="20"/>
          <w:szCs w:val="20"/>
          <w:color w:val="auto"/>
        </w:rPr>
      </w:pPr>
    </w:p>
    <w:p>
      <w:pPr>
        <w:jc w:val="both"/>
        <w:ind w:left="8" w:hanging="8"/>
        <w:spacing w:after="0"/>
        <w:tabs>
          <w:tab w:leader="none" w:pos="277" w:val="left"/>
        </w:tabs>
        <w:numPr>
          <w:ilvl w:val="0"/>
          <w:numId w:val="333"/>
        </w:numPr>
        <w:rPr>
          <w:rFonts w:ascii="Arial" w:cs="Arial" w:eastAsia="Arial" w:hAnsi="Arial"/>
          <w:sz w:val="20"/>
          <w:szCs w:val="20"/>
          <w:color w:val="auto"/>
        </w:rPr>
      </w:pPr>
      <w:r>
        <w:rPr>
          <w:rFonts w:ascii="Arial" w:cs="Arial" w:eastAsia="Arial" w:hAnsi="Arial"/>
          <w:sz w:val="20"/>
          <w:szCs w:val="20"/>
          <w:color w:val="auto"/>
        </w:rPr>
        <w:t xml:space="preserve">resulted from any settlement effected without the Borrower’s prior written consent; </w:t>
      </w:r>
      <w:r>
        <w:rPr>
          <w:rFonts w:ascii="Arial" w:cs="Arial" w:eastAsia="Arial" w:hAnsi="Arial"/>
          <w:sz w:val="20"/>
          <w:szCs w:val="20"/>
          <w:u w:val="single" w:color="auto"/>
          <w:color w:val="auto"/>
        </w:rPr>
        <w:t>provided</w:t>
      </w:r>
      <w:r>
        <w:rPr>
          <w:rFonts w:ascii="Arial" w:cs="Arial" w:eastAsia="Arial" w:hAnsi="Arial"/>
          <w:sz w:val="20"/>
          <w:szCs w:val="20"/>
          <w:color w:val="auto"/>
        </w:rPr>
        <w:t>, that to the extent any amounts paid to an Indemnitee in respect of this Section 9.03, such Indemnitee, by its acceptance of the benefits hereof, agrees to refund and return any and all amounts paid by the Borrower to it if, pursuant to the operation of the foregoing clauses (w) through (z), such Indemnitee was not entitled to receipt of such amount.</w:t>
      </w:r>
    </w:p>
    <w:p>
      <w:pPr>
        <w:spacing w:after="0" w:line="210" w:lineRule="exact"/>
        <w:rPr>
          <w:rFonts w:ascii="Arial" w:cs="Arial" w:eastAsia="Arial" w:hAnsi="Arial"/>
          <w:sz w:val="20"/>
          <w:szCs w:val="20"/>
          <w:color w:val="auto"/>
        </w:rPr>
      </w:pPr>
    </w:p>
    <w:p>
      <w:pPr>
        <w:jc w:val="both"/>
        <w:ind w:left="8" w:firstLine="1467"/>
        <w:spacing w:after="0" w:line="271" w:lineRule="auto"/>
        <w:tabs>
          <w:tab w:leader="none" w:pos="2274"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xml:space="preserve">To the extent that the Borrower fails to promptly pay any amount required to be paid by it to the Administrative Agent, any Lender or any Issuing Bank under paragraph (a) or (b) of this Section 9.03, each Lender severally agrees to pay to the Administrative Agent, such Lender or such Issuing Bank, as the case may be, such Lender’s pro rata share (determined as of the time that the applicable unreimbursed expense or indemnity payment is sought) of any such actual and direct losses (other than lost profits), claims, damages, liabilities and related reasonable and documented out-of-pocket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such Lender or such Issuing Bank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Section 2.02(a) (which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the Lenders’ obligations under this paragraph (c)).</w:t>
      </w:r>
    </w:p>
    <w:p>
      <w:pPr>
        <w:spacing w:after="0" w:line="184" w:lineRule="exact"/>
        <w:rPr>
          <w:rFonts w:ascii="Arial" w:cs="Arial" w:eastAsia="Arial" w:hAnsi="Arial"/>
          <w:sz w:val="18"/>
          <w:szCs w:val="18"/>
          <w:color w:val="auto"/>
        </w:rPr>
      </w:pPr>
    </w:p>
    <w:p>
      <w:pPr>
        <w:jc w:val="both"/>
        <w:ind w:left="8" w:right="60" w:firstLine="1490"/>
        <w:spacing w:after="0" w:line="272" w:lineRule="auto"/>
        <w:tabs>
          <w:tab w:leader="none" w:pos="2294" w:val="left"/>
        </w:tabs>
        <w:numPr>
          <w:ilvl w:val="2"/>
          <w:numId w:val="333"/>
        </w:numPr>
        <w:rPr>
          <w:rFonts w:ascii="Arial" w:cs="Arial" w:eastAsia="Arial" w:hAnsi="Arial"/>
          <w:sz w:val="18"/>
          <w:szCs w:val="18"/>
          <w:color w:val="auto"/>
        </w:rPr>
      </w:pPr>
      <w:r>
        <w:rPr>
          <w:rFonts w:ascii="Arial" w:cs="Arial" w:eastAsia="Arial" w:hAnsi="Arial"/>
          <w:sz w:val="18"/>
          <w:szCs w:val="18"/>
          <w:color w:val="auto"/>
        </w:rPr>
        <w:t xml:space="preserve">To the extent permitted by applicable law, none of Holdings, the Borrower, any Agent, any Lender, any other party hereto or any Agent Party shall assert, and each hereby waives, any claim against any other such Person on any theory of liability for special, indirect, consequential or punitive damages (as opposed to direct or actual damages) (whether or not the claim therefor is based on contract, tort or duty imposed by any applicable legal requirement) arising out of,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in no event limit the Borrower’s indemnification obligations under clause (b) above.</w:t>
      </w:r>
    </w:p>
    <w:p>
      <w:pPr>
        <w:spacing w:after="0" w:line="186" w:lineRule="exact"/>
        <w:rPr>
          <w:rFonts w:ascii="Arial" w:cs="Arial" w:eastAsia="Arial" w:hAnsi="Arial"/>
          <w:sz w:val="18"/>
          <w:szCs w:val="18"/>
          <w:color w:val="auto"/>
        </w:rPr>
      </w:pPr>
    </w:p>
    <w:p>
      <w:pPr>
        <w:jc w:val="both"/>
        <w:ind w:left="8" w:firstLine="1490"/>
        <w:spacing w:after="0" w:line="255" w:lineRule="auto"/>
        <w:tabs>
          <w:tab w:leader="none" w:pos="2298" w:val="left"/>
        </w:tabs>
        <w:numPr>
          <w:ilvl w:val="2"/>
          <w:numId w:val="333"/>
        </w:numPr>
        <w:rPr>
          <w:rFonts w:ascii="Arial" w:cs="Arial" w:eastAsia="Arial" w:hAnsi="Arial"/>
          <w:sz w:val="19"/>
          <w:szCs w:val="19"/>
          <w:color w:val="auto"/>
        </w:rPr>
      </w:pPr>
      <w:r>
        <w:rPr>
          <w:rFonts w:ascii="Arial" w:cs="Arial" w:eastAsia="Arial" w:hAnsi="Arial"/>
          <w:sz w:val="19"/>
          <w:szCs w:val="19"/>
          <w:color w:val="auto"/>
        </w:rPr>
        <w:t xml:space="preserve">In case any proceeding is instituted involving any Indemnitee for which indemnification is to be sought hereunder by such Indemnitee, then such Indemnitee will promptly notify the Borrower of the commencement of any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 such Indemnitee in a timely manner, (ii) counsel provided by the Borrower reasonably determines its representation of such Indemnitee would 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w:t>
      </w:r>
    </w:p>
    <w:p>
      <w:pPr>
        <w:spacing w:after="0" w:line="184"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325" w:right="499" w:bottom="1440" w:gutter="0" w:footer="0" w:header="0"/>
        </w:sectPr>
      </w:pPr>
    </w:p>
    <w:bookmarkStart w:id="352" w:name="page353"/>
    <w:bookmarkEnd w:id="352"/>
    <w:p>
      <w:pPr>
        <w:jc w:val="both"/>
        <w:ind w:left="-20" w:firstLine="1490"/>
        <w:spacing w:after="0" w:line="274" w:lineRule="auto"/>
        <w:tabs>
          <w:tab w:leader="none" w:pos="226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extent permitted by applicable law, neither Holdings nor the Borrower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to the extent that such direct or actual damages are determined by a court of competent jurisdiction by final, non-appealable judgment to have resulted from the gross negligence, bad faith or willful misconduct of, or a material breach of the Loan Documents by, such Indemnitee or its Related Parties.</w:t>
      </w:r>
    </w:p>
    <w:p>
      <w:pPr>
        <w:spacing w:after="0" w:line="179" w:lineRule="exact"/>
        <w:rPr>
          <w:rFonts w:ascii="Arial" w:cs="Arial" w:eastAsia="Arial" w:hAnsi="Arial"/>
          <w:sz w:val="18"/>
          <w:szCs w:val="18"/>
          <w:color w:val="auto"/>
        </w:rPr>
      </w:pPr>
    </w:p>
    <w:p>
      <w:pPr>
        <w:jc w:val="both"/>
        <w:ind w:left="-20" w:firstLine="1490"/>
        <w:spacing w:after="0" w:line="243" w:lineRule="auto"/>
        <w:tabs>
          <w:tab w:leader="none" w:pos="2267" w:val="left"/>
        </w:tabs>
        <w:numPr>
          <w:ilvl w:val="0"/>
          <w:numId w:val="334"/>
        </w:numPr>
        <w:rPr>
          <w:rFonts w:ascii="Arial" w:cs="Arial" w:eastAsia="Arial" w:hAnsi="Arial"/>
          <w:sz w:val="20"/>
          <w:szCs w:val="20"/>
          <w:color w:val="auto"/>
        </w:rPr>
      </w:pPr>
      <w:r>
        <w:rPr>
          <w:rFonts w:ascii="Arial" w:cs="Arial" w:eastAsia="Arial" w:hAnsi="Arial"/>
          <w:sz w:val="20"/>
          <w:szCs w:val="20"/>
          <w:color w:val="auto"/>
        </w:rPr>
        <w:t xml:space="preserve">All amounts due under this Section 9.03 shall be payable not later than thirty (30) days after written demand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2" w:lineRule="exact"/>
        <w:rPr>
          <w:sz w:val="20"/>
          <w:szCs w:val="20"/>
          <w:color w:val="auto"/>
        </w:rPr>
      </w:pPr>
    </w:p>
    <w:p>
      <w:pPr>
        <w:ind w:left="4100"/>
        <w:spacing w:after="0"/>
        <w:tabs>
          <w:tab w:leader="none" w:pos="5660" w:val="left"/>
        </w:tabs>
        <w:rPr>
          <w:sz w:val="20"/>
          <w:szCs w:val="20"/>
          <w:color w:val="auto"/>
        </w:rPr>
      </w:pPr>
      <w:r>
        <w:rPr>
          <w:rFonts w:ascii="Arial" w:cs="Arial" w:eastAsia="Arial" w:hAnsi="Arial"/>
          <w:sz w:val="20"/>
          <w:szCs w:val="20"/>
          <w:color w:val="010000"/>
        </w:rPr>
        <w:t>SECTION 9.04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12" w:lineRule="exact"/>
        <w:rPr>
          <w:sz w:val="20"/>
          <w:szCs w:val="20"/>
          <w:color w:val="auto"/>
        </w:rPr>
      </w:pPr>
    </w:p>
    <w:p>
      <w:pPr>
        <w:jc w:val="both"/>
        <w:ind w:left="-20" w:firstLine="1490"/>
        <w:spacing w:after="0" w:line="269" w:lineRule="auto"/>
        <w:tabs>
          <w:tab w:leader="none" w:pos="2213"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(other than to a Successor Borrower pursuant to a transaction permitted by Section 6.03(a)(iv)(I)(B)) without the prior written consent of each Lender, each Issuing Bank and the acknowledgement of the Administrative Agent (and any attempted assignment or transfer by the Borrower without such consent (other than to a Successor Borrower pursuant to a transaction permitted by Section 6.03(a)(iv)(I)(B)) shall be null and void), (ii) no assignment shall be made to any Defaulting Lender or any of its Affiliates, or any Persons who, upon becoming a Lender hereunder, would constitute any of the foregoing Persons described in this clause (ii) and (iii)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9.04), the Indemnitees and, to the extent expressly contemplated hereby, the Related Parties of each of the Administrative Agent, the Issuing Banks and the Lenders) any legal or equitable right, remedy or claim under or by reason of this Agreement.</w:t>
      </w:r>
    </w:p>
    <w:p>
      <w:pPr>
        <w:spacing w:after="0" w:line="193" w:lineRule="exact"/>
        <w:rPr>
          <w:rFonts w:ascii="Arial" w:cs="Arial" w:eastAsia="Arial" w:hAnsi="Arial"/>
          <w:sz w:val="18"/>
          <w:szCs w:val="18"/>
          <w:color w:val="auto"/>
        </w:rPr>
      </w:pPr>
    </w:p>
    <w:p>
      <w:pPr>
        <w:jc w:val="both"/>
        <w:ind w:left="-20" w:right="20" w:firstLine="1490"/>
        <w:spacing w:after="0" w:line="270" w:lineRule="auto"/>
        <w:tabs>
          <w:tab w:leader="none" w:pos="221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 (A)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(x) by a Term Lender to any Lender, an Affiliate of any Lender or an Approved Fund, (y) if a Specified Event of Default has occurred and is continuing or (z) by a Revolving Lender to another Revolving Lender, an Affiliate of a Revolving Lender or an Approved Fund;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assignee contemplated by the immediately preceding proviso shall be entitled to receive any greater payment under Section 2.15 or Section 2.17 than the applicable assignor would have been entitled to receive with respect to the assignment made to such assignee, unless the assignment to such assignee is made with the Borrower’s prior written consent;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in the case of the Revolving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20" w:top="352" w:right="539" w:bottom="1440" w:gutter="0" w:footer="0" w:header="0"/>
        </w:sectPr>
      </w:pPr>
    </w:p>
    <w:bookmarkStart w:id="353" w:name="page354"/>
    <w:bookmarkEnd w:id="353"/>
    <w:p>
      <w:pPr>
        <w:jc w:val="both"/>
        <w:ind w:right="20"/>
        <w:spacing w:after="0" w:line="241" w:lineRule="auto"/>
        <w:rPr>
          <w:sz w:val="20"/>
          <w:szCs w:val="20"/>
          <w:color w:val="auto"/>
        </w:rPr>
      </w:pPr>
      <w:r>
        <w:rPr>
          <w:rFonts w:ascii="Arial" w:cs="Arial" w:eastAsia="Arial" w:hAnsi="Arial"/>
          <w:sz w:val="20"/>
          <w:szCs w:val="20"/>
          <w:color w:val="auto"/>
        </w:rPr>
        <w:t xml:space="preserve">Loans and Revolving Commitments, the Administrative Agent; provided that no consent of the Administrative Agent shall be required for an assignment of a Revolving Loan to any Lender, an Affiliate of any Lender or an Approved Fund or, subject to Section 9.04(f) and (g), to an Affiliated Lender, Holdings, the Borrower or any of its Subsidiaries and (C) solely in the case of Revolving Loans and Revolving Commitments, each Issuing Bank (not to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no consent of any Issuing Bank shall be required for an assignment of all or any portion of a Loan or Commitment to any Lender under the Revolving Facility or an Affiliate or an Approved Fund of a Lender with the Revolving Facility. Notwithstanding anything in this Section 9.04 to the contrary, if the Borrower has not given the Administrative Agent written notice of its objection to an assignment of Term Loans within ten (10) Business Days after written notice of such assignment, the Borrower shall be deemed to have consented to such assignment.</w:t>
      </w:r>
    </w:p>
    <w:p>
      <w:pPr>
        <w:spacing w:after="0" w:line="215" w:lineRule="exact"/>
        <w:rPr>
          <w:sz w:val="20"/>
          <w:szCs w:val="20"/>
          <w:color w:val="auto"/>
        </w:rPr>
      </w:pPr>
    </w:p>
    <w:p>
      <w:pPr>
        <w:jc w:val="both"/>
        <w:ind w:left="740" w:firstLine="1499"/>
        <w:spacing w:after="0" w:line="267" w:lineRule="auto"/>
        <w:tabs>
          <w:tab w:leader="none" w:pos="2971" w:val="left"/>
        </w:tabs>
        <w:numPr>
          <w:ilvl w:val="0"/>
          <w:numId w:val="336"/>
        </w:numPr>
        <w:rPr>
          <w:rFonts w:ascii="Arial" w:cs="Arial" w:eastAsia="Arial" w:hAnsi="Arial"/>
          <w:sz w:val="18"/>
          <w:szCs w:val="18"/>
          <w:color w:val="010000"/>
        </w:rPr>
      </w:pPr>
      <w:r>
        <w:rPr>
          <w:rFonts w:ascii="Arial" w:cs="Arial" w:eastAsia="Arial" w:hAnsi="Arial"/>
          <w:sz w:val="18"/>
          <w:szCs w:val="18"/>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$5,000,000 (and integral multiples thereof) or, in the case of a Term Loan, $1,000,000 (and integral multiples thereof), unless the Borrower and the Administrative Agent otherwise consent (in each case,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Borrower shall be required if a Specified Event of Default has occurred and is continuing, (B) 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with the Administrative Agent, manually execute and deliver to the Administrative Agent an Assignment and Assumption, and, in each case, together with a processing and recordation fee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processing recordation fee shall not be payable in connection with an assignment pursuant to clause (f) or (g) below and the Administrative Agent, in its sole discretion, may elect to waive or reduce such processing and recordation fee;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such Assignment and Assumption shall include a representation by the assignee that the assignee is not a Disqualified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assignments made pursuant to Section 2.19(b), 2.21(b) or Section 9.02(c) shall not require the signature of the assigning Lender to become effective, (D) the assignee, if it shall not be a Lender, shall deliver to the Administrative Agent any tax forms required by Section 2.17(f), (ii) all documentation and other information reasonably determined by the Administrative Agent to be required by regulatory authorities under applicable “know your customer” and anti-money laundering rules and regulations, including the USA PATRIOT Act and (iii)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an Issuing Bank may be made unless (1) the assignee shall be or become an Issuing Bank, as applicable, and assume a ratable portion of the rights and obligations of such assignor in its capacity as Issuing Bank, or (2) the assignor agrees, in its discretion, to retain all of its rights with respect to and obligations to make or issue Letters of Credit hereunder in which case the Applicable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354" w:name="page355"/>
    <w:bookmarkEnd w:id="354"/>
    <w:p>
      <w:pPr>
        <w:jc w:val="both"/>
        <w:ind w:right="200"/>
        <w:spacing w:after="0" w:line="250" w:lineRule="auto"/>
        <w:rPr>
          <w:sz w:val="20"/>
          <w:szCs w:val="20"/>
          <w:color w:val="auto"/>
        </w:rPr>
      </w:pPr>
      <w:r>
        <w:rPr>
          <w:rFonts w:ascii="Arial" w:cs="Arial" w:eastAsia="Arial" w:hAnsi="Arial"/>
          <w:sz w:val="20"/>
          <w:szCs w:val="20"/>
          <w:color w:val="auto"/>
        </w:rPr>
        <w:t>Fronting Exposure of such assignor may exceed such assignor’s Fronting Exposure Cap for purposes of Section 2.05(b) by an amount not to exceed the difference between the assignor’s Fronting Exposure Cap prior to such assignment and the assignor’s Fronting Exposure Cap following such assignment.</w:t>
      </w:r>
    </w:p>
    <w:p>
      <w:pPr>
        <w:spacing w:after="0" w:line="199" w:lineRule="exact"/>
        <w:rPr>
          <w:sz w:val="20"/>
          <w:szCs w:val="20"/>
          <w:color w:val="auto"/>
        </w:rPr>
      </w:pPr>
    </w:p>
    <w:p>
      <w:pPr>
        <w:jc w:val="both"/>
        <w:ind w:right="220" w:firstLine="1499"/>
        <w:spacing w:after="0" w:line="308" w:lineRule="auto"/>
        <w:tabs>
          <w:tab w:leader="none" w:pos="2231" w:val="left"/>
        </w:tabs>
        <w:numPr>
          <w:ilvl w:val="0"/>
          <w:numId w:val="337"/>
        </w:numPr>
        <w:rPr>
          <w:rFonts w:ascii="Arial" w:cs="Arial" w:eastAsia="Arial" w:hAnsi="Arial"/>
          <w:sz w:val="16"/>
          <w:szCs w:val="16"/>
          <w:color w:val="010000"/>
        </w:rPr>
      </w:pPr>
      <w:r>
        <w:rPr>
          <w:rFonts w:ascii="Arial" w:cs="Arial" w:eastAsia="Arial" w:hAnsi="Arial"/>
          <w:sz w:val="16"/>
          <w:szCs w:val="16"/>
          <w:color w:val="auto"/>
        </w:rPr>
        <w:t>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 to the extent otherwise permitted thereby or otherwise shall be void.</w:t>
      </w:r>
    </w:p>
    <w:p>
      <w:pPr>
        <w:spacing w:after="0" w:line="389" w:lineRule="exact"/>
        <w:rPr>
          <w:rFonts w:ascii="Arial" w:cs="Arial" w:eastAsia="Arial" w:hAnsi="Arial"/>
          <w:sz w:val="16"/>
          <w:szCs w:val="16"/>
          <w:color w:val="010000"/>
        </w:rPr>
      </w:pPr>
    </w:p>
    <w:p>
      <w:pPr>
        <w:jc w:val="both"/>
        <w:ind w:firstLine="1499"/>
        <w:spacing w:after="0" w:line="254" w:lineRule="auto"/>
        <w:tabs>
          <w:tab w:leader="none" w:pos="2246" w:val="left"/>
        </w:tabs>
        <w:numPr>
          <w:ilvl w:val="0"/>
          <w:numId w:val="337"/>
        </w:numPr>
        <w:rPr>
          <w:rFonts w:ascii="Arial" w:cs="Arial" w:eastAsia="Arial" w:hAnsi="Arial"/>
          <w:sz w:val="19"/>
          <w:szCs w:val="19"/>
          <w:color w:val="010000"/>
        </w:rPr>
      </w:pPr>
      <w:r>
        <w:rPr>
          <w:rFonts w:ascii="Arial" w:cs="Arial" w:eastAsia="Arial" w:hAnsi="Arial"/>
          <w:sz w:val="19"/>
          <w:szCs w:val="19"/>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Notwithstanding the foregoing, in no event shall the Administrative Agent be obligated to ascertain, monitor or inquire as to whether any Lender is an Affiliated Lender, nor shall the Administrative Agent be obligated to monitor the aggregate amount of the Loans or Incremental Loans held by Affiliated Lenders. The entries in the Register shall be conclusive absent manifest error, and Holdings, the Borrower,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the Issuing Banks and, with respect to its own Loans, any Lender, at any reasonable time and from time to time upon reasonable prior written notice.</w:t>
      </w:r>
    </w:p>
    <w:p>
      <w:pPr>
        <w:spacing w:after="0" w:line="203" w:lineRule="exact"/>
        <w:rPr>
          <w:rFonts w:ascii="Arial" w:cs="Arial" w:eastAsia="Arial" w:hAnsi="Arial"/>
          <w:sz w:val="19"/>
          <w:szCs w:val="19"/>
          <w:color w:val="010000"/>
        </w:rPr>
      </w:pPr>
    </w:p>
    <w:p>
      <w:pPr>
        <w:jc w:val="both"/>
        <w:ind w:right="180" w:firstLine="1499"/>
        <w:spacing w:after="0" w:line="274" w:lineRule="auto"/>
        <w:tabs>
          <w:tab w:leader="none" w:pos="2233" w:val="left"/>
        </w:tabs>
        <w:numPr>
          <w:ilvl w:val="0"/>
          <w:numId w:val="337"/>
        </w:numPr>
        <w:rPr>
          <w:rFonts w:ascii="Arial" w:cs="Arial" w:eastAsia="Arial" w:hAnsi="Arial"/>
          <w:sz w:val="18"/>
          <w:szCs w:val="18"/>
          <w:color w:val="010000"/>
        </w:rPr>
      </w:pPr>
      <w:r>
        <w:rPr>
          <w:rFonts w:ascii="Arial" w:cs="Arial" w:eastAsia="Arial" w:hAnsi="Arial"/>
          <w:sz w:val="18"/>
          <w:szCs w:val="18"/>
          <w:color w:val="auto"/>
        </w:rPr>
        <w:t>Upon its receipt of a duly completed Assignment and Assumption executed by an assigning Lender and an assignee, the assignee’s completed Administrative Questionnaire, any “know your customer documentation” reasonably requested by the Administrative Agent and any tax forms required by Section 2.17(f)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382"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66040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240" w:top="122" w:right="339" w:bottom="1440" w:gutter="0" w:footer="0" w:header="0"/>
        </w:sectPr>
      </w:pPr>
    </w:p>
    <w:bookmarkStart w:id="355" w:name="page356"/>
    <w:bookmarkEnd w:id="355"/>
    <w:p>
      <w:pPr>
        <w:jc w:val="both"/>
        <w:ind w:left="740" w:right="60" w:firstLine="1499"/>
        <w:spacing w:after="0" w:line="258" w:lineRule="auto"/>
        <w:tabs>
          <w:tab w:leader="none" w:pos="2971" w:val="left"/>
        </w:tabs>
        <w:numPr>
          <w:ilvl w:val="1"/>
          <w:numId w:val="338"/>
        </w:numPr>
        <w:rPr>
          <w:rFonts w:ascii="Arial" w:cs="Arial" w:eastAsia="Arial" w:hAnsi="Arial"/>
          <w:sz w:val="19"/>
          <w:szCs w:val="19"/>
          <w:color w:val="010000"/>
        </w:rPr>
      </w:pPr>
      <w:r>
        <w:rPr>
          <w:rFonts w:ascii="Arial" w:cs="Arial" w:eastAsia="Arial" w:hAnsi="Arial"/>
          <w:sz w:val="19"/>
          <w:szCs w:val="19"/>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an original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6" w:lineRule="exact"/>
        <w:rPr>
          <w:rFonts w:ascii="Arial" w:cs="Arial" w:eastAsia="Arial" w:hAnsi="Arial"/>
          <w:sz w:val="19"/>
          <w:szCs w:val="19"/>
          <w:color w:val="010000"/>
        </w:rPr>
      </w:pPr>
    </w:p>
    <w:p>
      <w:pPr>
        <w:jc w:val="both"/>
        <w:ind w:right="20" w:firstLine="1490"/>
        <w:spacing w:after="0" w:line="268" w:lineRule="auto"/>
        <w:tabs>
          <w:tab w:leader="none" w:pos="223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 Any Lender may, without the consent of the Borrower, the Administrative Agent or the Issuing Banks, sell participations to one or more banks or other Persons (other than to a Disqualified Lender (but only if the list of Disqualified Lenders is available to such Lender upon request) or other Person that is not an Eligible Assignee)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(A)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Section 9.02(b) that directly and adversely affects such Participant. Subject to paragraph (c)(iii) of this Section, the Borrower agrees that each Participant shall be entitled to the benefits of Sections 2.15, 2.16 and 2.17 (subject to the obligations and limitations thereof and Section 2.19, it being understood that any tax forms required by Section 2.17(f) shall be provided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Section 2.18(c) as though it were a Lender.</w:t>
      </w:r>
    </w:p>
    <w:p>
      <w:pPr>
        <w:spacing w:after="0" w:line="196" w:lineRule="exact"/>
        <w:rPr>
          <w:rFonts w:ascii="Arial" w:cs="Arial" w:eastAsia="Arial" w:hAnsi="Arial"/>
          <w:sz w:val="18"/>
          <w:szCs w:val="18"/>
          <w:color w:val="auto"/>
        </w:rPr>
      </w:pPr>
    </w:p>
    <w:p>
      <w:pPr>
        <w:jc w:val="both"/>
        <w:ind w:left="740" w:right="20" w:firstLine="1499"/>
        <w:spacing w:after="0" w:line="267" w:lineRule="auto"/>
        <w:tabs>
          <w:tab w:leader="none" w:pos="2973" w:val="left"/>
        </w:tabs>
        <w:numPr>
          <w:ilvl w:val="1"/>
          <w:numId w:val="339"/>
        </w:numPr>
        <w:rPr>
          <w:rFonts w:ascii="Arial" w:cs="Arial" w:eastAsia="Arial" w:hAnsi="Arial"/>
          <w:sz w:val="18"/>
          <w:szCs w:val="18"/>
          <w:color w:val="010000"/>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Loan Documents) except to the extent that the relevant parties, acting reasonably and in good faith, determine that such disclosure is necessary in connection with a Tax audit or other proceeding to establish that any Loan or other obligation under the Loan Documents is in registered form for</w:t>
      </w:r>
    </w:p>
    <w:p>
      <w:pPr>
        <w:spacing w:after="0" w:line="5" w:lineRule="exact"/>
        <w:rPr>
          <w:rFonts w:ascii="Arial" w:cs="Arial" w:eastAsia="Arial" w:hAnsi="Arial"/>
          <w:sz w:val="18"/>
          <w:szCs w:val="18"/>
          <w:color w:val="010000"/>
        </w:rPr>
      </w:pPr>
    </w:p>
    <w:p>
      <w:pPr>
        <w:ind w:left="740"/>
        <w:spacing w:after="0"/>
        <w:rPr>
          <w:rFonts w:ascii="Arial" w:cs="Arial" w:eastAsia="Arial" w:hAnsi="Arial"/>
          <w:sz w:val="18"/>
          <w:szCs w:val="18"/>
          <w:color w:val="010000"/>
        </w:rPr>
      </w:pPr>
      <w:r>
        <w:rPr>
          <w:rFonts w:ascii="Arial" w:cs="Arial" w:eastAsia="Arial" w:hAnsi="Arial"/>
          <w:sz w:val="20"/>
          <w:szCs w:val="20"/>
          <w:color w:val="auto"/>
        </w:rPr>
        <w:t>U.S. federal income tax purposes.</w:t>
      </w:r>
    </w:p>
    <w:p>
      <w:pPr>
        <w:spacing w:after="0" w:line="212" w:lineRule="exact"/>
        <w:rPr>
          <w:rFonts w:ascii="Arial" w:cs="Arial" w:eastAsia="Arial" w:hAnsi="Arial"/>
          <w:sz w:val="18"/>
          <w:szCs w:val="18"/>
          <w:color w:val="010000"/>
        </w:rPr>
      </w:pPr>
    </w:p>
    <w:p>
      <w:pPr>
        <w:jc w:val="both"/>
        <w:ind w:left="740" w:firstLine="1499"/>
        <w:spacing w:after="0" w:line="246" w:lineRule="auto"/>
        <w:tabs>
          <w:tab w:leader="none" w:pos="2974" w:val="left"/>
        </w:tabs>
        <w:numPr>
          <w:ilvl w:val="1"/>
          <w:numId w:val="339"/>
        </w:numPr>
        <w:rPr>
          <w:rFonts w:ascii="Arial" w:cs="Arial" w:eastAsia="Arial" w:hAnsi="Arial"/>
          <w:sz w:val="20"/>
          <w:szCs w:val="20"/>
          <w:color w:val="010000"/>
        </w:rPr>
      </w:pPr>
      <w:r>
        <w:rPr>
          <w:rFonts w:ascii="Arial" w:cs="Arial" w:eastAsia="Arial" w:hAnsi="Arial"/>
          <w:sz w:val="20"/>
          <w:szCs w:val="20"/>
          <w:color w:val="auto"/>
        </w:rPr>
        <w:t>A Participant (other than a Revolving Lender pursuant to Section 2.05(e))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356" w:name="page357"/>
    <w:bookmarkEnd w:id="356"/>
    <w:p>
      <w:pPr>
        <w:jc w:val="both"/>
        <w:ind w:right="40" w:firstLine="1490"/>
        <w:spacing w:after="0" w:line="278" w:lineRule="auto"/>
        <w:tabs>
          <w:tab w:leader="none" w:pos="223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9.04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77" w:lineRule="exact"/>
        <w:rPr>
          <w:rFonts w:ascii="Arial" w:cs="Arial" w:eastAsia="Arial" w:hAnsi="Arial"/>
          <w:sz w:val="18"/>
          <w:szCs w:val="18"/>
          <w:color w:val="auto"/>
        </w:rPr>
      </w:pPr>
    </w:p>
    <w:p>
      <w:pPr>
        <w:jc w:val="both"/>
        <w:ind w:right="60" w:firstLine="1490"/>
        <w:spacing w:after="0" w:line="270" w:lineRule="auto"/>
        <w:tabs>
          <w:tab w:leader="none" w:pos="223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and participations in Letters of Credit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5" w:lineRule="exact"/>
        <w:rPr>
          <w:rFonts w:ascii="Arial" w:cs="Arial" w:eastAsia="Arial" w:hAnsi="Arial"/>
          <w:sz w:val="18"/>
          <w:szCs w:val="18"/>
          <w:color w:val="auto"/>
        </w:rPr>
      </w:pPr>
    </w:p>
    <w:p>
      <w:pPr>
        <w:ind w:right="60" w:firstLine="1490"/>
        <w:spacing w:after="0" w:line="260" w:lineRule="auto"/>
        <w:tabs>
          <w:tab w:leader="none" w:pos="2232" w:val="left"/>
        </w:tabs>
        <w:numPr>
          <w:ilvl w:val="1"/>
          <w:numId w:val="340"/>
        </w:numPr>
        <w:rPr>
          <w:rFonts w:ascii="Arial" w:cs="Arial" w:eastAsia="Arial" w:hAnsi="Arial"/>
          <w:sz w:val="20"/>
          <w:szCs w:val="20"/>
          <w:color w:val="auto"/>
        </w:rPr>
      </w:pPr>
      <w:r>
        <w:rPr>
          <w:rFonts w:ascii="Arial" w:cs="Arial" w:eastAsia="Arial" w:hAnsi="Arial"/>
          <w:sz w:val="20"/>
          <w:szCs w:val="20"/>
          <w:color w:val="auto"/>
        </w:rPr>
        <w:t>Notwithstanding anything to the contrary herein, any Lender may, at any time, assign all or a portion of its rights and obligations under this Agreement to an Affiliated Lender subject to the following limitations:</w:t>
      </w:r>
    </w:p>
    <w:p>
      <w:pPr>
        <w:spacing w:after="0" w:line="189" w:lineRule="exact"/>
        <w:rPr>
          <w:rFonts w:ascii="Arial" w:cs="Arial" w:eastAsia="Arial" w:hAnsi="Arial"/>
          <w:sz w:val="20"/>
          <w:szCs w:val="20"/>
          <w:color w:val="auto"/>
        </w:rPr>
      </w:pPr>
    </w:p>
    <w:p>
      <w:pPr>
        <w:jc w:val="both"/>
        <w:ind w:left="740" w:right="20" w:firstLine="1499"/>
        <w:spacing w:after="0" w:line="278" w:lineRule="auto"/>
        <w:tabs>
          <w:tab w:leader="none" w:pos="2973" w:val="left"/>
        </w:tabs>
        <w:numPr>
          <w:ilvl w:val="2"/>
          <w:numId w:val="340"/>
        </w:numPr>
        <w:rPr>
          <w:rFonts w:ascii="Arial" w:cs="Arial" w:eastAsia="Arial" w:hAnsi="Arial"/>
          <w:sz w:val="18"/>
          <w:szCs w:val="18"/>
          <w:color w:val="010000"/>
        </w:rPr>
      </w:pPr>
      <w:r>
        <w:rPr>
          <w:rFonts w:ascii="Arial" w:cs="Arial" w:eastAsia="Arial" w:hAnsi="Arial"/>
          <w:sz w:val="18"/>
          <w:szCs w:val="18"/>
          <w:color w:val="auto"/>
        </w:rPr>
        <w:t>Affiliated Lenders (other than Affiliated Debt Funds) will not receive information provided solely to Lenders by the Administrative Agent or any Lender, will not be permitted to attend or participate in meetings attended solely by the Lenders and the Administrative Agent, other than the right to receives notices of Borrowings, notices of prepayments and other administrative notices in respect of its Loans or Commitments required to be delivered to Lenders pursuant to Article II and will not be entitled to receive advice of counsel to the Administrative Agent or other Lenders;</w:t>
      </w:r>
    </w:p>
    <w:p>
      <w:pPr>
        <w:spacing w:after="0" w:line="176" w:lineRule="exact"/>
        <w:rPr>
          <w:rFonts w:ascii="Arial" w:cs="Arial" w:eastAsia="Arial" w:hAnsi="Arial"/>
          <w:sz w:val="18"/>
          <w:szCs w:val="18"/>
          <w:color w:val="010000"/>
        </w:rPr>
      </w:pPr>
    </w:p>
    <w:p>
      <w:pPr>
        <w:jc w:val="both"/>
        <w:ind w:left="740" w:firstLine="1499"/>
        <w:spacing w:after="0" w:line="254" w:lineRule="auto"/>
        <w:tabs>
          <w:tab w:leader="none" w:pos="2974" w:val="left"/>
        </w:tabs>
        <w:numPr>
          <w:ilvl w:val="2"/>
          <w:numId w:val="341"/>
        </w:numPr>
        <w:rPr>
          <w:rFonts w:ascii="Arial" w:cs="Arial" w:eastAsia="Arial" w:hAnsi="Arial"/>
          <w:sz w:val="19"/>
          <w:szCs w:val="19"/>
          <w:color w:val="010000"/>
        </w:rPr>
      </w:pPr>
      <w:r>
        <w:rPr>
          <w:rFonts w:ascii="Arial" w:cs="Arial" w:eastAsia="Arial" w:hAnsi="Arial"/>
          <w:sz w:val="19"/>
          <w:szCs w:val="19"/>
          <w:color w:val="auto"/>
        </w:rPr>
        <w:t xml:space="preserve">for purposes of any amendment, waiver or modification of any Loan Document (including such modifications pursuant to Section 9.02), or, subject to Section 9.02(e), in any plan of reorganization pursuant to the U.S. Bankruptcy Code, that in either case does not require the consent of each Lender,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Bankruptcy Code is not deemed to have been so voted, then such vote will be (x) deemed not to be in good faith and (y) “designated” pursuant to Section 1126(e) of the Bankruptcy Code such that the vote is not counted in determining whether the applicable class has accepted or rejected such plan in accordance with Section 1126(c) of the Bankruptcy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Affiliated Debt Funds will not be subject to such voting limitations and will be entitled to vote as any other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Affiliated Debt Funds may not account for more than 49.9% of the “Required Lenders” or “Supermajority Lenders” in any Required Lender vote or Supermajority Lender vote;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1" w:right="499" w:bottom="1440" w:gutter="0" w:footer="0" w:header="0"/>
        </w:sectPr>
      </w:pPr>
    </w:p>
    <w:bookmarkStart w:id="357" w:name="page358"/>
    <w:bookmarkEnd w:id="357"/>
    <w:p>
      <w:pPr>
        <w:ind w:left="2988" w:hanging="741"/>
        <w:spacing w:after="0"/>
        <w:tabs>
          <w:tab w:leader="none" w:pos="2988" w:val="left"/>
        </w:tabs>
        <w:numPr>
          <w:ilvl w:val="0"/>
          <w:numId w:val="342"/>
        </w:numPr>
        <w:rPr>
          <w:rFonts w:ascii="Arial" w:cs="Arial" w:eastAsia="Arial" w:hAnsi="Arial"/>
          <w:sz w:val="19"/>
          <w:szCs w:val="19"/>
          <w:color w:val="010000"/>
        </w:rPr>
      </w:pPr>
      <w:r>
        <w:rPr>
          <w:rFonts w:ascii="Arial" w:cs="Arial" w:eastAsia="Arial" w:hAnsi="Arial"/>
          <w:sz w:val="19"/>
          <w:szCs w:val="19"/>
          <w:color w:val="auto"/>
        </w:rPr>
        <w:t>Affiliated Lenders may not purchase Revolving Loans, including pursuant to this Section 9.04;</w:t>
      </w:r>
    </w:p>
    <w:p>
      <w:pPr>
        <w:spacing w:after="0" w:line="241" w:lineRule="exact"/>
        <w:rPr>
          <w:rFonts w:ascii="Arial" w:cs="Arial" w:eastAsia="Arial" w:hAnsi="Arial"/>
          <w:sz w:val="19"/>
          <w:szCs w:val="19"/>
          <w:color w:val="010000"/>
        </w:rPr>
      </w:pPr>
    </w:p>
    <w:p>
      <w:pPr>
        <w:jc w:val="both"/>
        <w:ind w:left="748" w:right="40" w:firstLine="1499"/>
        <w:spacing w:after="0" w:line="244" w:lineRule="auto"/>
        <w:tabs>
          <w:tab w:leader="none" w:pos="2979" w:val="left"/>
        </w:tabs>
        <w:numPr>
          <w:ilvl w:val="0"/>
          <w:numId w:val="342"/>
        </w:numPr>
        <w:rPr>
          <w:rFonts w:ascii="Arial" w:cs="Arial" w:eastAsia="Arial" w:hAnsi="Arial"/>
          <w:sz w:val="20"/>
          <w:szCs w:val="20"/>
          <w:color w:val="010000"/>
        </w:rPr>
      </w:pPr>
      <w:r>
        <w:rPr>
          <w:rFonts w:ascii="Arial" w:cs="Arial" w:eastAsia="Arial" w:hAnsi="Arial"/>
          <w:sz w:val="20"/>
          <w:szCs w:val="20"/>
          <w:color w:val="auto"/>
        </w:rPr>
        <w:t>the aggregate principal amount of Initial Term Loans (including Incremental Term Loans or Other Term Loans that are pari passu with the Initial Term Loans) purchased by assignment pursuant to this Section 9.04 and held at any one time by Affiliated Lenders (other than Affiliated Debt Funds) may not exceed 25.0% of the aggregate principal amount of all such Term Loans outstanding at the time of such purchase, after giving effect to any substantially simultaneous cancellations thereof;</w:t>
      </w:r>
    </w:p>
    <w:p>
      <w:pPr>
        <w:spacing w:after="0" w:line="206" w:lineRule="exact"/>
        <w:rPr>
          <w:rFonts w:ascii="Arial" w:cs="Arial" w:eastAsia="Arial" w:hAnsi="Arial"/>
          <w:sz w:val="20"/>
          <w:szCs w:val="20"/>
          <w:color w:val="010000"/>
        </w:rPr>
      </w:pPr>
    </w:p>
    <w:p>
      <w:pPr>
        <w:jc w:val="both"/>
        <w:ind w:left="748" w:right="60" w:firstLine="1499"/>
        <w:spacing w:after="0" w:line="244" w:lineRule="auto"/>
        <w:tabs>
          <w:tab w:leader="none" w:pos="2979" w:val="left"/>
        </w:tabs>
        <w:numPr>
          <w:ilvl w:val="0"/>
          <w:numId w:val="342"/>
        </w:numPr>
        <w:rPr>
          <w:rFonts w:ascii="Arial" w:cs="Arial" w:eastAsia="Arial" w:hAnsi="Arial"/>
          <w:sz w:val="20"/>
          <w:szCs w:val="20"/>
          <w:color w:val="010000"/>
        </w:rPr>
      </w:pPr>
      <w:r>
        <w:rPr>
          <w:rFonts w:ascii="Arial" w:cs="Arial" w:eastAsia="Arial" w:hAnsi="Arial"/>
          <w:sz w:val="20"/>
          <w:szCs w:val="20"/>
          <w:color w:val="auto"/>
        </w:rPr>
        <w:t>Affiliated Lenders shall clearly identify themselves as an Affiliated Lender in the loan assignment documentation. In no event shall the Administrative Agent be obligated to ascertain, monitor or inquire as to whether any lender is an Affiliated Lender or Affiliated Debt Fund nor shall the Administrative Agent be obligated to monitor the number of Affiliated Lenders or Affiliated Debt Funds or the aggregate amount of Term Loans or Incremental Term Loans held by Affiliated Lenders or Affiliated Debt Funds;</w:t>
      </w:r>
    </w:p>
    <w:p>
      <w:pPr>
        <w:spacing w:after="0" w:line="206" w:lineRule="exact"/>
        <w:rPr>
          <w:rFonts w:ascii="Arial" w:cs="Arial" w:eastAsia="Arial" w:hAnsi="Arial"/>
          <w:sz w:val="20"/>
          <w:szCs w:val="20"/>
          <w:color w:val="010000"/>
        </w:rPr>
      </w:pPr>
    </w:p>
    <w:p>
      <w:pPr>
        <w:jc w:val="both"/>
        <w:ind w:left="748" w:right="60" w:firstLine="1499"/>
        <w:spacing w:after="0" w:line="257" w:lineRule="auto"/>
        <w:tabs>
          <w:tab w:leader="none" w:pos="2979" w:val="left"/>
        </w:tabs>
        <w:numPr>
          <w:ilvl w:val="0"/>
          <w:numId w:val="342"/>
        </w:numPr>
        <w:rPr>
          <w:rFonts w:ascii="Arial" w:cs="Arial" w:eastAsia="Arial" w:hAnsi="Arial"/>
          <w:sz w:val="19"/>
          <w:szCs w:val="19"/>
          <w:color w:val="010000"/>
        </w:rPr>
      </w:pPr>
      <w:r>
        <w:rPr>
          <w:rFonts w:ascii="Arial" w:cs="Arial" w:eastAsia="Arial" w:hAnsi="Arial"/>
          <w:sz w:val="19"/>
          <w:szCs w:val="19"/>
          <w:color w:val="auto"/>
        </w:rPr>
        <w:t xml:space="preserve">Affiliated Lenders (other than Affiliated Debt Funds) will not be permitted to vote on matters requiring a Required Lender vote, and the Term Loans held by Affiliated Lenders (other than Affiliated Debt Funds) shall be disregarded in determining (x) other Lenders’ commitment percentages or (y) matters submitted to Lenders for consideration that do not require the consent of each Lender or each affected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commitments of any Affiliated Lender shall not be increased, the Interest Payment Dates and the dates of any scheduled amortization payments (including at maturity) owed to any Affiliated Lender hereunder will not be extended and the amounts owning to any Affiliated Lender hereunder will not be reduced without the consent of such Affiliated Lender; and</w:t>
      </w:r>
    </w:p>
    <w:p>
      <w:pPr>
        <w:spacing w:after="0" w:line="196" w:lineRule="exact"/>
        <w:rPr>
          <w:rFonts w:ascii="Arial" w:cs="Arial" w:eastAsia="Arial" w:hAnsi="Arial"/>
          <w:sz w:val="19"/>
          <w:szCs w:val="19"/>
          <w:color w:val="010000"/>
        </w:rPr>
      </w:pPr>
    </w:p>
    <w:p>
      <w:pPr>
        <w:jc w:val="both"/>
        <w:ind w:left="748" w:firstLine="1499"/>
        <w:spacing w:after="0" w:line="254" w:lineRule="auto"/>
        <w:tabs>
          <w:tab w:leader="none" w:pos="2983" w:val="left"/>
        </w:tabs>
        <w:numPr>
          <w:ilvl w:val="0"/>
          <w:numId w:val="342"/>
        </w:numPr>
        <w:rPr>
          <w:rFonts w:ascii="Arial" w:cs="Arial" w:eastAsia="Arial" w:hAnsi="Arial"/>
          <w:sz w:val="19"/>
          <w:szCs w:val="19"/>
          <w:color w:val="010000"/>
        </w:rPr>
      </w:pPr>
      <w:r>
        <w:rPr>
          <w:rFonts w:ascii="Arial" w:cs="Arial" w:eastAsia="Arial" w:hAnsi="Arial"/>
          <w:sz w:val="19"/>
          <w:szCs w:val="19"/>
          <w:color w:val="auto"/>
        </w:rPr>
        <w:t>each Lender making such assignment to such Affiliated Lender (A) shall render customer “big boy” disclaimer letters and (B) acknowledges and agrees that in connection with such assignment, (1) such Affiliated Lender then may have, and later may come into possession of Material Non-Public Information (it being understood that no representation regarding the absence of any Material Non-Public Information shall be required), (2) such Lender has independently and, without reliance on such Affiliated Lender,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any Affiliated Lender or any of their respective Affiliates shall have any liability to such Lender, and such Lender hereby waives and releases, to the extent permitted by Requirements of Law, any claims such Lender may have against Holdings, its Subsidiaries, the Administrative Agent, such Affiliated Lender and their respective Affiliates, under applicable laws or otherwise, with respect to the nondisclosure of the Material Non-Public Information. Each Lender entering into such an assignment further acknowledges that the Material Non-Public Information may not be available to the Administrative Agent or the other Lenders.</w:t>
      </w:r>
    </w:p>
    <w:p>
      <w:pPr>
        <w:spacing w:after="0" w:line="203" w:lineRule="exact"/>
        <w:rPr>
          <w:sz w:val="20"/>
          <w:szCs w:val="20"/>
          <w:color w:val="auto"/>
        </w:rPr>
      </w:pPr>
    </w:p>
    <w:p>
      <w:pPr>
        <w:jc w:val="both"/>
        <w:ind w:left="8" w:firstLine="1467"/>
        <w:spacing w:after="0" w:line="271" w:lineRule="auto"/>
        <w:tabs>
          <w:tab w:leader="none" w:pos="2221"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Section 2.11(a)(ii) or other customary procedures acceptable to the Administrative Agent and/or</w:t>
      </w:r>
    </w:p>
    <w:p>
      <w:pPr>
        <w:spacing w:after="0" w:line="2" w:lineRule="exact"/>
        <w:rPr>
          <w:rFonts w:ascii="Arial" w:cs="Arial" w:eastAsia="Arial" w:hAnsi="Arial"/>
          <w:sz w:val="18"/>
          <w:szCs w:val="18"/>
          <w:color w:val="auto"/>
        </w:rPr>
      </w:pPr>
    </w:p>
    <w:p>
      <w:pPr>
        <w:jc w:val="both"/>
        <w:ind w:left="8" w:hanging="8"/>
        <w:spacing w:after="0" w:line="241" w:lineRule="auto"/>
        <w:tabs>
          <w:tab w:leader="none" w:pos="297" w:val="left"/>
        </w:tabs>
        <w:numPr>
          <w:ilvl w:val="0"/>
          <w:numId w:val="344"/>
        </w:numPr>
        <w:rPr>
          <w:rFonts w:ascii="Arial" w:cs="Arial" w:eastAsia="Arial" w:hAnsi="Arial"/>
          <w:sz w:val="20"/>
          <w:szCs w:val="20"/>
          <w:color w:val="auto"/>
        </w:rPr>
      </w:pPr>
      <w:r>
        <w:rPr>
          <w:rFonts w:ascii="Arial" w:cs="Arial" w:eastAsia="Arial" w:hAnsi="Arial"/>
          <w:sz w:val="20"/>
          <w:szCs w:val="20"/>
          <w:color w:val="auto"/>
        </w:rPr>
        <w:t xml:space="preserve">open market purchases on a non-pro rata basis,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Borrower shall not make any Borrowing of Revolving Loans to fund such assignment, (ii) any Term Loans that are so assigned will be automatically and irrevocably cancelled and the aggregate principal amount of the tranches and installments of the</w:t>
      </w:r>
    </w:p>
    <w:p>
      <w:pPr>
        <w:spacing w:after="0" w:line="195"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121" w:right="499" w:bottom="1440" w:gutter="0" w:footer="0" w:header="0"/>
        </w:sectPr>
      </w:pPr>
    </w:p>
    <w:bookmarkStart w:id="358" w:name="page359"/>
    <w:bookmarkEnd w:id="358"/>
    <w:p>
      <w:pPr>
        <w:jc w:val="both"/>
        <w:spacing w:after="0" w:line="270" w:lineRule="auto"/>
        <w:rPr>
          <w:sz w:val="20"/>
          <w:szCs w:val="20"/>
          <w:color w:val="auto"/>
        </w:rPr>
      </w:pPr>
      <w:r>
        <w:rPr>
          <w:rFonts w:ascii="Arial" w:cs="Arial" w:eastAsia="Arial" w:hAnsi="Arial"/>
          <w:sz w:val="18"/>
          <w:szCs w:val="18"/>
          <w:color w:val="auto"/>
        </w:rPr>
        <w:t>relevant Term Loans then outstanding shall be reduced by an amount equal to the principal amount of such Term Loans and (iii) each Lender making such assignment to Holdings or any of its Subsidiaries (A) shall render customer “big boy” disclaimer letters and (B) acknowledges and agrees that in connection with such assignment, (1) Holdings or its Subsidiaries then may have, and later may come into possession of Material Non-Public Information (it being understood that no representation regarding the absence of any Material Non-Public Information shall be required), (2) such Lender has independently and, without reliance on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Administrative Agent or the other Lenders.</w:t>
      </w:r>
    </w:p>
    <w:p>
      <w:pPr>
        <w:spacing w:after="0" w:line="187" w:lineRule="exact"/>
        <w:rPr>
          <w:sz w:val="20"/>
          <w:szCs w:val="20"/>
          <w:color w:val="auto"/>
        </w:rPr>
      </w:pPr>
    </w:p>
    <w:p>
      <w:pPr>
        <w:jc w:val="both"/>
        <w:ind w:right="40" w:firstLine="1490"/>
        <w:spacing w:after="0" w:line="267" w:lineRule="auto"/>
        <w:tabs>
          <w:tab w:leader="none" w:pos="2233"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Notwithstanding the foregoing, no assignment may be made or participation sold to a Disqualified Lender without the prior written consent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inquiry by any Lender to the Administrative Agent as to whether a specified potential assignee or prospective participant is on the list of Disqualified Lenders, the Administrative Agent shall be permitted to disclose to such Lender the list of Disqualified Lenders;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and so long as such Lender or Participant continues to hold or participate in such Loans. Notwithstanding anything contained in this Agreement or any other Loan Document to the contrary, if any Lender was a Disqualified Lender at the time of the assignment of any Loans or Commitments to such Lender, following written notice from the Borrower to such Lender and the Administrative Agent and otherwise in accordance with Section 2.19(b), as applicable: (1) such Lender shall promptly assign all Loans and Commitments held by such Lender to an Eligible Assignee (and the signature of such Disqualified Lender shall not be required on any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Section 9.04(b)(i) and (C) the assignment of such Loans and/or Commitments, as the case may be, shall be at par plus accrued and unpaid interest and fees; (2) such Lender shall not have any voting or approval rights under the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Administrative Agent or any Lender or will be permitted to attend or participate in meetings attended solely by the Lenders and the Administrative Agent, other than the right to receive notices or Borrowings, notices or prepayments and other administrative notices in respect of its Loans or Commitments required to be delivered to Lenders pursuant to Article II. The Administrative Agent shall not be responsible for or have any liability for, or have any duty to ascertain, inquire into, monitor or enforce, compliance with the provisions hereof relating to Disqualified Lenders or Net Short Lenders. Without limiting the generality of the foregoing, the Administrative Agent shall not (x) be obligated to ascertain, monitor or inquire as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1" w:right="499" w:bottom="1440" w:gutter="0" w:footer="0" w:header="0"/>
        </w:sectPr>
      </w:pPr>
    </w:p>
    <w:bookmarkStart w:id="359" w:name="page360"/>
    <w:bookmarkEnd w:id="359"/>
    <w:p>
      <w:pPr>
        <w:jc w:val="both"/>
        <w:spacing w:after="0" w:line="243" w:lineRule="auto"/>
        <w:rPr>
          <w:sz w:val="20"/>
          <w:szCs w:val="20"/>
          <w:color w:val="auto"/>
        </w:rPr>
      </w:pPr>
      <w:r>
        <w:rPr>
          <w:rFonts w:ascii="Arial" w:cs="Arial" w:eastAsia="Arial" w:hAnsi="Arial"/>
          <w:sz w:val="20"/>
          <w:szCs w:val="20"/>
          <w:color w:val="auto"/>
        </w:rPr>
        <w:t>whether any Lender or Participant or prospective Lender or Participant is a Disqualified Lender or a Net Short Lender or (y) have any liability with respect to or arising out of any assignment or participation of Loans or Commitments, or disclosure of confidential information, to any Disqualified Lender or Net Short Lender. To the extent that any assignment or participation is purported to be made to any Person that was (at the time of such participation) a Net Short Lender on a pro forma basis for such participation, such transaction shall be subject to the applicable provisions of Section 9.23 (and the Borrower shall be entitled to seek specific performance in any applicable court of law or equity to enforce this sentence).</w:t>
      </w:r>
    </w:p>
    <w:p>
      <w:pPr>
        <w:spacing w:after="0" w:line="182" w:lineRule="exact"/>
        <w:rPr>
          <w:sz w:val="20"/>
          <w:szCs w:val="20"/>
          <w:color w:val="auto"/>
        </w:rPr>
      </w:pPr>
    </w:p>
    <w:p>
      <w:pPr>
        <w:jc w:val="both"/>
        <w:ind w:right="20" w:firstLine="1490"/>
        <w:spacing w:after="0" w:line="243" w:lineRule="auto"/>
        <w:tabs>
          <w:tab w:leader="none" w:pos="2114" w:val="left"/>
        </w:tabs>
        <w:numPr>
          <w:ilvl w:val="0"/>
          <w:numId w:val="346"/>
        </w:numPr>
        <w:rPr>
          <w:rFonts w:ascii="Arial" w:cs="Arial" w:eastAsia="Arial" w:hAnsi="Arial"/>
          <w:sz w:val="20"/>
          <w:szCs w:val="20"/>
          <w:color w:val="auto"/>
        </w:rPr>
      </w:pPr>
      <w:r>
        <w:rPr>
          <w:rFonts w:ascii="Arial" w:cs="Arial" w:eastAsia="Arial" w:hAnsi="Arial"/>
          <w:sz w:val="20"/>
          <w:szCs w:val="20"/>
          <w:color w:val="auto"/>
        </w:rPr>
        <w:t>Notwithstanding the foregoing, any Affiliated Lender shall be permitted, at its option, to contribute any Term Loans so assigned to such Affiliated Lender pursuant to this Section 9.04 to Holdings or any of its Subsidiaries for purposes of cancellation, which contribution may be made (including, with the Borrower’s consent, to the Borrower, whether through Holdings or any Intermediate Parent or otherwise), in exchange for Qualified Equity Interests of Holdings, any Intermediate Parent or the Borrower or Indebtedness of the Borrower to the extent such Indebtedness is permitted to be incurred (including, if applicable, as a Permitted Refinancing) pursuant to Section 6.01 at such time.</w:t>
      </w:r>
    </w:p>
    <w:p>
      <w:pPr>
        <w:spacing w:after="0" w:line="207" w:lineRule="exact"/>
        <w:rPr>
          <w:sz w:val="20"/>
          <w:szCs w:val="20"/>
          <w:color w:val="auto"/>
        </w:rPr>
      </w:pPr>
    </w:p>
    <w:p>
      <w:pPr>
        <w:jc w:val="center"/>
        <w:ind w:right="320"/>
        <w:spacing w:after="0"/>
        <w:tabs>
          <w:tab w:leader="none" w:pos="340" w:val="left"/>
        </w:tabs>
        <w:rPr>
          <w:sz w:val="20"/>
          <w:szCs w:val="20"/>
          <w:color w:val="auto"/>
        </w:rPr>
      </w:pPr>
      <w:r>
        <w:rPr>
          <w:rFonts w:ascii="Arial" w:cs="Arial" w:eastAsia="Arial" w:hAnsi="Arial"/>
          <w:sz w:val="20"/>
          <w:szCs w:val="20"/>
          <w:color w:val="010000"/>
        </w:rPr>
        <w:t>SECTION 9.05</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28" w:lineRule="exact"/>
        <w:rPr>
          <w:sz w:val="20"/>
          <w:szCs w:val="20"/>
          <w:color w:val="auto"/>
        </w:rPr>
      </w:pPr>
    </w:p>
    <w:p>
      <w:pPr>
        <w:jc w:val="both"/>
        <w:ind w:firstLine="1499"/>
        <w:spacing w:after="0" w:line="253" w:lineRule="auto"/>
        <w:rPr>
          <w:sz w:val="20"/>
          <w:szCs w:val="20"/>
          <w:color w:val="auto"/>
        </w:rPr>
      </w:pPr>
      <w:r>
        <w:rPr>
          <w:rFonts w:ascii="Arial" w:cs="Arial" w:eastAsia="Arial" w:hAnsi="Arial"/>
          <w:sz w:val="19"/>
          <w:szCs w:val="19"/>
          <w:color w:val="auto"/>
        </w:rPr>
        <w:t>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2.15, 2.16, 2.17 and 9.03 and Article VIII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Section 2.05(e) or (f).</w:t>
      </w:r>
    </w:p>
    <w:p>
      <w:pPr>
        <w:spacing w:after="0" w:line="210"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9.06</w:t>
      </w:r>
      <w:r>
        <w:rPr>
          <w:sz w:val="20"/>
          <w:szCs w:val="20"/>
          <w:color w:val="auto"/>
        </w:rPr>
        <w:tab/>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w:t>
      </w:r>
    </w:p>
    <w:p>
      <w:pPr>
        <w:spacing w:after="0" w:line="228" w:lineRule="exact"/>
        <w:rPr>
          <w:sz w:val="20"/>
          <w:szCs w:val="20"/>
          <w:color w:val="auto"/>
        </w:rPr>
      </w:pPr>
    </w:p>
    <w:p>
      <w:pPr>
        <w:jc w:val="both"/>
        <w:ind w:firstLine="1498"/>
        <w:spacing w:after="0" w:line="242" w:lineRule="auto"/>
        <w:rPr>
          <w:sz w:val="20"/>
          <w:szCs w:val="20"/>
          <w:color w:val="auto"/>
        </w:rPr>
      </w:pPr>
      <w:r>
        <w:rPr>
          <w:rFonts w:ascii="Arial" w:cs="Arial" w:eastAsia="Arial" w:hAnsi="Arial"/>
          <w:sz w:val="20"/>
          <w:szCs w:val="20"/>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360" w:name="page361"/>
    <w:bookmarkEnd w:id="360"/>
    <w:p>
      <w:pPr>
        <w:jc w:val="both"/>
        <w:spacing w:after="0" w:line="255" w:lineRule="auto"/>
        <w:rPr>
          <w:sz w:val="20"/>
          <w:szCs w:val="20"/>
          <w:color w:val="auto"/>
        </w:rPr>
      </w:pPr>
      <w:r>
        <w:rPr>
          <w:rFonts w:ascii="Arial" w:cs="Arial" w:eastAsia="Arial" w:hAnsi="Arial"/>
          <w:sz w:val="19"/>
          <w:szCs w:val="19"/>
          <w:color w:val="auto"/>
        </w:rPr>
        <w:t>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an original executed counterpart of this Agreement. Notwithstanding anything to the contrary, the words “execution,” “signed,” “signature” and words of like import in this Agreement and any document, amendment, approval, consent, information, notice, certificate, request, statement, disclosure or authorization related to this Agreement shall be deemed to include electronic signatures or the keeping of records in electronic form, each of which shall be of the same legal effect, validity or enforceability as an original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1" w:lineRule="exact"/>
        <w:rPr>
          <w:sz w:val="20"/>
          <w:szCs w:val="20"/>
          <w:color w:val="auto"/>
        </w:rPr>
      </w:pPr>
    </w:p>
    <w:p>
      <w:pPr>
        <w:jc w:val="center"/>
        <w:ind w:right="40"/>
        <w:spacing w:after="0"/>
        <w:tabs>
          <w:tab w:leader="none" w:pos="340" w:val="left"/>
        </w:tabs>
        <w:rPr>
          <w:sz w:val="20"/>
          <w:szCs w:val="20"/>
          <w:color w:val="auto"/>
        </w:rPr>
      </w:pPr>
      <w:r>
        <w:rPr>
          <w:rFonts w:ascii="Arial" w:cs="Arial" w:eastAsia="Arial" w:hAnsi="Arial"/>
          <w:sz w:val="20"/>
          <w:szCs w:val="20"/>
          <w:color w:val="010000"/>
        </w:rPr>
        <w:t>SECTION 9.07</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8" w:lineRule="exact"/>
        <w:rPr>
          <w:sz w:val="20"/>
          <w:szCs w:val="20"/>
          <w:color w:val="auto"/>
        </w:rPr>
      </w:pPr>
    </w:p>
    <w:p>
      <w:pPr>
        <w:jc w:val="both"/>
        <w:ind w:firstLine="1498"/>
        <w:spacing w:after="0" w:line="242" w:lineRule="auto"/>
        <w:rPr>
          <w:sz w:val="20"/>
          <w:szCs w:val="20"/>
          <w:color w:val="auto"/>
        </w:rPr>
      </w:pPr>
      <w:r>
        <w:rPr>
          <w:rFonts w:ascii="Arial" w:cs="Arial" w:eastAsia="Arial" w:hAnsi="Arial"/>
          <w:sz w:val="20"/>
          <w:szCs w:val="20"/>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Administrative Agent or the Issuing Banks, as applicable, then such provisions shall be deemed to be in effect only to the extent not so limited.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1" w:right="539" w:bottom="1440" w:gutter="0" w:footer="0" w:header="0"/>
        </w:sectPr>
      </w:pPr>
    </w:p>
    <w:bookmarkStart w:id="361" w:name="page362"/>
    <w:bookmarkEnd w:id="361"/>
    <w:p>
      <w:pPr>
        <w:jc w:val="center"/>
        <w:ind w:right="-179"/>
        <w:spacing w:after="0"/>
        <w:tabs>
          <w:tab w:leader="none" w:pos="340" w:val="left"/>
        </w:tabs>
        <w:rPr>
          <w:sz w:val="20"/>
          <w:szCs w:val="20"/>
          <w:color w:val="auto"/>
        </w:rPr>
      </w:pPr>
      <w:r>
        <w:rPr>
          <w:rFonts w:ascii="Arial" w:cs="Arial" w:eastAsia="Arial" w:hAnsi="Arial"/>
          <w:sz w:val="20"/>
          <w:szCs w:val="20"/>
          <w:color w:val="010000"/>
        </w:rPr>
        <w:t>SECTION 9.08</w:t>
      </w:r>
      <w:r>
        <w:rPr>
          <w:sz w:val="20"/>
          <w:szCs w:val="20"/>
          <w:color w:val="auto"/>
        </w:rPr>
        <w:tab/>
      </w:r>
      <w:r>
        <w:rPr>
          <w:rFonts w:ascii="Arial" w:cs="Arial" w:eastAsia="Arial" w:hAnsi="Arial"/>
          <w:sz w:val="18"/>
          <w:szCs w:val="18"/>
          <w:u w:val="single" w:color="auto"/>
          <w:color w:val="auto"/>
        </w:rPr>
        <w:t>Right of Setoff</w:t>
      </w:r>
      <w:r>
        <w:rPr>
          <w:rFonts w:ascii="Arial" w:cs="Arial" w:eastAsia="Arial" w:hAnsi="Arial"/>
          <w:sz w:val="18"/>
          <w:szCs w:val="18"/>
          <w:color w:val="auto"/>
        </w:rPr>
        <w:t>.</w:t>
      </w:r>
    </w:p>
    <w:p>
      <w:pPr>
        <w:spacing w:after="0" w:line="230" w:lineRule="exact"/>
        <w:rPr>
          <w:sz w:val="20"/>
          <w:szCs w:val="20"/>
          <w:color w:val="auto"/>
        </w:rPr>
      </w:pPr>
    </w:p>
    <w:p>
      <w:pPr>
        <w:jc w:val="both"/>
        <w:ind w:right="20" w:firstLine="1498"/>
        <w:spacing w:after="0" w:line="268" w:lineRule="auto"/>
        <w:rPr>
          <w:sz w:val="20"/>
          <w:szCs w:val="20"/>
          <w:color w:val="auto"/>
        </w:rPr>
      </w:pPr>
      <w:r>
        <w:rPr>
          <w:rFonts w:ascii="Arial" w:cs="Arial" w:eastAsia="Arial" w:hAnsi="Arial"/>
          <w:sz w:val="18"/>
          <w:szCs w:val="18"/>
          <w:color w:val="auto"/>
        </w:rPr>
        <w:t xml:space="preserve">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but not withholding or payroll accounts, employee benefits accounts, de minimis accounts or other accounts used exclusively for taxes or fiduciary or trust purposes) at any time held and other obligations (in whatever currency) at any time owing by such Lender or such Issuing Bank to or for the credit or the account of the Borrower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of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Borrower and the Administrative Agent of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any delay in giving such notice shall not affect the validity of any such setoff and application under this Section. The rights of each Lender and each Issuing Bank under this Section 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w:t>
      </w:r>
    </w:p>
    <w:p>
      <w:pPr>
        <w:spacing w:after="0" w:line="393"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9.09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228" w:lineRule="exact"/>
        <w:rPr>
          <w:sz w:val="20"/>
          <w:szCs w:val="20"/>
          <w:color w:val="auto"/>
        </w:rPr>
      </w:pPr>
    </w:p>
    <w:p>
      <w:pPr>
        <w:ind w:left="2280" w:hanging="790"/>
        <w:spacing w:after="0"/>
        <w:tabs>
          <w:tab w:leader="none" w:pos="22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w:t>
      </w:r>
    </w:p>
    <w:p>
      <w:pPr>
        <w:spacing w:after="0" w:line="251" w:lineRule="exact"/>
        <w:rPr>
          <w:rFonts w:ascii="Arial" w:cs="Arial" w:eastAsia="Arial" w:hAnsi="Arial"/>
          <w:sz w:val="18"/>
          <w:szCs w:val="18"/>
          <w:color w:val="auto"/>
        </w:rPr>
      </w:pPr>
    </w:p>
    <w:p>
      <w:pPr>
        <w:jc w:val="both"/>
        <w:ind w:firstLine="1490"/>
        <w:spacing w:after="0" w:line="255" w:lineRule="auto"/>
        <w:tabs>
          <w:tab w:leader="none" w:pos="2288" w:val="left"/>
        </w:tabs>
        <w:numPr>
          <w:ilvl w:val="0"/>
          <w:numId w:val="347"/>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except to the extent required by any Security Document to be brought in another jurisdiction pursuant to the terms of such Security Document.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Holdings or the Borrower or their respective properties in the courts of any jurisdiction.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1" w:right="519" w:bottom="1440" w:gutter="0" w:footer="0" w:header="0"/>
        </w:sectPr>
      </w:pPr>
    </w:p>
    <w:bookmarkStart w:id="362" w:name="page363"/>
    <w:bookmarkEnd w:id="362"/>
    <w:p>
      <w:pPr>
        <w:jc w:val="both"/>
        <w:ind w:firstLine="1490"/>
        <w:spacing w:after="0" w:line="244" w:lineRule="auto"/>
        <w:tabs>
          <w:tab w:leader="none" w:pos="2286" w:val="left"/>
        </w:tabs>
        <w:numPr>
          <w:ilvl w:val="0"/>
          <w:numId w:val="348"/>
        </w:numPr>
        <w:rPr>
          <w:rFonts w:ascii="Arial" w:cs="Arial" w:eastAsia="Arial" w:hAnsi="Arial"/>
          <w:sz w:val="20"/>
          <w:szCs w:val="20"/>
          <w:color w:val="auto"/>
        </w:rPr>
      </w:pPr>
      <w:r>
        <w:rPr>
          <w:rFonts w:ascii="Arial" w:cs="Arial" w:eastAsia="Arial" w:hAnsi="Arial"/>
          <w:sz w:val="20"/>
          <w:szCs w:val="20"/>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207" w:lineRule="exact"/>
        <w:rPr>
          <w:rFonts w:ascii="Arial" w:cs="Arial" w:eastAsia="Arial" w:hAnsi="Arial"/>
          <w:sz w:val="20"/>
          <w:szCs w:val="20"/>
          <w:color w:val="auto"/>
        </w:rPr>
      </w:pPr>
    </w:p>
    <w:p>
      <w:pPr>
        <w:jc w:val="both"/>
        <w:ind w:right="20" w:firstLine="1490"/>
        <w:spacing w:after="0" w:line="269" w:lineRule="auto"/>
        <w:tabs>
          <w:tab w:leader="none" w:pos="2286" w:val="left"/>
        </w:tabs>
        <w:numPr>
          <w:ilvl w:val="0"/>
          <w:numId w:val="348"/>
        </w:numPr>
        <w:rPr>
          <w:rFonts w:ascii="Arial" w:cs="Arial" w:eastAsia="Arial" w:hAnsi="Arial"/>
          <w:sz w:val="19"/>
          <w:szCs w:val="19"/>
          <w:color w:val="auto"/>
        </w:rPr>
      </w:pPr>
      <w:r>
        <w:rPr>
          <w:rFonts w:ascii="Arial" w:cs="Arial" w:eastAsia="Arial" w:hAnsi="Arial"/>
          <w:sz w:val="19"/>
          <w:szCs w:val="19"/>
          <w:color w:val="auto"/>
        </w:rPr>
        <w:t>EACH PARTY TO THIS AGREEMENT IRREVOCABLY CONSENTS TO SERVICE OF PROCESS IN THE MANNER PROVIDED FOR NOTICES IN SECTION 9.01. NOTHING IN ANY LOAN DOCUMENT WILL AFFECT THE RIGHT OF ANY PARTY TO THIS AGREEMENT TO SERVE PROCESS IN ANY OTHER MANNER PERMITTED BY LAW.</w:t>
      </w:r>
    </w:p>
    <w:p>
      <w:pPr>
        <w:spacing w:after="0" w:line="182" w:lineRule="exact"/>
        <w:rPr>
          <w:sz w:val="20"/>
          <w:szCs w:val="20"/>
          <w:color w:val="auto"/>
        </w:rPr>
      </w:pPr>
    </w:p>
    <w:p>
      <w:pPr>
        <w:jc w:val="center"/>
        <w:ind w:left="1200"/>
        <w:spacing w:after="0"/>
        <w:tabs>
          <w:tab w:leader="none" w:pos="340" w:val="left"/>
        </w:tabs>
        <w:rPr>
          <w:sz w:val="20"/>
          <w:szCs w:val="20"/>
          <w:color w:val="auto"/>
        </w:rPr>
      </w:pPr>
      <w:r>
        <w:rPr>
          <w:rFonts w:ascii="Arial" w:cs="Arial" w:eastAsia="Arial" w:hAnsi="Arial"/>
          <w:sz w:val="20"/>
          <w:szCs w:val="20"/>
          <w:color w:val="010000"/>
        </w:rPr>
        <w:t>SECTION 9.10</w:t>
      </w:r>
      <w:r>
        <w:rPr>
          <w:sz w:val="20"/>
          <w:szCs w:val="20"/>
          <w:color w:val="auto"/>
        </w:rPr>
        <w:tab/>
      </w:r>
      <w:r>
        <w:rPr>
          <w:rFonts w:ascii="Arial" w:cs="Arial" w:eastAsia="Arial" w:hAnsi="Arial"/>
          <w:sz w:val="19"/>
          <w:szCs w:val="19"/>
          <w:u w:val="single" w:color="auto"/>
          <w:color w:val="auto"/>
        </w:rPr>
        <w:t>WAIVER OF JURY TRIAL</w:t>
      </w:r>
      <w:r>
        <w:rPr>
          <w:rFonts w:ascii="Arial" w:cs="Arial" w:eastAsia="Arial" w:hAnsi="Arial"/>
          <w:sz w:val="19"/>
          <w:szCs w:val="19"/>
          <w:color w:val="auto"/>
        </w:rPr>
        <w:t>.</w:t>
      </w:r>
    </w:p>
    <w:p>
      <w:pPr>
        <w:spacing w:after="0" w:line="228" w:lineRule="exact"/>
        <w:rPr>
          <w:sz w:val="20"/>
          <w:szCs w:val="20"/>
          <w:color w:val="auto"/>
        </w:rPr>
      </w:pPr>
    </w:p>
    <w:p>
      <w:pPr>
        <w:jc w:val="both"/>
        <w:ind w:firstLine="1498"/>
        <w:spacing w:after="0" w:line="241" w:lineRule="auto"/>
        <w:rPr>
          <w:sz w:val="20"/>
          <w:szCs w:val="20"/>
          <w:color w:val="auto"/>
        </w:rPr>
      </w:pPr>
      <w:r>
        <w:rPr>
          <w:rFonts w:ascii="Arial" w:cs="Arial" w:eastAsia="Arial" w:hAnsi="Arial"/>
          <w:sz w:val="20"/>
          <w:szCs w:val="20"/>
          <w:color w:val="auto"/>
        </w:rPr>
        <w:t>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187" w:lineRule="exact"/>
        <w:rPr>
          <w:sz w:val="20"/>
          <w:szCs w:val="20"/>
          <w:color w:val="auto"/>
        </w:rPr>
      </w:pPr>
    </w:p>
    <w:p>
      <w:pPr>
        <w:jc w:val="center"/>
        <w:ind w:right="240"/>
        <w:spacing w:after="0"/>
        <w:tabs>
          <w:tab w:leader="none" w:pos="340" w:val="left"/>
        </w:tabs>
        <w:rPr>
          <w:sz w:val="20"/>
          <w:szCs w:val="20"/>
          <w:color w:val="auto"/>
        </w:rPr>
      </w:pPr>
      <w:r>
        <w:rPr>
          <w:rFonts w:ascii="Arial" w:cs="Arial" w:eastAsia="Arial" w:hAnsi="Arial"/>
          <w:sz w:val="20"/>
          <w:szCs w:val="20"/>
          <w:color w:val="010000"/>
        </w:rPr>
        <w:t>SECTION 9.11</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w:t>
      </w:r>
    </w:p>
    <w:p>
      <w:pPr>
        <w:spacing w:after="0" w:line="228" w:lineRule="exact"/>
        <w:rPr>
          <w:sz w:val="20"/>
          <w:szCs w:val="20"/>
          <w:color w:val="auto"/>
        </w:rPr>
      </w:pPr>
    </w:p>
    <w:p>
      <w:pPr>
        <w:jc w:val="both"/>
        <w:ind w:firstLine="1499"/>
        <w:spacing w:after="0" w:line="286" w:lineRule="auto"/>
        <w:rPr>
          <w:sz w:val="20"/>
          <w:szCs w:val="20"/>
          <w:color w:val="auto"/>
        </w:rPr>
      </w:pPr>
      <w:r>
        <w:rPr>
          <w:rFonts w:ascii="Arial" w:cs="Arial" w:eastAsia="Arial" w:hAnsi="Arial"/>
          <w:sz w:val="19"/>
          <w:szCs w:val="19"/>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167" w:lineRule="exact"/>
        <w:rPr>
          <w:sz w:val="20"/>
          <w:szCs w:val="20"/>
          <w:color w:val="auto"/>
        </w:rPr>
      </w:pPr>
    </w:p>
    <w:p>
      <w:pPr>
        <w:jc w:val="center"/>
        <w:ind w:right="-199"/>
        <w:spacing w:after="0"/>
        <w:tabs>
          <w:tab w:leader="none" w:pos="340" w:val="left"/>
        </w:tabs>
        <w:rPr>
          <w:sz w:val="20"/>
          <w:szCs w:val="20"/>
          <w:color w:val="auto"/>
        </w:rPr>
      </w:pPr>
      <w:r>
        <w:rPr>
          <w:rFonts w:ascii="Arial" w:cs="Arial" w:eastAsia="Arial" w:hAnsi="Arial"/>
          <w:sz w:val="20"/>
          <w:szCs w:val="20"/>
          <w:color w:val="010000"/>
        </w:rPr>
        <w:t>SECTION 9.12</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8" w:lineRule="exact"/>
        <w:rPr>
          <w:sz w:val="20"/>
          <w:szCs w:val="20"/>
          <w:color w:val="auto"/>
        </w:rPr>
      </w:pPr>
    </w:p>
    <w:p>
      <w:pPr>
        <w:jc w:val="both"/>
        <w:ind w:firstLine="1490"/>
        <w:spacing w:after="0" w:line="254" w:lineRule="auto"/>
        <w:tabs>
          <w:tab w:leader="none" w:pos="2233"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Each of the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on a “need-to-know” basis (it being understood that the Persons to whom such disclosure is made will be informed of the confidential nature of such Information and will be instructed to keep such Information confidential and any failure of such Persons acting on behalf of the Administrative Agent, any Issuing Bank or the relevant Lender to comply with this Section 9.12 shall constitute a breach of this Section 9.12 by the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solely to the extent permitted by law and other than in connection with routine audits and reviews by regulatory and self-regulatory authorities, each Lender and the Administrative Agent shall promptly notify the Borrower of any such requested or required disclosure in connection with any legal or regulatory proceeding and (y) in the case of clause (ii) only, each Lender and the Administrative Agent shall use commercially reasonable efforts to ensure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2" w:right="539" w:bottom="1440" w:gutter="0" w:footer="0" w:header="0"/>
        </w:sectPr>
      </w:pPr>
    </w:p>
    <w:bookmarkStart w:id="363" w:name="page364"/>
    <w:bookmarkEnd w:id="363"/>
    <w:p>
      <w:pPr>
        <w:jc w:val="both"/>
        <w:spacing w:after="0" w:line="268" w:lineRule="auto"/>
        <w:rPr>
          <w:sz w:val="20"/>
          <w:szCs w:val="20"/>
          <w:color w:val="auto"/>
        </w:rPr>
      </w:pPr>
      <w:r>
        <w:rPr>
          <w:rFonts w:ascii="Arial" w:cs="Arial" w:eastAsia="Arial" w:hAnsi="Arial"/>
          <w:sz w:val="18"/>
          <w:szCs w:val="18"/>
          <w:color w:val="auto"/>
        </w:rPr>
        <w:t xml:space="preserve">such Information is kept confidential in connection with the exercise of such remedies, (iii) to any other party to this Agreement, (iv) subject to an agreement containing confidentiality undertakings substantially similar to those of this Section 9.12 (but other than to a Disqualified Lender or Net Short Lender),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Loan Documents or (C) any pledgee referred to in Section 9.04(d), (v) if required by any rating agency;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such rating agency shall have agreed in writing to maintain the confidentiality of such Information, (vi) to service providers providing administrative and ministerial services solely in connection with the syndication and administration of the Loan Documents and the facilities (e.g., identities of parties, maturity dates, interest rates, etc.) on a confidential basis, (vii) with the written consent of the Borrower, (viii) for purposes of establishing a “due diligence” defense or to the extent necessary to enforce our rights and remedies hereunder or (ix) to the extent such Information (x) becomes publicly available other than as a result of a breach of this Section 9.12 or (y) becomes available to the Administrative Agent, any Issuing Bank, any Lender or any of their respective Affiliates on a nonconfidential basis from a source other than Holdings, the Borrower or any Subsidiary, which source is not known (after due inquiry) by the recipient of such information to be subject to a confidentiality obligation. For the purposes hereof, “</w:t>
      </w:r>
      <w:r>
        <w:rPr>
          <w:rFonts w:ascii="Arial" w:cs="Arial" w:eastAsia="Arial" w:hAnsi="Arial"/>
          <w:sz w:val="18"/>
          <w:szCs w:val="18"/>
          <w:u w:val="single" w:color="auto"/>
          <w:color w:val="auto"/>
        </w:rPr>
        <w:t>Information</w:t>
      </w:r>
      <w:r>
        <w:rPr>
          <w:rFonts w:ascii="Arial" w:cs="Arial" w:eastAsia="Arial" w:hAnsi="Arial"/>
          <w:sz w:val="18"/>
          <w:szCs w:val="18"/>
          <w:color w:val="auto"/>
        </w:rPr>
        <w:t>” means all information received from or on behalf of Holdings or the Borrower relating to Holdings, the Borrower, any other Subsidiary or their business other than any such information that is available to the Administrative Agent, any Issuing Bank or any Lender on a nonconfidential basis prior to disclosure by Holdings, the Borrower or any Subsidiary. Notwithstanding the foregoing, no such information shall be disclosed to a Disqualified Lender or Net Short Lender that constitutes a Disqualified Lender or Net Short Lender, as applicable, at the time of such disclosure without the Borrower’s prior written consent.</w:t>
      </w:r>
    </w:p>
    <w:p>
      <w:pPr>
        <w:spacing w:after="0" w:line="167" w:lineRule="exact"/>
        <w:rPr>
          <w:sz w:val="20"/>
          <w:szCs w:val="20"/>
          <w:color w:val="auto"/>
        </w:rPr>
      </w:pPr>
    </w:p>
    <w:p>
      <w:pPr>
        <w:ind w:left="2280" w:hanging="790"/>
        <w:spacing w:after="0"/>
        <w:tabs>
          <w:tab w:leader="none" w:pos="228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EACH LENDER ACKNOWLEDGES THAT INFORMATION (AS DEFINED IN SECTION 9.12(a))</w:t>
      </w:r>
    </w:p>
    <w:p>
      <w:pPr>
        <w:spacing w:after="0" w:line="15" w:lineRule="exact"/>
        <w:rPr>
          <w:rFonts w:ascii="Arial" w:cs="Arial" w:eastAsia="Arial" w:hAnsi="Arial"/>
          <w:sz w:val="20"/>
          <w:szCs w:val="20"/>
          <w:color w:val="auto"/>
        </w:rPr>
      </w:pPr>
    </w:p>
    <w:p>
      <w:pPr>
        <w:jc w:val="both"/>
        <w:ind w:right="20"/>
        <w:spacing w:after="0"/>
        <w:rPr>
          <w:rFonts w:ascii="Arial" w:cs="Arial" w:eastAsia="Arial" w:hAnsi="Arial"/>
          <w:sz w:val="20"/>
          <w:szCs w:val="20"/>
          <w:color w:val="auto"/>
        </w:rPr>
      </w:pPr>
      <w:r>
        <w:rPr>
          <w:rFonts w:ascii="Arial" w:cs="Arial" w:eastAsia="Arial" w:hAnsi="Arial"/>
          <w:sz w:val="20"/>
          <w:szCs w:val="20"/>
          <w:color w:val="auto"/>
        </w:rPr>
        <w:t>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08" w:lineRule="exact"/>
        <w:rPr>
          <w:rFonts w:ascii="Arial" w:cs="Arial" w:eastAsia="Arial" w:hAnsi="Arial"/>
          <w:sz w:val="20"/>
          <w:szCs w:val="20"/>
          <w:color w:val="auto"/>
        </w:rPr>
      </w:pPr>
    </w:p>
    <w:p>
      <w:pPr>
        <w:jc w:val="both"/>
        <w:ind w:right="20" w:firstLine="1490"/>
        <w:spacing w:after="0" w:line="256" w:lineRule="auto"/>
        <w:tabs>
          <w:tab w:leader="none" w:pos="2286" w:val="left"/>
        </w:tabs>
        <w:numPr>
          <w:ilvl w:val="0"/>
          <w:numId w:val="350"/>
        </w:numPr>
        <w:rPr>
          <w:rFonts w:ascii="Arial" w:cs="Arial" w:eastAsia="Arial" w:hAnsi="Arial"/>
          <w:sz w:val="19"/>
          <w:szCs w:val="19"/>
          <w:color w:val="auto"/>
        </w:rPr>
      </w:pPr>
      <w:r>
        <w:rPr>
          <w:rFonts w:ascii="Arial" w:cs="Arial" w:eastAsia="Arial" w:hAnsi="Arial"/>
          <w:sz w:val="19"/>
          <w:szCs w:val="19"/>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21" w:right="539" w:bottom="1440" w:gutter="0" w:footer="0" w:header="0"/>
        </w:sectPr>
      </w:pPr>
    </w:p>
    <w:bookmarkStart w:id="364" w:name="page365"/>
    <w:bookmarkEnd w:id="364"/>
    <w:p>
      <w:pPr>
        <w:ind w:left="4120"/>
        <w:spacing w:after="0"/>
        <w:tabs>
          <w:tab w:leader="none" w:pos="5680" w:val="left"/>
        </w:tabs>
        <w:rPr>
          <w:sz w:val="20"/>
          <w:szCs w:val="20"/>
          <w:color w:val="auto"/>
        </w:rPr>
      </w:pPr>
      <w:r>
        <w:rPr>
          <w:rFonts w:ascii="Arial" w:cs="Arial" w:eastAsia="Arial" w:hAnsi="Arial"/>
          <w:sz w:val="20"/>
          <w:szCs w:val="20"/>
          <w:color w:val="010000"/>
        </w:rPr>
        <w:t>SECTION 9.13</w:t>
      </w:r>
      <w:r>
        <w:rPr>
          <w:sz w:val="20"/>
          <w:szCs w:val="20"/>
          <w:color w:val="auto"/>
        </w:rPr>
        <w:tab/>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9" w:lineRule="exact"/>
        <w:rPr>
          <w:sz w:val="20"/>
          <w:szCs w:val="20"/>
          <w:color w:val="auto"/>
        </w:rPr>
      </w:pPr>
    </w:p>
    <w:p>
      <w:pPr>
        <w:jc w:val="both"/>
        <w:ind w:right="40" w:firstLine="1499"/>
        <w:spacing w:after="0" w:line="244" w:lineRule="auto"/>
        <w:rPr>
          <w:sz w:val="20"/>
          <w:szCs w:val="20"/>
          <w:color w:val="auto"/>
        </w:rPr>
      </w:pPr>
      <w:r>
        <w:rPr>
          <w:rFonts w:ascii="Arial" w:cs="Arial" w:eastAsia="Arial" w:hAnsi="Arial"/>
          <w:sz w:val="20"/>
          <w:szCs w:val="20"/>
          <w:color w:val="auto"/>
        </w:rPr>
        <w:t>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w:t>
      </w:r>
    </w:p>
    <w:p>
      <w:pPr>
        <w:spacing w:after="0" w:line="206"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9.14</w:t>
      </w:r>
      <w:r>
        <w:rPr>
          <w:sz w:val="20"/>
          <w:szCs w:val="20"/>
          <w:color w:val="auto"/>
        </w:rPr>
        <w:tab/>
      </w:r>
      <w:r>
        <w:rPr>
          <w:rFonts w:ascii="Arial" w:cs="Arial" w:eastAsia="Arial" w:hAnsi="Arial"/>
          <w:sz w:val="16"/>
          <w:szCs w:val="16"/>
          <w:u w:val="single" w:color="auto"/>
          <w:color w:val="auto"/>
        </w:rPr>
        <w:t>Release of Liens and Guarantees</w:t>
      </w:r>
      <w:r>
        <w:rPr>
          <w:rFonts w:ascii="Arial" w:cs="Arial" w:eastAsia="Arial" w:hAnsi="Arial"/>
          <w:sz w:val="16"/>
          <w:szCs w:val="16"/>
          <w:color w:val="auto"/>
        </w:rPr>
        <w:t>.</w:t>
      </w:r>
    </w:p>
    <w:p>
      <w:pPr>
        <w:spacing w:after="0" w:line="228" w:lineRule="exact"/>
        <w:rPr>
          <w:sz w:val="20"/>
          <w:szCs w:val="20"/>
          <w:color w:val="auto"/>
        </w:rPr>
      </w:pPr>
    </w:p>
    <w:p>
      <w:pPr>
        <w:jc w:val="both"/>
        <w:ind w:firstLine="1467"/>
        <w:spacing w:after="0" w:line="267" w:lineRule="auto"/>
        <w:tabs>
          <w:tab w:leader="none" w:pos="226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or designation permitted by this Agreement as a result of which such Subsidiary Loan Party ceases to be a Restricted Subsidiary (including pursuant to a permitted merger or amalgamation with a Subsidiary that is not a Loan Party or a designation as an Unrestricted Subsidiary) or becomes an Excluded Subsidiary or (2) upon the request of the Borrower, in connection with a transaction permitted under this Agreement, as a result of which such Subsidiary Loan Party ceases to be a Wholly 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so required by this Agreement, the Required Lenders shall have consented to such transaction and the terms of such consent shall not have provided otherwise. Upon any sale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or upon any Collateral becoming an Excluded Asset,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To the extent the release of any Lien in any Collateral is approved, authorized or ratified in writing by the Required Lenders (or such other percentage of the Lenders whose consent may be required in accordance with Section 9.02), the security interest in such Collateral shall be automatically released. To the extent the release of any security interest in any Collateral is required to effect any sale or other disposition of Collateral in connection with any exercise of remedies of the Collateral Agent pursuant to the Loan Documents, the security interest in such Collateral shall be automatically released. In addition, liens shall be released and guarantees released in accordance with the terms of the Security Documents and the Guarantee. Upon the Termination Date all obligations under the Loan Documents and all security interests created by the Security Documents shall be automatically released. Any such release shall not in any manner discharge, affect, or impair the Secured Obligations (other than those being discharged or released) or any Liens (other than those being discharged or released) of the Loan Parties in respect of all interests retained by the Loan Parties, including the proceeds of any sale, all of which shall continue to constitute part of the Collateral except to the extent comprised of Excluded Assets or otherwise released in accordance with the provisions of the Loan Documents. In connection with any termination or release pursuant to this Section 9.14, without the further consent of any Lender, Issuing Bank or other Secured Party, the Administrative Agent or the Collateral Agent, as the case may be, shall execute and deliver to any Loan Party, at such Loan Party’s expense, all documents that such Loan Party shall reasonably request to evidence or to file or register in any office such termination or release so long as the Borrower or applicable Loan Party shall have provided the Administrative Agent or the Collateral Agent, as the case may be, such certifications or documents as the Administrative Agent or the Collateral Agent, as the case may be, shall reasonably request in order to demonstrate compliance with this Agreement. The Administrative Agent or the Collateral Agent, as the case may be, will, at the Borrower’s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1" w:right="499" w:bottom="1440" w:gutter="0" w:footer="0" w:header="0"/>
        </w:sectPr>
      </w:pPr>
    </w:p>
    <w:bookmarkStart w:id="365" w:name="page366"/>
    <w:bookmarkEnd w:id="365"/>
    <w:p>
      <w:pPr>
        <w:jc w:val="both"/>
        <w:ind w:left="8" w:right="20"/>
        <w:spacing w:after="0" w:line="276" w:lineRule="auto"/>
        <w:rPr>
          <w:sz w:val="20"/>
          <w:szCs w:val="20"/>
          <w:color w:val="auto"/>
        </w:rPr>
      </w:pPr>
      <w:r>
        <w:rPr>
          <w:rFonts w:ascii="Arial" w:cs="Arial" w:eastAsia="Arial" w:hAnsi="Arial"/>
          <w:sz w:val="18"/>
          <w:szCs w:val="18"/>
          <w:color w:val="auto"/>
        </w:rPr>
        <w:t>expense, execute and deliver to the applicable Loan Party or to file or register in any office such documents as such Loan Party may reasonably request to subordinate its Lien on any property granted to or held by the Administrative Agent or the Collateral Agent, as the case may be, under any Loan Document to the holder of any Lien on such property that is permitted by Section 6.02(ii) (but only pursuant to clauses (d), (j) and (k) of the definition of “Permitted Encumbrances”), (iv), (v), (xi), (xii), (xv), (xxii), (xxiii), (xxviii) (to the extent the relevant Lien is of the type to which the Lien of the Collateral Agent is otherwise required or permitted to be subordinated pursuant to any other exceptions to Section 6.02 that are expressly included in this sentence), (xxix) or (xxx)).</w:t>
      </w:r>
    </w:p>
    <w:p>
      <w:pPr>
        <w:spacing w:after="0" w:line="178" w:lineRule="exact"/>
        <w:rPr>
          <w:sz w:val="20"/>
          <w:szCs w:val="20"/>
          <w:color w:val="auto"/>
        </w:rPr>
      </w:pPr>
    </w:p>
    <w:p>
      <w:pPr>
        <w:jc w:val="both"/>
        <w:ind w:left="8" w:firstLine="1467"/>
        <w:spacing w:after="0" w:line="267" w:lineRule="auto"/>
        <w:tabs>
          <w:tab w:leader="none" w:pos="2274"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Each of the Lenders and the Issuing Banks irrevocably authorizes the Administrative Agent or the Collateral Agent, as the case may be, to (i) provide any release or evidence of release, termination or subordination contemplated by this Section 9.14 (and upon request by the Administrative Agent or the Collateral Agent, as the case may be, at any time, the Required Lenders will confirm in writing the Administrative Agent’s authority or the Collateral Agent’s authority, as the case may be, to release or subordinate its interest in particular types or items of property, or to release any Loan Party from its obligations under any Loan Document, in each case in accordance with the terms of the Loan Documents and this Section 9.14), (ii) enter into subordination or intercreditor agreements with respect to Indebtedness to the extent the Administrative Agent or Collateral Agent is otherwise contemplated herein as being a party to such intercreditor or subordination agreement, in each case to the extent such agreements, at the time they are first entered into, are substantially consistent with the terms set forth on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w:t>
      </w:r>
      <w:r>
        <w:rPr>
          <w:rFonts w:ascii="Arial" w:cs="Arial" w:eastAsia="Arial" w:hAnsi="Arial"/>
          <w:sz w:val="18"/>
          <w:szCs w:val="18"/>
          <w:u w:val="single" w:color="auto"/>
          <w:color w:val="auto"/>
        </w:rPr>
        <w:t>E-2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E-3</w:t>
      </w:r>
      <w:r>
        <w:rPr>
          <w:rFonts w:ascii="Arial" w:cs="Arial" w:eastAsia="Arial" w:hAnsi="Arial"/>
          <w:sz w:val="18"/>
          <w:szCs w:val="18"/>
          <w:color w:val="auto"/>
        </w:rPr>
        <w:t xml:space="preserve"> annexed hereto, together with (A) any immaterial changes and</w:t>
      </w:r>
    </w:p>
    <w:p>
      <w:pPr>
        <w:spacing w:after="0" w:line="6" w:lineRule="exact"/>
        <w:rPr>
          <w:rFonts w:ascii="Arial" w:cs="Arial" w:eastAsia="Arial" w:hAnsi="Arial"/>
          <w:sz w:val="18"/>
          <w:szCs w:val="18"/>
          <w:color w:val="auto"/>
        </w:rPr>
      </w:pPr>
    </w:p>
    <w:p>
      <w:pPr>
        <w:jc w:val="both"/>
        <w:ind w:left="8" w:hanging="8"/>
        <w:spacing w:after="0" w:line="269" w:lineRule="auto"/>
        <w:tabs>
          <w:tab w:leader="none" w:pos="32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material changes thereto in light of prevailing market conditions, which material changes shall be posted to the Lenders not less than five Business Days before execution thereof and, if the Required Lenders shall not have objected to such changes within five Business Days after posting, then the Required Lenders shall be deemed to have agreed that the Administrative Agent’s and/or Collateral Agent’s entry into such intercreditor agreement (with such changes) is reasonable and to have consented to such intercreditor agreement (with such changes) and to the Administrative Agent’s and/or Collateral Agent’s execution thereof, in each case in form and substance reasonably satisfactory to the Administrative Agent and/or Collateral Agent (it being understood that junior Liens are not required to be pari passu with other junior Liens, and that Indebtedness secured by junior Liens may be secured by Liens that are pari passu with, or junior in priority to, other Liens that are junior to the Liens securing the Loan Document Obligations); and (iii) enter into and sign for and on behalf of the Lenders as Secured Parties the Security Documents for the benefit of the Lenders and the other Secured Parties.</w:t>
      </w:r>
    </w:p>
    <w:p>
      <w:pPr>
        <w:spacing w:after="0" w:line="188" w:lineRule="exact"/>
        <w:rPr>
          <w:sz w:val="20"/>
          <w:szCs w:val="20"/>
          <w:color w:val="auto"/>
        </w:rPr>
      </w:pPr>
    </w:p>
    <w:p>
      <w:pPr>
        <w:ind w:left="4128"/>
        <w:spacing w:after="0"/>
        <w:tabs>
          <w:tab w:leader="none" w:pos="5688" w:val="left"/>
          <w:tab w:leader="none" w:pos="6088" w:val="left"/>
          <w:tab w:leader="none" w:pos="7268" w:val="left"/>
        </w:tabs>
        <w:rPr>
          <w:sz w:val="20"/>
          <w:szCs w:val="20"/>
          <w:color w:val="auto"/>
        </w:rPr>
      </w:pPr>
      <w:r>
        <w:rPr>
          <w:rFonts w:ascii="Arial" w:cs="Arial" w:eastAsia="Arial" w:hAnsi="Arial"/>
          <w:sz w:val="20"/>
          <w:szCs w:val="20"/>
          <w:color w:val="010000"/>
        </w:rPr>
        <w:t>SECTION 9.15</w:t>
      </w:r>
      <w:r>
        <w:rPr>
          <w:sz w:val="20"/>
          <w:szCs w:val="20"/>
          <w:color w:val="auto"/>
        </w:rPr>
        <w:tab/>
      </w:r>
      <w:r>
        <w:rPr>
          <w:rFonts w:ascii="Arial" w:cs="Arial" w:eastAsia="Arial" w:hAnsi="Arial"/>
          <w:sz w:val="20"/>
          <w:szCs w:val="20"/>
          <w:u w:val="single" w:color="auto"/>
          <w:color w:val="auto"/>
        </w:rPr>
        <w:t>No</w:t>
        <w:tab/>
        <w:t>Advisory or</w:t>
      </w:r>
      <w:r>
        <w:rPr>
          <w:sz w:val="20"/>
          <w:szCs w:val="20"/>
          <w:color w:val="auto"/>
        </w:rPr>
        <w:tab/>
      </w:r>
      <w:r>
        <w:rPr>
          <w:rFonts w:ascii="Arial" w:cs="Arial" w:eastAsia="Arial" w:hAnsi="Arial"/>
          <w:sz w:val="18"/>
          <w:szCs w:val="18"/>
          <w:u w:val="single" w:color="auto"/>
          <w:color w:val="auto"/>
        </w:rPr>
        <w:t>Fiduciary</w:t>
      </w:r>
    </w:p>
    <w:p>
      <w:pPr>
        <w:spacing w:after="0" w:line="15" w:lineRule="exact"/>
        <w:rPr>
          <w:sz w:val="20"/>
          <w:szCs w:val="20"/>
          <w:color w:val="auto"/>
        </w:rPr>
      </w:pPr>
    </w:p>
    <w:p>
      <w:pPr>
        <w:ind w:left="2628"/>
        <w:spacing w:after="0"/>
        <w:rPr>
          <w:sz w:val="20"/>
          <w:szCs w:val="20"/>
          <w:color w:val="auto"/>
        </w:rPr>
      </w:pPr>
      <w:r>
        <w:rPr>
          <w:rFonts w:ascii="Arial" w:cs="Arial" w:eastAsia="Arial" w:hAnsi="Arial"/>
          <w:sz w:val="20"/>
          <w:szCs w:val="20"/>
          <w:u w:val="single" w:color="auto"/>
          <w:color w:val="auto"/>
        </w:rPr>
        <w:t>Responsibility</w:t>
      </w:r>
      <w:r>
        <w:rPr>
          <w:rFonts w:ascii="Arial" w:cs="Arial" w:eastAsia="Arial" w:hAnsi="Arial"/>
          <w:sz w:val="20"/>
          <w:szCs w:val="20"/>
          <w:color w:val="auto"/>
        </w:rPr>
        <w:t>.</w:t>
      </w:r>
    </w:p>
    <w:p>
      <w:pPr>
        <w:spacing w:after="0" w:line="212" w:lineRule="exact"/>
        <w:rPr>
          <w:sz w:val="20"/>
          <w:szCs w:val="20"/>
          <w:color w:val="auto"/>
        </w:rPr>
      </w:pPr>
    </w:p>
    <w:p>
      <w:pPr>
        <w:ind w:left="8" w:right="20" w:firstLine="1499"/>
        <w:spacing w:after="0" w:line="275" w:lineRule="auto"/>
        <w:rPr>
          <w:sz w:val="20"/>
          <w:szCs w:val="20"/>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each of the Borrower and Holdings acknowledges and agrees that</w:t>
      </w:r>
    </w:p>
    <w:p>
      <w:pPr>
        <w:jc w:val="both"/>
        <w:ind w:left="8" w:right="20" w:hanging="5"/>
        <w:spacing w:after="0" w:line="269" w:lineRule="auto"/>
        <w:tabs>
          <w:tab w:leader="none" w:pos="259"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 the arranging and other services regarding this Agreement provided by the Administrative Agent, the Joint Lead Arrangers, the Issuing Banks and the Lenders are arm’s-length commercial transactions between the Borrower, Holdings and their respective Affiliates, on the one hand, and the Administrative Agent, the Joint Lead Arrangers, the Issuing Banks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Loan Documents; (ii) (A) each of the Administrative Agent, the Joint Lead Arrangers,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(B) none of the Administrative Agent, the Joint Lead Arrangers, the Issuing</w:t>
      </w:r>
    </w:p>
    <w:p>
      <w:pPr>
        <w:spacing w:after="0" w:line="175"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122" w:right="499" w:bottom="1440" w:gutter="0" w:footer="0" w:header="0"/>
        </w:sectPr>
      </w:pPr>
    </w:p>
    <w:bookmarkStart w:id="366" w:name="page367"/>
    <w:bookmarkEnd w:id="366"/>
    <w:p>
      <w:pPr>
        <w:jc w:val="both"/>
        <w:ind w:left="5"/>
        <w:spacing w:after="0" w:line="272" w:lineRule="auto"/>
        <w:rPr>
          <w:sz w:val="20"/>
          <w:szCs w:val="20"/>
          <w:color w:val="auto"/>
        </w:rPr>
      </w:pPr>
      <w:r>
        <w:rPr>
          <w:rFonts w:ascii="Arial" w:cs="Arial" w:eastAsia="Arial" w:hAnsi="Arial"/>
          <w:sz w:val="18"/>
          <w:szCs w:val="18"/>
          <w:color w:val="auto"/>
        </w:rPr>
        <w:t>Banks and the Lenders has any obligation to the Borrower, Holdings or any of their respective Affiliates with respect to the transactions contemplated hereby except those obligations expressly set forth herein and in the other Loan Documents and (C) each of the Borrower and Holdings agrees that it will not claim that the Administrative Agent, the Joint Lead Arrangers, the Issuing Banks or the Lenders (or their respective affiliates) has rendered advisory services in connection with the services provided pursuant to the Loan Documents, or owe a fiduciary or similar duty to the Borrower, Holdings or any of their respective affiliates with respect to the transactions contemplated hereby; and (iii) the Administrative Agent, the Joint Lead Arrangers, the Issuing Banks and the Lenders and their respective Affiliates may be engaged in a broad range of transactions that involve interests that differ from those of the Borrower, Holdings and their respective Affiliates, and none of the Administrative Agent, the Joint Lead Arrangers, the Issuing Banks and the Lenders has any obligation to disclose any of such interests to the Borrower, Holdings or any of their respective Affiliates.</w:t>
      </w:r>
    </w:p>
    <w:p>
      <w:pPr>
        <w:spacing w:after="0" w:line="182" w:lineRule="exact"/>
        <w:rPr>
          <w:sz w:val="20"/>
          <w:szCs w:val="20"/>
          <w:color w:val="auto"/>
        </w:rPr>
      </w:pPr>
    </w:p>
    <w:p>
      <w:pPr>
        <w:ind w:left="4125"/>
        <w:spacing w:after="0"/>
        <w:tabs>
          <w:tab w:leader="none" w:pos="5684" w:val="left"/>
        </w:tabs>
        <w:rPr>
          <w:sz w:val="20"/>
          <w:szCs w:val="20"/>
          <w:color w:val="auto"/>
        </w:rPr>
      </w:pPr>
      <w:r>
        <w:rPr>
          <w:rFonts w:ascii="Arial" w:cs="Arial" w:eastAsia="Arial" w:hAnsi="Arial"/>
          <w:sz w:val="20"/>
          <w:szCs w:val="20"/>
          <w:color w:val="010000"/>
        </w:rPr>
        <w:t>SECTION 9.16</w:t>
      </w:r>
      <w:r>
        <w:rPr>
          <w:sz w:val="20"/>
          <w:szCs w:val="20"/>
          <w:color w:val="auto"/>
        </w:rPr>
        <w:tab/>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w:t>
      </w:r>
    </w:p>
    <w:p>
      <w:pPr>
        <w:spacing w:after="0" w:line="228" w:lineRule="exact"/>
        <w:rPr>
          <w:sz w:val="20"/>
          <w:szCs w:val="20"/>
          <w:color w:val="auto"/>
        </w:rPr>
      </w:pPr>
    </w:p>
    <w:p>
      <w:pPr>
        <w:jc w:val="both"/>
        <w:ind w:left="5" w:firstLine="1499"/>
        <w:spacing w:after="0" w:line="302" w:lineRule="auto"/>
        <w:rPr>
          <w:sz w:val="20"/>
          <w:szCs w:val="20"/>
          <w:color w:val="auto"/>
        </w:rPr>
      </w:pPr>
      <w:r>
        <w:rPr>
          <w:rFonts w:ascii="Arial" w:cs="Arial" w:eastAsia="Arial" w:hAnsi="Arial"/>
          <w:sz w:val="16"/>
          <w:szCs w:val="16"/>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w:t>
      </w:r>
    </w:p>
    <w:p>
      <w:pPr>
        <w:spacing w:after="0" w:line="2" w:lineRule="exact"/>
        <w:rPr>
          <w:sz w:val="20"/>
          <w:szCs w:val="20"/>
          <w:color w:val="auto"/>
        </w:rPr>
      </w:pPr>
    </w:p>
    <w:p>
      <w:pPr>
        <w:ind w:left="5" w:hanging="5"/>
        <w:spacing w:after="0" w:line="243" w:lineRule="auto"/>
        <w:tabs>
          <w:tab w:leader="none" w:pos="302" w:val="left"/>
        </w:tabs>
        <w:numPr>
          <w:ilvl w:val="0"/>
          <w:numId w:val="355"/>
        </w:numPr>
        <w:rPr>
          <w:rFonts w:ascii="Arial" w:cs="Arial" w:eastAsia="Arial" w:hAnsi="Arial"/>
          <w:sz w:val="20"/>
          <w:szCs w:val="20"/>
          <w:color w:val="auto"/>
        </w:rPr>
      </w:pPr>
      <w:r>
        <w:rPr>
          <w:rFonts w:ascii="Arial" w:cs="Arial" w:eastAsia="Arial" w:hAnsi="Arial"/>
          <w:sz w:val="20"/>
          <w:szCs w:val="20"/>
          <w:color w:val="auto"/>
        </w:rPr>
        <w:t>exclude voluntary prepayments and the effects thereof, and (c) amortize, prorate, allocate and spread in equal or unequal parts the total amount of interest throughout the contemplated term of the obligations hereunder.</w:t>
      </w:r>
    </w:p>
    <w:p>
      <w:pPr>
        <w:spacing w:after="0" w:line="179" w:lineRule="exact"/>
        <w:rPr>
          <w:sz w:val="20"/>
          <w:szCs w:val="20"/>
          <w:color w:val="auto"/>
        </w:rPr>
      </w:pPr>
    </w:p>
    <w:p>
      <w:pPr>
        <w:ind w:left="4125"/>
        <w:spacing w:after="0"/>
        <w:tabs>
          <w:tab w:leader="none" w:pos="5684" w:val="left"/>
        </w:tabs>
        <w:rPr>
          <w:sz w:val="20"/>
          <w:szCs w:val="20"/>
          <w:color w:val="auto"/>
        </w:rPr>
      </w:pPr>
      <w:r>
        <w:rPr>
          <w:rFonts w:ascii="Arial" w:cs="Arial" w:eastAsia="Arial" w:hAnsi="Arial"/>
          <w:sz w:val="20"/>
          <w:szCs w:val="20"/>
          <w:color w:val="010000"/>
        </w:rPr>
        <w:t>SECTION 9.17</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28" w:lineRule="exact"/>
        <w:rPr>
          <w:sz w:val="20"/>
          <w:szCs w:val="20"/>
          <w:color w:val="auto"/>
        </w:rPr>
      </w:pPr>
    </w:p>
    <w:p>
      <w:pPr>
        <w:jc w:val="both"/>
        <w:ind w:left="5" w:right="20" w:firstLine="1499"/>
        <w:spacing w:after="0" w:line="269" w:lineRule="auto"/>
        <w:rPr>
          <w:sz w:val="20"/>
          <w:szCs w:val="20"/>
          <w:color w:val="auto"/>
        </w:rPr>
      </w:pPr>
      <w:r>
        <w:rPr>
          <w:rFonts w:ascii="Arial" w:cs="Arial" w:eastAsia="Arial" w:hAnsi="Arial"/>
          <w:sz w:val="18"/>
          <w:szCs w:val="18"/>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or any other Loan Party in respect of any such sum due from it to the Secured Parties hereunder or under the other Loan Documents shall, notwithstanding any judgment in a currency (the “</w:t>
      </w:r>
      <w:r>
        <w:rPr>
          <w:rFonts w:ascii="Arial" w:cs="Arial" w:eastAsia="Arial" w:hAnsi="Arial"/>
          <w:sz w:val="18"/>
          <w:szCs w:val="18"/>
          <w:u w:val="single" w:color="auto"/>
          <w:color w:val="auto"/>
        </w:rPr>
        <w:t>Judgment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Requirements of Law).</w:t>
      </w:r>
    </w:p>
    <w:p>
      <w:pPr>
        <w:spacing w:after="0" w:line="393"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66040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5"/>
          </w:cols>
          <w:pgMar w:left="495" w:top="122" w:right="519" w:bottom="1440" w:gutter="0" w:footer="0" w:header="0"/>
        </w:sectPr>
      </w:pPr>
    </w:p>
    <w:bookmarkStart w:id="367" w:name="page368"/>
    <w:bookmarkEnd w:id="367"/>
    <w:p>
      <w:pPr>
        <w:ind w:left="4120"/>
        <w:spacing w:after="0"/>
        <w:tabs>
          <w:tab w:leader="none" w:pos="5680" w:val="left"/>
        </w:tabs>
        <w:rPr>
          <w:sz w:val="20"/>
          <w:szCs w:val="20"/>
          <w:color w:val="auto"/>
        </w:rPr>
      </w:pPr>
      <w:r>
        <w:rPr>
          <w:rFonts w:ascii="Arial" w:cs="Arial" w:eastAsia="Arial" w:hAnsi="Arial"/>
          <w:sz w:val="20"/>
          <w:szCs w:val="20"/>
          <w:color w:val="010000"/>
        </w:rPr>
        <w:t>SECTION 9.18</w:t>
      </w:r>
      <w:r>
        <w:rPr>
          <w:sz w:val="20"/>
          <w:szCs w:val="20"/>
          <w:color w:val="auto"/>
        </w:rPr>
        <w:tab/>
      </w:r>
      <w:r>
        <w:rPr>
          <w:rFonts w:ascii="Arial" w:cs="Arial" w:eastAsia="Arial" w:hAnsi="Arial"/>
          <w:sz w:val="18"/>
          <w:szCs w:val="18"/>
          <w:u w:val="single" w:color="auto"/>
          <w:color w:val="auto"/>
        </w:rPr>
        <w:t>Intercreditor Agreement.</w:t>
      </w:r>
    </w:p>
    <w:p>
      <w:pPr>
        <w:spacing w:after="0" w:line="229" w:lineRule="exact"/>
        <w:rPr>
          <w:sz w:val="20"/>
          <w:szCs w:val="20"/>
          <w:color w:val="auto"/>
        </w:rPr>
      </w:pPr>
    </w:p>
    <w:p>
      <w:pPr>
        <w:jc w:val="both"/>
        <w:ind w:right="20" w:firstLine="1499"/>
        <w:spacing w:after="0" w:line="271" w:lineRule="auto"/>
        <w:rPr>
          <w:sz w:val="20"/>
          <w:szCs w:val="20"/>
          <w:color w:val="auto"/>
        </w:rPr>
      </w:pPr>
      <w:r>
        <w:rPr>
          <w:rFonts w:ascii="Arial" w:cs="Arial" w:eastAsia="Arial" w:hAnsi="Arial"/>
          <w:sz w:val="18"/>
          <w:szCs w:val="18"/>
          <w:color w:val="auto"/>
        </w:rPr>
        <w:t>Each Secured Party hereby agrees that the Administrative Agent and/or Collateral Agent may enter into any intercreditor agreement and/or subordination agreement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Morgan Stanley Senior Funding, Inc. (or its affiliated designee, representative, agent or successor) on its behalf as collateral agent, respectively, thereunder. Each Lender (a) hereby agrees that it will be bound by and will take no actions contrary to the provisions of any applicable Intercreditor Agreement (if entered into) and (b) hereby authorizes and instructs the Administrative Agent and Collateral Agent to enter into any Intercreditor Agreement (and any amendments, amendments and restatements, restatements or waivers of or supplements to or other modifications to, such agreements (subject, if applicable, to the last sentence of Section 9.02(b)), and to subject the Liens on the Collateral securing the Secured Obligations to the provisions thereof).</w:t>
      </w:r>
    </w:p>
    <w:p>
      <w:pPr>
        <w:spacing w:after="0" w:line="184" w:lineRule="exact"/>
        <w:rPr>
          <w:sz w:val="20"/>
          <w:szCs w:val="20"/>
          <w:color w:val="auto"/>
        </w:rPr>
      </w:pPr>
    </w:p>
    <w:p>
      <w:pPr>
        <w:ind w:left="4120"/>
        <w:spacing w:after="0"/>
        <w:tabs>
          <w:tab w:leader="none" w:pos="5680" w:val="left"/>
        </w:tabs>
        <w:rPr>
          <w:sz w:val="20"/>
          <w:szCs w:val="20"/>
          <w:color w:val="auto"/>
        </w:rPr>
      </w:pPr>
      <w:r>
        <w:rPr>
          <w:rFonts w:ascii="Arial" w:cs="Arial" w:eastAsia="Arial" w:hAnsi="Arial"/>
          <w:sz w:val="20"/>
          <w:szCs w:val="20"/>
          <w:color w:val="010000"/>
        </w:rPr>
        <w:t>SECTION 9.19</w:t>
      </w:r>
      <w:r>
        <w:rPr>
          <w:sz w:val="20"/>
          <w:szCs w:val="20"/>
          <w:color w:val="auto"/>
        </w:rPr>
        <w:tab/>
      </w:r>
      <w:r>
        <w:rPr>
          <w:rFonts w:ascii="Arial" w:cs="Arial" w:eastAsia="Arial" w:hAnsi="Arial"/>
          <w:sz w:val="16"/>
          <w:szCs w:val="16"/>
          <w:u w:val="single" w:color="auto"/>
          <w:color w:val="auto"/>
        </w:rPr>
        <w:t>Cashless Settlement</w:t>
      </w:r>
      <w:r>
        <w:rPr>
          <w:rFonts w:ascii="Arial" w:cs="Arial" w:eastAsia="Arial" w:hAnsi="Arial"/>
          <w:sz w:val="16"/>
          <w:szCs w:val="16"/>
          <w:color w:val="auto"/>
        </w:rPr>
        <w:t>.</w:t>
      </w:r>
    </w:p>
    <w:p>
      <w:pPr>
        <w:spacing w:after="0" w:line="228" w:lineRule="exact"/>
        <w:rPr>
          <w:sz w:val="20"/>
          <w:szCs w:val="20"/>
          <w:color w:val="auto"/>
        </w:rPr>
      </w:pPr>
    </w:p>
    <w:p>
      <w:pPr>
        <w:jc w:val="both"/>
        <w:ind w:firstLine="1499"/>
        <w:spacing w:after="0" w:line="246" w:lineRule="auto"/>
        <w:rPr>
          <w:sz w:val="20"/>
          <w:szCs w:val="20"/>
          <w:color w:val="auto"/>
        </w:rPr>
      </w:pPr>
      <w:r>
        <w:rPr>
          <w:rFonts w:ascii="Arial" w:cs="Arial" w:eastAsia="Arial" w:hAnsi="Arial"/>
          <w:sz w:val="20"/>
          <w:szCs w:val="20"/>
          <w:color w:val="auto"/>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203" w:lineRule="exact"/>
        <w:rPr>
          <w:sz w:val="20"/>
          <w:szCs w:val="20"/>
          <w:color w:val="auto"/>
        </w:rPr>
      </w:pPr>
    </w:p>
    <w:p>
      <w:pPr>
        <w:ind w:left="4120" w:right="220"/>
        <w:spacing w:after="0" w:line="260" w:lineRule="auto"/>
        <w:rPr>
          <w:sz w:val="20"/>
          <w:szCs w:val="20"/>
          <w:color w:val="auto"/>
        </w:rPr>
      </w:pPr>
      <w:r>
        <w:rPr>
          <w:rFonts w:ascii="Arial" w:cs="Arial" w:eastAsia="Arial" w:hAnsi="Arial"/>
          <w:sz w:val="20"/>
          <w:szCs w:val="20"/>
          <w:color w:val="010000"/>
        </w:rPr>
        <w:t xml:space="preserve">SECTION 9.20 </w:t>
      </w:r>
      <w:r>
        <w:rPr>
          <w:rFonts w:ascii="Arial" w:cs="Arial" w:eastAsia="Arial" w:hAnsi="Arial"/>
          <w:sz w:val="20"/>
          <w:szCs w:val="20"/>
          <w:u w:val="single" w:color="auto"/>
          <w:color w:val="000000"/>
        </w:rPr>
        <w:t>Acknowledgement and Consent to Bail-In of EEA Financial</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Institutions</w:t>
      </w:r>
      <w:r>
        <w:rPr>
          <w:rFonts w:ascii="Arial" w:cs="Arial" w:eastAsia="Arial" w:hAnsi="Arial"/>
          <w:sz w:val="20"/>
          <w:szCs w:val="20"/>
          <w:color w:val="000000"/>
        </w:rPr>
        <w:t>.</w:t>
      </w:r>
    </w:p>
    <w:p>
      <w:pPr>
        <w:spacing w:after="0" w:line="189"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8" w:lineRule="exact"/>
        <w:rPr>
          <w:sz w:val="20"/>
          <w:szCs w:val="20"/>
          <w:color w:val="auto"/>
        </w:rPr>
      </w:pPr>
    </w:p>
    <w:p>
      <w:pPr>
        <w:ind w:right="40" w:firstLine="1490"/>
        <w:spacing w:after="0" w:line="286" w:lineRule="auto"/>
        <w:tabs>
          <w:tab w:leader="none" w:pos="2232" w:val="left"/>
        </w:tabs>
        <w:numPr>
          <w:ilvl w:val="0"/>
          <w:numId w:val="356"/>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6" w:lineRule="exact"/>
        <w:rPr>
          <w:rFonts w:ascii="Arial" w:cs="Arial" w:eastAsia="Arial" w:hAnsi="Arial"/>
          <w:sz w:val="19"/>
          <w:szCs w:val="19"/>
          <w:color w:val="auto"/>
        </w:rPr>
      </w:pPr>
    </w:p>
    <w:p>
      <w:pPr>
        <w:ind w:left="2240" w:hanging="750"/>
        <w:spacing w:after="0"/>
        <w:tabs>
          <w:tab w:leader="none" w:pos="224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28" w:lineRule="exact"/>
        <w:rPr>
          <w:rFonts w:ascii="Arial" w:cs="Arial" w:eastAsia="Arial" w:hAnsi="Arial"/>
          <w:sz w:val="20"/>
          <w:szCs w:val="20"/>
          <w:color w:val="auto"/>
        </w:rPr>
      </w:pPr>
    </w:p>
    <w:p>
      <w:pPr>
        <w:ind w:left="3340" w:hanging="1101"/>
        <w:spacing w:after="0"/>
        <w:tabs>
          <w:tab w:leader="none" w:pos="3340" w:val="left"/>
        </w:tabs>
        <w:numPr>
          <w:ilvl w:val="1"/>
          <w:numId w:val="356"/>
        </w:numPr>
        <w:rPr>
          <w:rFonts w:ascii="Arial" w:cs="Arial" w:eastAsia="Arial" w:hAnsi="Arial"/>
          <w:sz w:val="20"/>
          <w:szCs w:val="20"/>
          <w:color w:val="010000"/>
        </w:rPr>
      </w:pPr>
      <w:r>
        <w:rPr>
          <w:rFonts w:ascii="Arial" w:cs="Arial" w:eastAsia="Arial" w:hAnsi="Arial"/>
          <w:sz w:val="20"/>
          <w:szCs w:val="20"/>
          <w:color w:val="auto"/>
        </w:rPr>
        <w:t>a reduction in full or in part or cancellation of any such liability;</w:t>
      </w:r>
    </w:p>
    <w:p>
      <w:pPr>
        <w:spacing w:after="0" w:line="228" w:lineRule="exact"/>
        <w:rPr>
          <w:rFonts w:ascii="Arial" w:cs="Arial" w:eastAsia="Arial" w:hAnsi="Arial"/>
          <w:sz w:val="20"/>
          <w:szCs w:val="20"/>
          <w:color w:val="010000"/>
        </w:rPr>
      </w:pPr>
    </w:p>
    <w:p>
      <w:pPr>
        <w:jc w:val="both"/>
        <w:ind w:left="740" w:right="40" w:firstLine="1499"/>
        <w:spacing w:after="0" w:line="246" w:lineRule="auto"/>
        <w:tabs>
          <w:tab w:leader="none" w:pos="3338" w:val="left"/>
        </w:tabs>
        <w:numPr>
          <w:ilvl w:val="1"/>
          <w:numId w:val="356"/>
        </w:numPr>
        <w:rPr>
          <w:rFonts w:ascii="Arial" w:cs="Arial" w:eastAsia="Arial" w:hAnsi="Arial"/>
          <w:sz w:val="20"/>
          <w:szCs w:val="20"/>
          <w:color w:val="010000"/>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3" w:lineRule="exact"/>
        <w:rPr>
          <w:rFonts w:ascii="Arial" w:cs="Arial" w:eastAsia="Arial" w:hAnsi="Arial"/>
          <w:sz w:val="20"/>
          <w:szCs w:val="20"/>
          <w:color w:val="010000"/>
        </w:rPr>
      </w:pPr>
    </w:p>
    <w:p>
      <w:pPr>
        <w:ind w:left="740" w:right="40" w:firstLine="1499"/>
        <w:spacing w:after="0" w:line="260" w:lineRule="auto"/>
        <w:tabs>
          <w:tab w:leader="none" w:pos="3338" w:val="left"/>
        </w:tabs>
        <w:numPr>
          <w:ilvl w:val="1"/>
          <w:numId w:val="356"/>
        </w:numPr>
        <w:rPr>
          <w:rFonts w:ascii="Arial" w:cs="Arial" w:eastAsia="Arial" w:hAnsi="Arial"/>
          <w:sz w:val="20"/>
          <w:szCs w:val="20"/>
          <w:color w:val="010000"/>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21" w:right="519" w:bottom="1440" w:gutter="0" w:footer="0" w:header="0"/>
        </w:sectPr>
      </w:pPr>
    </w:p>
    <w:bookmarkStart w:id="368" w:name="page369"/>
    <w:bookmarkEnd w:id="368"/>
    <w:p>
      <w:pPr>
        <w:ind w:left="4120"/>
        <w:spacing w:after="0"/>
        <w:tabs>
          <w:tab w:leader="none" w:pos="5680" w:val="left"/>
        </w:tabs>
        <w:rPr>
          <w:sz w:val="20"/>
          <w:szCs w:val="20"/>
          <w:color w:val="auto"/>
        </w:rPr>
      </w:pPr>
      <w:r>
        <w:rPr>
          <w:rFonts w:ascii="Arial" w:cs="Arial" w:eastAsia="Arial" w:hAnsi="Arial"/>
          <w:sz w:val="20"/>
          <w:szCs w:val="20"/>
          <w:color w:val="010000"/>
        </w:rPr>
        <w:t>SECTION 9.21</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29" w:lineRule="exact"/>
        <w:rPr>
          <w:sz w:val="20"/>
          <w:szCs w:val="20"/>
          <w:color w:val="auto"/>
        </w:rPr>
      </w:pPr>
    </w:p>
    <w:p>
      <w:pPr>
        <w:jc w:val="both"/>
        <w:ind w:firstLine="1467"/>
        <w:spacing w:after="0" w:line="282" w:lineRule="auto"/>
        <w:tabs>
          <w:tab w:leader="none" w:pos="221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any Joint Lead Arranger and any of their respective Affiliates, and not, for the avoidance of doubt, to or for the benefit of the Borrower or any Loan Party, that at least one of the following is and will be true:</w:t>
      </w:r>
    </w:p>
    <w:p>
      <w:pPr>
        <w:spacing w:after="0" w:line="173" w:lineRule="exact"/>
        <w:rPr>
          <w:rFonts w:ascii="Arial" w:cs="Arial" w:eastAsia="Arial" w:hAnsi="Arial"/>
          <w:sz w:val="18"/>
          <w:szCs w:val="18"/>
          <w:color w:val="auto"/>
        </w:rPr>
      </w:pPr>
    </w:p>
    <w:p>
      <w:pPr>
        <w:jc w:val="both"/>
        <w:ind w:left="740" w:right="60" w:firstLine="1499"/>
        <w:spacing w:after="0" w:line="249" w:lineRule="auto"/>
        <w:tabs>
          <w:tab w:leader="none" w:pos="3338" w:val="left"/>
        </w:tabs>
        <w:numPr>
          <w:ilvl w:val="1"/>
          <w:numId w:val="357"/>
        </w:numPr>
        <w:rPr>
          <w:rFonts w:ascii="Arial" w:cs="Arial" w:eastAsia="Arial" w:hAnsi="Arial"/>
          <w:sz w:val="20"/>
          <w:szCs w:val="20"/>
          <w:color w:val="010000"/>
        </w:rPr>
      </w:pPr>
      <w:r>
        <w:rPr>
          <w:rFonts w:ascii="Arial" w:cs="Arial" w:eastAsia="Arial" w:hAnsi="Arial"/>
          <w:sz w:val="20"/>
          <w:szCs w:val="20"/>
          <w:color w:val="auto"/>
        </w:rPr>
        <w:t>such Lender is not using “plan assets” (within the meaning of Section 3(42) of ERISA or otherwise ) of one or more Benefit Plans with respect to such Lender’s entrance into, participation in, administration of and performance of the Loans, the Letters of Credit, the Commitments or this Agreement,</w:t>
      </w:r>
    </w:p>
    <w:p>
      <w:pPr>
        <w:spacing w:after="0" w:line="201" w:lineRule="exact"/>
        <w:rPr>
          <w:rFonts w:ascii="Arial" w:cs="Arial" w:eastAsia="Arial" w:hAnsi="Arial"/>
          <w:sz w:val="20"/>
          <w:szCs w:val="20"/>
          <w:color w:val="010000"/>
        </w:rPr>
      </w:pPr>
    </w:p>
    <w:p>
      <w:pPr>
        <w:jc w:val="both"/>
        <w:ind w:left="740" w:firstLine="1499"/>
        <w:spacing w:after="0" w:line="256" w:lineRule="auto"/>
        <w:tabs>
          <w:tab w:leader="none" w:pos="3343" w:val="left"/>
        </w:tabs>
        <w:numPr>
          <w:ilvl w:val="1"/>
          <w:numId w:val="357"/>
        </w:numPr>
        <w:rPr>
          <w:rFonts w:ascii="Arial" w:cs="Arial" w:eastAsia="Arial" w:hAnsi="Arial"/>
          <w:sz w:val="19"/>
          <w:szCs w:val="19"/>
          <w:color w:val="010000"/>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and the conditions for exemptive relief thereunder are and will continue to be satisfied in connection therewith,</w:t>
      </w:r>
    </w:p>
    <w:p>
      <w:pPr>
        <w:spacing w:after="0" w:line="198" w:lineRule="exact"/>
        <w:rPr>
          <w:rFonts w:ascii="Arial" w:cs="Arial" w:eastAsia="Arial" w:hAnsi="Arial"/>
          <w:sz w:val="19"/>
          <w:szCs w:val="19"/>
          <w:color w:val="010000"/>
        </w:rPr>
      </w:pPr>
    </w:p>
    <w:p>
      <w:pPr>
        <w:jc w:val="both"/>
        <w:ind w:left="740" w:right="20" w:firstLine="1499"/>
        <w:spacing w:after="0" w:line="242" w:lineRule="auto"/>
        <w:tabs>
          <w:tab w:leader="none" w:pos="3341" w:val="left"/>
        </w:tabs>
        <w:numPr>
          <w:ilvl w:val="1"/>
          <w:numId w:val="357"/>
        </w:numPr>
        <w:rPr>
          <w:rFonts w:ascii="Arial" w:cs="Arial" w:eastAsia="Arial" w:hAnsi="Arial"/>
          <w:sz w:val="20"/>
          <w:szCs w:val="20"/>
          <w:color w:val="010000"/>
        </w:rPr>
      </w:pPr>
      <w:r>
        <w:rPr>
          <w:rFonts w:ascii="Arial" w:cs="Arial" w:eastAsia="Arial" w:hAnsi="Arial"/>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and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7" w:lineRule="exact"/>
        <w:rPr>
          <w:rFonts w:ascii="Arial" w:cs="Arial" w:eastAsia="Arial" w:hAnsi="Arial"/>
          <w:sz w:val="20"/>
          <w:szCs w:val="20"/>
          <w:color w:val="010000"/>
        </w:rPr>
      </w:pPr>
    </w:p>
    <w:p>
      <w:pPr>
        <w:ind w:left="740" w:right="440" w:firstLine="1499"/>
        <w:spacing w:after="0" w:line="260" w:lineRule="auto"/>
        <w:tabs>
          <w:tab w:leader="none" w:pos="3338" w:val="left"/>
        </w:tabs>
        <w:numPr>
          <w:ilvl w:val="1"/>
          <w:numId w:val="357"/>
        </w:numPr>
        <w:rPr>
          <w:rFonts w:ascii="Arial" w:cs="Arial" w:eastAsia="Arial" w:hAnsi="Arial"/>
          <w:sz w:val="20"/>
          <w:szCs w:val="20"/>
          <w:color w:val="010000"/>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89" w:lineRule="exact"/>
        <w:rPr>
          <w:rFonts w:ascii="Arial" w:cs="Arial" w:eastAsia="Arial" w:hAnsi="Arial"/>
          <w:sz w:val="20"/>
          <w:szCs w:val="20"/>
          <w:color w:val="010000"/>
        </w:rPr>
      </w:pPr>
    </w:p>
    <w:p>
      <w:pPr>
        <w:jc w:val="both"/>
        <w:ind w:firstLine="1467"/>
        <w:spacing w:after="0" w:line="255" w:lineRule="auto"/>
        <w:tabs>
          <w:tab w:leader="none" w:pos="2213" w:val="left"/>
        </w:tabs>
        <w:numPr>
          <w:ilvl w:val="0"/>
          <w:numId w:val="357"/>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any Joint Lead Arranger or any of their respective Affiliates, and not, for the avoidance of doubt, to or for the benefit of the Borrower or any other Loan Party, that none of the Administrative Agent, any Joint Lead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2" w:right="499" w:bottom="1440" w:gutter="0" w:footer="0" w:header="0"/>
        </w:sectPr>
      </w:pPr>
    </w:p>
    <w:bookmarkStart w:id="369" w:name="page370"/>
    <w:bookmarkEnd w:id="369"/>
    <w:p>
      <w:pPr>
        <w:ind w:left="4120"/>
        <w:spacing w:after="0"/>
        <w:tabs>
          <w:tab w:leader="none" w:pos="5680" w:val="left"/>
        </w:tabs>
        <w:rPr>
          <w:sz w:val="20"/>
          <w:szCs w:val="20"/>
          <w:color w:val="auto"/>
        </w:rPr>
      </w:pPr>
      <w:r>
        <w:rPr>
          <w:rFonts w:ascii="Arial" w:cs="Arial" w:eastAsia="Arial" w:hAnsi="Arial"/>
          <w:sz w:val="20"/>
          <w:szCs w:val="20"/>
          <w:color w:val="010000"/>
        </w:rPr>
        <w:t>SECTION 9.22</w:t>
      </w:r>
      <w:r>
        <w:rPr>
          <w:sz w:val="20"/>
          <w:szCs w:val="20"/>
          <w:color w:val="auto"/>
        </w:rPr>
        <w:tab/>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w:t>
      </w:r>
    </w:p>
    <w:p>
      <w:pPr>
        <w:spacing w:after="0" w:line="228" w:lineRule="exact"/>
        <w:rPr>
          <w:sz w:val="20"/>
          <w:szCs w:val="20"/>
          <w:color w:val="auto"/>
        </w:rPr>
      </w:pPr>
    </w:p>
    <w:p>
      <w:pPr>
        <w:jc w:val="both"/>
        <w:ind w:right="20" w:firstLine="749"/>
        <w:spacing w:after="0" w:line="274" w:lineRule="auto"/>
        <w:rPr>
          <w:sz w:val="20"/>
          <w:szCs w:val="20"/>
          <w:color w:val="auto"/>
        </w:rPr>
      </w:pPr>
      <w:r>
        <w:rPr>
          <w:rFonts w:ascii="Arial" w:cs="Arial" w:eastAsia="Arial" w:hAnsi="Arial"/>
          <w:sz w:val="18"/>
          <w:szCs w:val="18"/>
          <w:color w:val="auto"/>
        </w:rPr>
        <w:t>To the extent that the Loan Documents provide support, through a guarantee or otherwise, for Swap Agreements or any other agreement or instrument that is a QFC (such support, “</w:t>
      </w:r>
      <w:r>
        <w:rPr>
          <w:rFonts w:ascii="Arial" w:cs="Arial" w:eastAsia="Arial" w:hAnsi="Arial"/>
          <w:sz w:val="18"/>
          <w:szCs w:val="18"/>
          <w:b w:val="1"/>
          <w:bCs w:val="1"/>
          <w:color w:val="auto"/>
        </w:rPr>
        <w:t>QFC Credit Support</w:t>
      </w:r>
      <w:r>
        <w:rPr>
          <w:rFonts w:ascii="Arial" w:cs="Arial" w:eastAsia="Arial" w:hAnsi="Arial"/>
          <w:sz w:val="18"/>
          <w:szCs w:val="18"/>
          <w:color w:val="auto"/>
        </w:rPr>
        <w:t>,” and each such QFC, a “</w:t>
      </w:r>
      <w:r>
        <w:rPr>
          <w:rFonts w:ascii="Arial" w:cs="Arial" w:eastAsia="Arial" w:hAnsi="Arial"/>
          <w:sz w:val="18"/>
          <w:szCs w:val="18"/>
          <w:b w:val="1"/>
          <w:bCs w:val="1"/>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4"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b w:val="1"/>
          <w:b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62" w:lineRule="exact"/>
        <w:rPr>
          <w:sz w:val="20"/>
          <w:szCs w:val="20"/>
          <w:color w:val="auto"/>
        </w:rPr>
      </w:pPr>
    </w:p>
    <w:p>
      <w:pPr>
        <w:jc w:val="both"/>
        <w:ind w:right="20" w:firstLine="749"/>
        <w:spacing w:after="0" w:line="244" w:lineRule="auto"/>
        <w:rPr>
          <w:sz w:val="20"/>
          <w:szCs w:val="20"/>
          <w:color w:val="auto"/>
        </w:rPr>
      </w:pPr>
      <w:r>
        <w:rPr>
          <w:rFonts w:ascii="Arial" w:cs="Arial" w:eastAsia="Arial" w:hAnsi="Arial"/>
          <w:sz w:val="20"/>
          <w:szCs w:val="20"/>
          <w:color w:val="010000"/>
        </w:rPr>
        <w:t xml:space="preserve">SECTION 9.23 </w:t>
      </w:r>
      <w:r>
        <w:rPr>
          <w:rFonts w:ascii="Arial" w:cs="Arial" w:eastAsia="Arial" w:hAnsi="Arial"/>
          <w:sz w:val="20"/>
          <w:szCs w:val="20"/>
          <w:u w:val="single" w:color="auto"/>
          <w:color w:val="000000"/>
        </w:rPr>
        <w:t>Disqualified Lenders and Net Short Positions</w:t>
      </w:r>
      <w:r>
        <w:rPr>
          <w:rFonts w:ascii="Arial" w:cs="Arial" w:eastAsia="Arial" w:hAnsi="Arial"/>
          <w:sz w:val="20"/>
          <w:szCs w:val="20"/>
          <w:color w:val="000000"/>
        </w:rPr>
        <w:t>. Notwithstanding anything to the contrary herein or in any Loan</w:t>
      </w:r>
      <w:r>
        <w:rPr>
          <w:rFonts w:ascii="Arial" w:cs="Arial" w:eastAsia="Arial" w:hAnsi="Arial"/>
          <w:sz w:val="20"/>
          <w:szCs w:val="20"/>
          <w:color w:val="010000"/>
        </w:rPr>
        <w:t xml:space="preserve"> </w:t>
      </w:r>
      <w:r>
        <w:rPr>
          <w:rFonts w:ascii="Arial" w:cs="Arial" w:eastAsia="Arial" w:hAnsi="Arial"/>
          <w:sz w:val="20"/>
          <w:szCs w:val="20"/>
          <w:color w:val="000000"/>
        </w:rPr>
        <w:t>Document, no Net Short Lender shall have the right to approve or disapprove any amendment, waiver or consent pursuant to Section 9.02 or under any Loan Document. In connection with any determination as to whether the requisite Lenders (including whether the Required Lenders or Required Revolving Lenders) have provided any amendment, waiver or consent pursuant to Section 9.02 or under any other Loan Document:</w:t>
      </w:r>
    </w:p>
    <w:p>
      <w:pPr>
        <w:spacing w:after="0" w:line="206" w:lineRule="exact"/>
        <w:rPr>
          <w:sz w:val="20"/>
          <w:szCs w:val="20"/>
          <w:color w:val="auto"/>
        </w:rPr>
      </w:pPr>
    </w:p>
    <w:p>
      <w:pPr>
        <w:ind w:left="1480" w:hanging="739"/>
        <w:spacing w:after="0"/>
        <w:tabs>
          <w:tab w:leader="none" w:pos="1480" w:val="left"/>
        </w:tabs>
        <w:numPr>
          <w:ilvl w:val="0"/>
          <w:numId w:val="358"/>
        </w:numPr>
        <w:rPr>
          <w:rFonts w:ascii="Arial" w:cs="Arial" w:eastAsia="Arial" w:hAnsi="Arial"/>
          <w:sz w:val="20"/>
          <w:szCs w:val="20"/>
          <w:color w:val="auto"/>
        </w:rPr>
      </w:pPr>
      <w:r>
        <w:rPr>
          <w:rFonts w:ascii="Arial" w:cs="Arial" w:eastAsia="Arial" w:hAnsi="Arial"/>
          <w:sz w:val="20"/>
          <w:szCs w:val="20"/>
          <w:color w:val="auto"/>
        </w:rPr>
        <w:t>Net Short Lenders shall not be considered, and</w:t>
      </w:r>
    </w:p>
    <w:p>
      <w:pPr>
        <w:spacing w:after="0" w:line="228" w:lineRule="exact"/>
        <w:rPr>
          <w:rFonts w:ascii="Arial" w:cs="Arial" w:eastAsia="Arial" w:hAnsi="Arial"/>
          <w:sz w:val="20"/>
          <w:szCs w:val="20"/>
          <w:color w:val="auto"/>
        </w:rPr>
      </w:pPr>
    </w:p>
    <w:p>
      <w:pPr>
        <w:jc w:val="both"/>
        <w:ind w:right="40" w:firstLine="741"/>
        <w:spacing w:after="0" w:line="249" w:lineRule="auto"/>
        <w:tabs>
          <w:tab w:leader="none" w:pos="1483" w:val="left"/>
        </w:tabs>
        <w:numPr>
          <w:ilvl w:val="0"/>
          <w:numId w:val="358"/>
        </w:numPr>
        <w:rPr>
          <w:rFonts w:ascii="Arial" w:cs="Arial" w:eastAsia="Arial" w:hAnsi="Arial"/>
          <w:sz w:val="20"/>
          <w:szCs w:val="20"/>
          <w:color w:val="auto"/>
        </w:rPr>
      </w:pPr>
      <w:r>
        <w:rPr>
          <w:rFonts w:ascii="Arial" w:cs="Arial" w:eastAsia="Arial" w:hAnsi="Arial"/>
          <w:sz w:val="20"/>
          <w:szCs w:val="20"/>
          <w:color w:val="auto"/>
        </w:rPr>
        <w:t>Net Short Lenders shall be deemed to have consented to any such amendment, waiver or consent with respect to its interest as a Lender in the same proportion as the allocation of voting with respect to such matter by Lenders who are not Net Short Lenders.</w:t>
      </w:r>
    </w:p>
    <w:p>
      <w:pPr>
        <w:spacing w:after="0" w:line="201"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Each Lender that is not an Unrestricted Lender that delivers a written consent to any amendment, waiver or consent pursuant to Section 9.02 or under any other Loan Document shall concurrently deliver (or in the absence of any written Net Short Representation will be deemed to have delivered, concurrently with providing such consent) to the Borrower (with a copy to the Administrative Agent) a Net Short Representation.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352" w:right="51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ind w:left="2440"/>
              <w:spacing w:after="0"/>
              <w:rPr>
                <w:sz w:val="20"/>
                <w:szCs w:val="20"/>
                <w:color w:val="auto"/>
              </w:rPr>
            </w:pPr>
            <w:r>
              <w:rPr>
                <w:rFonts w:ascii="Arial" w:cs="Arial" w:eastAsia="Arial" w:hAnsi="Arial"/>
                <w:sz w:val="18"/>
                <w:szCs w:val="18"/>
                <w:b w:val="1"/>
                <w:bCs w:val="1"/>
                <w:color w:val="auto"/>
                <w:w w:val="89"/>
              </w:rPr>
              <w:t>Exhibit 21.1</w:t>
            </w:r>
          </w:p>
        </w:tc>
      </w:tr>
      <w:tr>
        <w:trPr>
          <w:trHeight w:val="661"/>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440"/>
              <w:spacing w:after="0"/>
              <w:rPr>
                <w:sz w:val="20"/>
                <w:szCs w:val="20"/>
                <w:color w:val="auto"/>
              </w:rPr>
            </w:pPr>
            <w:r>
              <w:rPr>
                <w:rFonts w:ascii="Arial" w:cs="Arial" w:eastAsia="Arial" w:hAnsi="Arial"/>
                <w:sz w:val="18"/>
                <w:szCs w:val="18"/>
                <w:b w:val="1"/>
                <w:bCs w:val="1"/>
                <w:color w:val="auto"/>
              </w:rPr>
              <w:t>List of Subsidiaries of Gogo Inc.</w:t>
            </w: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357"/>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120" w:type="dxa"/>
            <w:vAlign w:val="bottom"/>
          </w:tcPr>
          <w:p>
            <w:pPr>
              <w:spacing w:after="0"/>
              <w:rPr>
                <w:sz w:val="24"/>
                <w:szCs w:val="24"/>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c>
          <w:tcPr>
            <w:tcW w:w="10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Ownership Percentage</w:t>
            </w:r>
          </w:p>
        </w:tc>
      </w:tr>
      <w:tr>
        <w:trPr>
          <w:trHeight w:val="337"/>
        </w:trPr>
        <w:tc>
          <w:tcPr>
            <w:tcW w:w="3840" w:type="dxa"/>
            <w:vAlign w:val="bottom"/>
          </w:tcPr>
          <w:p>
            <w:pPr>
              <w:ind w:left="20"/>
              <w:spacing w:after="0"/>
              <w:rPr>
                <w:sz w:val="20"/>
                <w:szCs w:val="20"/>
                <w:color w:val="auto"/>
              </w:rPr>
            </w:pPr>
            <w:r>
              <w:rPr>
                <w:rFonts w:ascii="Arial" w:cs="Arial" w:eastAsia="Arial" w:hAnsi="Arial"/>
                <w:sz w:val="18"/>
                <w:szCs w:val="18"/>
                <w:color w:val="auto"/>
              </w:rPr>
              <w:t>AC BidCo LLC</w:t>
            </w:r>
          </w:p>
        </w:tc>
        <w:tc>
          <w:tcPr>
            <w:tcW w:w="1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34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Gogo Business Aviation LLC</w:t>
            </w:r>
          </w:p>
        </w:tc>
        <w:tc>
          <w:tcPr>
            <w:tcW w:w="1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34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Gogo Connectivity Ltd.</w:t>
            </w:r>
          </w:p>
        </w:tc>
        <w:tc>
          <w:tcPr>
            <w:tcW w:w="1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34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Gogo Finance Co. Inc.</w:t>
            </w:r>
          </w:p>
        </w:tc>
        <w:tc>
          <w:tcPr>
            <w:tcW w:w="1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34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Gogo Intermediate Holdings LLC</w:t>
            </w:r>
          </w:p>
        </w:tc>
        <w:tc>
          <w:tcPr>
            <w:tcW w:w="1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34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560"/>
        </w:trPr>
        <w:tc>
          <w:tcPr>
            <w:tcW w:w="3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b w:val="1"/>
          <w:bCs w:val="1"/>
          <w:color w:val="auto"/>
        </w:rPr>
        <w:t>Exhibit 23.1</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333-264687 on Form S-3 and Registration Statement Nos. 333-189594, 333-212072, 333-219777, 333-225716, and 333-238295 on Form S-8 of our reports dated February 28, 2023, relating to the financial statements of Gogo Inc. and the effectiveness of Gogo Inc.’s internal control over financial reporting appearing in this Annual Report on Form 10-K for the year ended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2" w:name="page373"/>
    <w:bookmarkEnd w:id="3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Oakleigh Thorne, certify that:</w:t>
      </w:r>
    </w:p>
    <w:p>
      <w:pPr>
        <w:spacing w:after="0" w:line="229" w:lineRule="exact"/>
        <w:rPr>
          <w:sz w:val="20"/>
          <w:szCs w:val="20"/>
          <w:color w:val="auto"/>
        </w:rPr>
      </w:pPr>
    </w:p>
    <w:p>
      <w:pPr>
        <w:ind w:left="520" w:hanging="512"/>
        <w:spacing w:after="0"/>
        <w:tabs>
          <w:tab w:leader="none" w:pos="5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Gogo Inc.;</w:t>
      </w:r>
    </w:p>
    <w:p>
      <w:pPr>
        <w:spacing w:after="0" w:line="23" w:lineRule="exact"/>
        <w:rPr>
          <w:rFonts w:ascii="Arial" w:cs="Arial" w:eastAsia="Arial" w:hAnsi="Arial"/>
          <w:sz w:val="18"/>
          <w:szCs w:val="18"/>
          <w:color w:val="auto"/>
        </w:rPr>
      </w:pPr>
    </w:p>
    <w:p>
      <w:pPr>
        <w:jc w:val="both"/>
        <w:ind w:left="520" w:right="260" w:hanging="512"/>
        <w:spacing w:after="0" w:line="250" w:lineRule="auto"/>
        <w:tabs>
          <w:tab w:leader="none" w:pos="5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240" w:hanging="512"/>
        <w:spacing w:after="0" w:line="264" w:lineRule="auto"/>
        <w:tabs>
          <w:tab w:leader="none" w:pos="52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20" w:right="260" w:hanging="512"/>
        <w:spacing w:after="0" w:line="250" w:lineRule="auto"/>
        <w:tabs>
          <w:tab w:leader="none" w:pos="5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020" w:right="20" w:hanging="504"/>
        <w:spacing w:after="0" w:line="250" w:lineRule="auto"/>
        <w:tabs>
          <w:tab w:leader="none" w:pos="102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20" w:right="340" w:hanging="504"/>
        <w:spacing w:after="0" w:line="250" w:lineRule="auto"/>
        <w:tabs>
          <w:tab w:leader="none" w:pos="102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020" w:right="500" w:hanging="504"/>
        <w:spacing w:after="0" w:line="281" w:lineRule="auto"/>
        <w:tabs>
          <w:tab w:leader="none" w:pos="102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0" w:hanging="504"/>
        <w:spacing w:after="0" w:line="250" w:lineRule="auto"/>
        <w:tabs>
          <w:tab w:leader="none" w:pos="102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160" w:hanging="512"/>
        <w:spacing w:after="0" w:line="264" w:lineRule="auto"/>
        <w:tabs>
          <w:tab w:leader="none" w:pos="52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20" w:right="740" w:hanging="504"/>
        <w:spacing w:after="0" w:line="281" w:lineRule="auto"/>
        <w:tabs>
          <w:tab w:leader="none" w:pos="102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right="440" w:hanging="504"/>
        <w:spacing w:after="0" w:line="260" w:lineRule="auto"/>
        <w:tabs>
          <w:tab w:leader="none" w:pos="102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28, 2023</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27291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18">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Oakleigh Thorne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Chairman of the Board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Barry Rowan, certify that:</w:t>
      </w:r>
    </w:p>
    <w:p>
      <w:pPr>
        <w:spacing w:after="0" w:line="229" w:lineRule="exact"/>
        <w:rPr>
          <w:sz w:val="20"/>
          <w:szCs w:val="20"/>
          <w:color w:val="auto"/>
        </w:rPr>
      </w:pPr>
    </w:p>
    <w:p>
      <w:pPr>
        <w:ind w:left="520" w:hanging="512"/>
        <w:spacing w:after="0"/>
        <w:tabs>
          <w:tab w:leader="none" w:pos="5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Gogo Inc.;</w:t>
      </w:r>
    </w:p>
    <w:p>
      <w:pPr>
        <w:spacing w:after="0" w:line="23" w:lineRule="exact"/>
        <w:rPr>
          <w:rFonts w:ascii="Arial" w:cs="Arial" w:eastAsia="Arial" w:hAnsi="Arial"/>
          <w:sz w:val="18"/>
          <w:szCs w:val="18"/>
          <w:color w:val="auto"/>
        </w:rPr>
      </w:pPr>
    </w:p>
    <w:p>
      <w:pPr>
        <w:jc w:val="both"/>
        <w:ind w:left="520" w:right="260" w:hanging="512"/>
        <w:spacing w:after="0" w:line="250" w:lineRule="auto"/>
        <w:tabs>
          <w:tab w:leader="none" w:pos="5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240" w:hanging="512"/>
        <w:spacing w:after="0" w:line="264" w:lineRule="auto"/>
        <w:tabs>
          <w:tab w:leader="none" w:pos="52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20" w:right="260" w:hanging="512"/>
        <w:spacing w:after="0" w:line="250" w:lineRule="auto"/>
        <w:tabs>
          <w:tab w:leader="none" w:pos="5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020" w:right="20" w:hanging="504"/>
        <w:spacing w:after="0" w:line="250" w:lineRule="auto"/>
        <w:tabs>
          <w:tab w:leader="none" w:pos="10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20" w:right="340" w:hanging="504"/>
        <w:spacing w:after="0" w:line="250" w:lineRule="auto"/>
        <w:tabs>
          <w:tab w:leader="none" w:pos="10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020" w:right="500" w:hanging="504"/>
        <w:spacing w:after="0" w:line="281" w:lineRule="auto"/>
        <w:tabs>
          <w:tab w:leader="none" w:pos="102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0" w:hanging="504"/>
        <w:spacing w:after="0" w:line="250" w:lineRule="auto"/>
        <w:tabs>
          <w:tab w:leader="none" w:pos="10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160" w:hanging="512"/>
        <w:spacing w:after="0" w:line="264" w:lineRule="auto"/>
        <w:tabs>
          <w:tab w:leader="none" w:pos="52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20" w:right="740" w:hanging="504"/>
        <w:spacing w:after="0" w:line="281" w:lineRule="auto"/>
        <w:tabs>
          <w:tab w:leader="none" w:pos="102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right="440" w:hanging="504"/>
        <w:spacing w:after="0" w:line="260" w:lineRule="auto"/>
        <w:tabs>
          <w:tab w:leader="none" w:pos="10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28, 2023</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27291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20">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Barry Rowan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 Oakleigh Thorne, President and Chief Executive Officer of Gogo Inc. (the “Company”), do hereby certify, pursuant to 18 U.S.C. Section 1350, as adopted pursuant to Section 906 of the Sarbanes-Oxley Act of 2002, that to the best of my knowledge:</w:t>
      </w:r>
    </w:p>
    <w:p>
      <w:pPr>
        <w:spacing w:after="0" w:line="169" w:lineRule="exact"/>
        <w:rPr>
          <w:sz w:val="20"/>
          <w:szCs w:val="20"/>
          <w:color w:val="auto"/>
        </w:rPr>
      </w:pPr>
    </w:p>
    <w:p>
      <w:pPr>
        <w:ind w:left="760" w:right="120" w:hanging="378"/>
        <w:spacing w:after="0" w:line="277" w:lineRule="auto"/>
        <w:tabs>
          <w:tab w:leader="none" w:pos="7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(the “Report”) fully complies with the requirements of Section 13(a) or 15(d) of the Securities Exchange Act of 1934; and</w:t>
      </w:r>
    </w:p>
    <w:p>
      <w:pPr>
        <w:spacing w:after="0" w:line="169"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3"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2023</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22">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Oakleigh Thorne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Chairman of the Board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Barry Rowan, Executive Vice President and Chief Financial Officer of Gogo Inc. (the “Company”), do hereby certify, pursuant to 18 U.S.C. Section 1350, as adopted pursuant to Section 906 of the Sarbanes-Oxley Act of 2002, that to the best of my knowledge:</w:t>
      </w:r>
    </w:p>
    <w:p>
      <w:pPr>
        <w:spacing w:after="0" w:line="169" w:lineRule="exact"/>
        <w:rPr>
          <w:sz w:val="20"/>
          <w:szCs w:val="20"/>
          <w:color w:val="auto"/>
        </w:rPr>
      </w:pPr>
    </w:p>
    <w:p>
      <w:pPr>
        <w:ind w:left="760" w:right="120" w:hanging="378"/>
        <w:spacing w:after="0" w:line="277" w:lineRule="auto"/>
        <w:tabs>
          <w:tab w:leader="none" w:pos="7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(the “Report”) fully complies with the requirements of Section 13(a) or 15(d) of the Securities Exchange Act of 1934; and</w:t>
      </w:r>
    </w:p>
    <w:p>
      <w:pPr>
        <w:spacing w:after="0" w:line="169"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3"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2023</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24">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Barry Rowan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6" w:name="page377"/>
    <w:bookmarkEnd w:id="3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B714C"/>
    <w:multiLevelType w:val="hybridMultilevel"/>
    <w:lvl w:ilvl="0">
      <w:lvlJc w:val="left"/>
      <w:lvlText w:val="☑"/>
      <w:numFmt w:val="bullet"/>
      <w:start w:val="1"/>
    </w:lvl>
  </w:abstractNum>
  <w:abstractNum w:abstractNumId="1">
    <w:nsid w:val="327B517E"/>
    <w:multiLevelType w:val="hybridMultilevel"/>
    <w:lvl w:ilvl="0">
      <w:lvlJc w:val="left"/>
      <w:lvlText w:val="☐"/>
      <w:numFmt w:val="bullet"/>
      <w:start w:val="1"/>
    </w:lvl>
  </w:abstractNum>
  <w:abstractNum w:abstractNumId="2">
    <w:nsid w:val="1F461B51"/>
    <w:multiLevelType w:val="hybridMultilevel"/>
    <w:lvl w:ilvl="0">
      <w:lvlJc w:val="left"/>
      <w:lvlText w:val="•"/>
      <w:numFmt w:val="bullet"/>
      <w:start w:val="1"/>
    </w:lvl>
  </w:abstractNum>
  <w:abstractNum w:abstractNumId="3">
    <w:nsid w:val="29BACF25"/>
    <w:multiLevelType w:val="hybridMultilevel"/>
    <w:lvl w:ilvl="0">
      <w:lvlJc w:val="left"/>
      <w:lvlText w:val="•"/>
      <w:numFmt w:val="bullet"/>
      <w:start w:val="1"/>
    </w:lvl>
  </w:abstractNum>
  <w:abstractNum w:abstractNumId="4">
    <w:nsid w:val="5D5BABB3"/>
    <w:multiLevelType w:val="hybridMultilevel"/>
    <w:lvl w:ilvl="0">
      <w:lvlJc w:val="left"/>
      <w:lvlText w:val="•"/>
      <w:numFmt w:val="bullet"/>
      <w:start w:val="1"/>
    </w:lvl>
  </w:abstractNum>
  <w:abstractNum w:abstractNumId="5">
    <w:nsid w:val="51BF6B48"/>
    <w:multiLevelType w:val="hybridMultilevel"/>
    <w:lvl w:ilvl="0">
      <w:lvlJc w:val="left"/>
      <w:lvlText w:val="•"/>
      <w:numFmt w:val="bullet"/>
      <w:start w:val="1"/>
    </w:lvl>
  </w:abstractNum>
  <w:abstractNum w:abstractNumId="6">
    <w:nsid w:val="7E0F6384"/>
    <w:multiLevelType w:val="hybridMultilevel"/>
    <w:lvl w:ilvl="0">
      <w:lvlJc w:val="left"/>
      <w:lvlText w:val="•"/>
      <w:numFmt w:val="bullet"/>
      <w:start w:val="1"/>
    </w:lvl>
  </w:abstractNum>
  <w:abstractNum w:abstractNumId="7">
    <w:nsid w:val="2B4B8B53"/>
    <w:multiLevelType w:val="hybridMultilevel"/>
    <w:lvl w:ilvl="0">
      <w:lvlJc w:val="left"/>
      <w:lvlText w:val="•"/>
      <w:numFmt w:val="bullet"/>
      <w:start w:val="1"/>
    </w:lvl>
  </w:abstractNum>
  <w:abstractNum w:abstractNumId="8">
    <w:nsid w:val="72E3413A"/>
    <w:multiLevelType w:val="hybridMultilevel"/>
    <w:lvl w:ilvl="0">
      <w:lvlJc w:val="left"/>
      <w:lvlText w:val="•"/>
      <w:numFmt w:val="bullet"/>
      <w:start w:val="1"/>
    </w:lvl>
  </w:abstractNum>
  <w:abstractNum w:abstractNumId="9">
    <w:nsid w:val="116AE494"/>
    <w:multiLevelType w:val="hybridMultilevel"/>
    <w:lvl w:ilvl="0">
      <w:lvlJc w:val="left"/>
      <w:lvlText w:val="•"/>
      <w:numFmt w:val="bullet"/>
      <w:start w:val="1"/>
    </w:lvl>
  </w:abstractNum>
  <w:abstractNum w:abstractNumId="10">
    <w:nsid w:val="3494B2FB"/>
    <w:multiLevelType w:val="hybridMultilevel"/>
    <w:lvl w:ilvl="0">
      <w:lvlJc w:val="left"/>
      <w:lvlText w:val="•"/>
      <w:numFmt w:val="bullet"/>
      <w:start w:val="1"/>
    </w:lvl>
  </w:abstractNum>
  <w:abstractNum w:abstractNumId="11">
    <w:nsid w:val="B13A31"/>
    <w:multiLevelType w:val="hybridMultilevel"/>
    <w:lvl w:ilvl="0">
      <w:lvlJc w:val="left"/>
      <w:lvlText w:val="•"/>
      <w:numFmt w:val="bullet"/>
      <w:start w:val="1"/>
    </w:lvl>
  </w:abstractNum>
  <w:abstractNum w:abstractNumId="12">
    <w:nsid w:val="64429599"/>
    <w:multiLevelType w:val="hybridMultilevel"/>
    <w:lvl w:ilvl="0">
      <w:lvlJc w:val="left"/>
      <w:lvlText w:val="•"/>
      <w:numFmt w:val="bullet"/>
      <w:start w:val="1"/>
    </w:lvl>
  </w:abstractNum>
  <w:abstractNum w:abstractNumId="13">
    <w:nsid w:val="631F1690"/>
    <w:multiLevelType w:val="hybridMultilevel"/>
    <w:lvl w:ilvl="0">
      <w:lvlJc w:val="left"/>
      <w:lvlText w:val="•"/>
      <w:numFmt w:val="bullet"/>
      <w:start w:val="1"/>
    </w:lvl>
  </w:abstractNum>
  <w:abstractNum w:abstractNumId="14">
    <w:nsid w:val="25973E32"/>
    <w:multiLevelType w:val="hybridMultilevel"/>
    <w:lvl w:ilvl="0">
      <w:lvlJc w:val="left"/>
      <w:lvlText w:val="(%1)"/>
      <w:numFmt w:val="lowerRoman"/>
      <w:start w:val="2"/>
    </w:lvl>
  </w:abstractNum>
  <w:abstractNum w:abstractNumId="15">
    <w:nsid w:val="EAD6F57"/>
    <w:multiLevelType w:val="hybridMultilevel"/>
    <w:lvl w:ilvl="0">
      <w:lvlJc w:val="left"/>
      <w:lvlText w:val="•"/>
      <w:numFmt w:val="bullet"/>
      <w:start w:val="1"/>
    </w:lvl>
  </w:abstractNum>
  <w:abstractNum w:abstractNumId="16">
    <w:nsid w:val="6EC9D844"/>
    <w:multiLevelType w:val="hybridMultilevel"/>
    <w:lvl w:ilvl="0">
      <w:lvlJc w:val="left"/>
      <w:lvlText w:val="•"/>
      <w:numFmt w:val="bullet"/>
      <w:start w:val="1"/>
    </w:lvl>
  </w:abstractNum>
  <w:abstractNum w:abstractNumId="17">
    <w:nsid w:val="5C49EAEE"/>
    <w:multiLevelType w:val="hybridMultilevel"/>
    <w:lvl w:ilvl="0">
      <w:lvlJc w:val="left"/>
      <w:lvlText w:val="•"/>
      <w:numFmt w:val="bullet"/>
      <w:start w:val="1"/>
    </w:lvl>
  </w:abstractNum>
  <w:abstractNum w:abstractNumId="18">
    <w:nsid w:val="64AF49B"/>
    <w:multiLevelType w:val="hybridMultilevel"/>
    <w:lvl w:ilvl="0">
      <w:lvlJc w:val="left"/>
      <w:lvlText w:val="•"/>
      <w:numFmt w:val="bullet"/>
      <w:start w:val="1"/>
    </w:lvl>
  </w:abstractNum>
  <w:abstractNum w:abstractNumId="19">
    <w:nsid w:val="397C46BC"/>
    <w:multiLevelType w:val="hybridMultilevel"/>
    <w:lvl w:ilvl="0">
      <w:lvlJc w:val="left"/>
      <w:lvlText w:val="•"/>
      <w:numFmt w:val="bullet"/>
      <w:start w:val="1"/>
    </w:lvl>
  </w:abstractNum>
  <w:abstractNum w:abstractNumId="20">
    <w:nsid w:val="7E448DE9"/>
    <w:multiLevelType w:val="hybridMultilevel"/>
    <w:lvl w:ilvl="0">
      <w:lvlJc w:val="left"/>
      <w:lvlText w:val="•"/>
      <w:numFmt w:val="bullet"/>
      <w:start w:val="1"/>
    </w:lvl>
  </w:abstractNum>
  <w:abstractNum w:abstractNumId="21">
    <w:nsid w:val="5A9CC3E5"/>
    <w:multiLevelType w:val="hybridMultilevel"/>
    <w:lvl w:ilvl="0">
      <w:lvlJc w:val="left"/>
      <w:lvlText w:val="•"/>
      <w:numFmt w:val="bullet"/>
      <w:start w:val="1"/>
    </w:lvl>
  </w:abstractNum>
  <w:abstractNum w:abstractNumId="22">
    <w:nsid w:val="1AFE3625"/>
    <w:multiLevelType w:val="hybridMultilevel"/>
    <w:lvl w:ilvl="0">
      <w:lvlJc w:val="left"/>
      <w:lvlText w:val="•"/>
      <w:numFmt w:val="bullet"/>
      <w:start w:val="1"/>
    </w:lvl>
  </w:abstractNum>
  <w:abstractNum w:abstractNumId="23">
    <w:nsid w:val="3CA88ECF"/>
    <w:multiLevelType w:val="hybridMultilevel"/>
    <w:lvl w:ilvl="0">
      <w:lvlJc w:val="left"/>
      <w:lvlText w:val="•"/>
      <w:numFmt w:val="bullet"/>
      <w:start w:val="1"/>
    </w:lvl>
  </w:abstractNum>
  <w:abstractNum w:abstractNumId="24">
    <w:nsid w:val="6EBE4208"/>
    <w:multiLevelType w:val="hybridMultilevel"/>
    <w:lvl w:ilvl="0">
      <w:lvlJc w:val="left"/>
      <w:lvlText w:val="(%1)"/>
      <w:numFmt w:val="lowerRoman"/>
      <w:start w:val="2"/>
    </w:lvl>
  </w:abstractNum>
  <w:abstractNum w:abstractNumId="25">
    <w:nsid w:val="C058DF5"/>
    <w:multiLevelType w:val="hybridMultilevel"/>
    <w:lvl w:ilvl="0">
      <w:lvlJc w:val="left"/>
      <w:lvlText w:val="•"/>
      <w:numFmt w:val="bullet"/>
      <w:start w:val="1"/>
    </w:lvl>
  </w:abstractNum>
  <w:abstractNum w:abstractNumId="26">
    <w:nsid w:val="CBE5BE9"/>
    <w:multiLevelType w:val="hybridMultilevel"/>
    <w:lvl w:ilvl="0">
      <w:lvlJc w:val="left"/>
      <w:lvlText w:val="·"/>
      <w:numFmt w:val="bullet"/>
      <w:start w:val="1"/>
    </w:lvl>
  </w:abstractNum>
  <w:abstractNum w:abstractNumId="27">
    <w:nsid w:val="3102BBE2"/>
    <w:multiLevelType w:val="hybridMultilevel"/>
    <w:lvl w:ilvl="0">
      <w:lvlJc w:val="left"/>
      <w:lvlText w:val="(%1)"/>
      <w:numFmt w:val="decimal"/>
      <w:start w:val="1"/>
    </w:lvl>
  </w:abstractNum>
  <w:abstractNum w:abstractNumId="28">
    <w:nsid w:val="26A02C5E"/>
    <w:multiLevelType w:val="hybridMultilevel"/>
    <w:lvl w:ilvl="0">
      <w:lvlJc w:val="left"/>
      <w:lvlText w:val="•"/>
      <w:numFmt w:val="bullet"/>
      <w:start w:val="1"/>
    </w:lvl>
    <w:lvl w:ilvl="1">
      <w:lvlJc w:val="left"/>
      <w:lvlText w:val="▪"/>
      <w:numFmt w:val="bullet"/>
      <w:start w:val="1"/>
    </w:lvl>
  </w:abstractNum>
  <w:abstractNum w:abstractNumId="29">
    <w:nsid w:val="541C8153"/>
    <w:multiLevelType w:val="hybridMultilevel"/>
    <w:lvl w:ilvl="0">
      <w:lvlJc w:val="left"/>
      <w:lvlText w:val="o"/>
      <w:numFmt w:val="bullet"/>
      <w:start w:val="1"/>
    </w:lvl>
    <w:lvl w:ilvl="1">
      <w:lvlJc w:val="left"/>
      <w:lvlText w:val="▪"/>
      <w:numFmt w:val="bullet"/>
      <w:start w:val="1"/>
    </w:lvl>
  </w:abstractNum>
  <w:abstractNum w:abstractNumId="30">
    <w:nsid w:val="67906F60"/>
    <w:multiLevelType w:val="hybridMultilevel"/>
    <w:lvl w:ilvl="0">
      <w:lvlJc w:val="left"/>
      <w:lvlText w:val="•"/>
      <w:numFmt w:val="bullet"/>
      <w:start w:val="1"/>
    </w:lvl>
  </w:abstractNum>
  <w:abstractNum w:abstractNumId="31">
    <w:nsid w:val="10DB9DAA"/>
    <w:multiLevelType w:val="hybridMultilevel"/>
    <w:lvl w:ilvl="0">
      <w:lvlJc w:val="left"/>
      <w:lvlText w:val="•"/>
      <w:numFmt w:val="bullet"/>
      <w:start w:val="1"/>
    </w:lvl>
    <w:lvl w:ilvl="1">
      <w:lvlJc w:val="left"/>
      <w:lvlText w:val="▪"/>
      <w:numFmt w:val="bullet"/>
      <w:start w:val="1"/>
    </w:lvl>
  </w:abstractNum>
  <w:abstractNum w:abstractNumId="32">
    <w:nsid w:val="697D2D2"/>
    <w:multiLevelType w:val="hybridMultilevel"/>
    <w:lvl w:ilvl="0">
      <w:lvlJc w:val="left"/>
      <w:lvlText w:val="o"/>
      <w:numFmt w:val="bullet"/>
      <w:start w:val="1"/>
    </w:lvl>
  </w:abstractNum>
  <w:abstractNum w:abstractNumId="33">
    <w:nsid w:val="6D68AB2"/>
    <w:multiLevelType w:val="hybridMultilevel"/>
    <w:lvl w:ilvl="0">
      <w:lvlJc w:val="left"/>
      <w:lvlText w:val="•"/>
      <w:numFmt w:val="bullet"/>
      <w:start w:val="1"/>
    </w:lvl>
    <w:lvl w:ilvl="1">
      <w:lvlJc w:val="left"/>
      <w:lvlText w:val="•"/>
      <w:numFmt w:val="bullet"/>
      <w:start w:val="1"/>
    </w:lvl>
  </w:abstractNum>
  <w:abstractNum w:abstractNumId="34">
    <w:nsid w:val="3A966CD0"/>
    <w:multiLevelType w:val="hybridMultilevel"/>
    <w:lvl w:ilvl="0">
      <w:lvlJc w:val="left"/>
      <w:lvlText w:val="•"/>
      <w:numFmt w:val="bullet"/>
      <w:start w:val="1"/>
    </w:lvl>
  </w:abstractNum>
  <w:abstractNum w:abstractNumId="35">
    <w:nsid w:val="63F37E85"/>
    <w:multiLevelType w:val="hybridMultilevel"/>
    <w:lvl w:ilvl="0">
      <w:lvlJc w:val="left"/>
      <w:lvlText w:val="•"/>
      <w:numFmt w:val="bullet"/>
      <w:start w:val="1"/>
    </w:lvl>
  </w:abstractNum>
  <w:abstractNum w:abstractNumId="36">
    <w:nsid w:val="5895F5FA"/>
    <w:multiLevelType w:val="hybridMultilevel"/>
    <w:lvl w:ilvl="0">
      <w:lvlJc w:val="left"/>
      <w:lvlText w:val="(%1)"/>
      <w:numFmt w:val="decimal"/>
      <w:start w:val="1"/>
    </w:lvl>
  </w:abstractNum>
  <w:abstractNum w:abstractNumId="37">
    <w:nsid w:val="38A5D054"/>
    <w:multiLevelType w:val="hybridMultilevel"/>
    <w:lvl w:ilvl="0">
      <w:lvlJc w:val="left"/>
      <w:lvlText w:val="•"/>
      <w:numFmt w:val="bullet"/>
      <w:start w:val="1"/>
    </w:lvl>
  </w:abstractNum>
  <w:abstractNum w:abstractNumId="38">
    <w:nsid w:val="F3F09D8"/>
    <w:multiLevelType w:val="hybridMultilevel"/>
    <w:lvl w:ilvl="0">
      <w:lvlJc w:val="left"/>
      <w:lvlText w:val="(%1)"/>
      <w:numFmt w:val="lowerRoman"/>
      <w:start w:val="2"/>
    </w:lvl>
  </w:abstractNum>
  <w:abstractNum w:abstractNumId="39">
    <w:nsid w:val="4B793735"/>
    <w:multiLevelType w:val="hybridMultilevel"/>
    <w:lvl w:ilvl="0">
      <w:lvlJc w:val="left"/>
      <w:lvlText w:val="•"/>
      <w:numFmt w:val="bullet"/>
      <w:start w:val="1"/>
    </w:lvl>
  </w:abstractNum>
  <w:abstractNum w:abstractNumId="40">
    <w:nsid w:val="4A10B4E8"/>
    <w:multiLevelType w:val="hybridMultilevel"/>
    <w:lvl w:ilvl="0">
      <w:lvlJc w:val="left"/>
      <w:lvlText w:val="%1"/>
      <w:numFmt w:val="decimal"/>
      <w:start w:val="1"/>
    </w:lvl>
    <w:lvl w:ilvl="1">
      <w:lvlJc w:val="left"/>
      <w:lvlText w:val="(%2)"/>
      <w:numFmt w:val="decimal"/>
      <w:start w:val="1"/>
    </w:lvl>
  </w:abstractNum>
  <w:abstractNum w:abstractNumId="41">
    <w:nsid w:val="43D3BCD4"/>
    <w:multiLevelType w:val="hybridMultilevel"/>
    <w:lvl w:ilvl="0">
      <w:lvlJc w:val="left"/>
      <w:lvlText w:val="%1."/>
      <w:numFmt w:val="decimal"/>
      <w:start w:val="14"/>
    </w:lvl>
    <w:lvl w:ilvl="1">
      <w:lvlJc w:val="left"/>
      <w:lvlText w:val="%2"/>
      <w:numFmt w:val="decimal"/>
      <w:start w:val="1"/>
    </w:lvl>
  </w:abstractNum>
  <w:abstractNum w:abstractNumId="42">
    <w:nsid w:val="4C2A7166"/>
    <w:multiLevelType w:val="hybridMultilevel"/>
    <w:lvl w:ilvl="0">
      <w:lvlJc w:val="left"/>
      <w:lvlText w:val="(%1)"/>
      <w:numFmt w:val="decimal"/>
      <w:start w:val="1"/>
    </w:lvl>
  </w:abstractNum>
  <w:abstractNum w:abstractNumId="43">
    <w:nsid w:val="2E534A82"/>
    <w:multiLevelType w:val="hybridMultilevel"/>
    <w:lvl w:ilvl="0">
      <w:lvlJc w:val="left"/>
      <w:lvlText w:val="%1."/>
      <w:numFmt w:val="decimal"/>
      <w:start w:val="1"/>
    </w:lvl>
  </w:abstractNum>
  <w:abstractNum w:abstractNumId="44">
    <w:nsid w:val="26F2D364"/>
    <w:multiLevelType w:val="hybridMultilevel"/>
    <w:lvl w:ilvl="0">
      <w:lvlJc w:val="left"/>
      <w:lvlText w:val="%1."/>
      <w:numFmt w:val="decimal"/>
      <w:start w:val="3"/>
    </w:lvl>
  </w:abstractNum>
  <w:abstractNum w:abstractNumId="45">
    <w:nsid w:val="71C1AF98"/>
    <w:multiLevelType w:val="hybridMultilevel"/>
    <w:lvl w:ilvl="0">
      <w:lvlJc w:val="left"/>
      <w:lvlText w:val="*"/>
      <w:numFmt w:val="bullet"/>
      <w:start w:val="1"/>
    </w:lvl>
  </w:abstractNum>
  <w:abstractNum w:abstractNumId="46">
    <w:nsid w:val="3D00B9D9"/>
    <w:multiLevelType w:val="hybridMultilevel"/>
    <w:lvl w:ilvl="0">
      <w:lvlJc w:val="left"/>
      <w:lvlText w:val="**"/>
      <w:numFmt w:val="bullet"/>
      <w:start w:val="1"/>
    </w:lvl>
  </w:abstractNum>
  <w:abstractNum w:abstractNumId="47">
    <w:nsid w:val="15BCABA8"/>
    <w:multiLevelType w:val="hybridMultilevel"/>
    <w:lvl w:ilvl="0">
      <w:lvlJc w:val="left"/>
      <w:lvlText w:val="#"/>
      <w:numFmt w:val="bullet"/>
      <w:start w:val="1"/>
    </w:lvl>
  </w:abstractNum>
  <w:abstractNum w:abstractNumId="48">
    <w:nsid w:val="4E0B9A87"/>
    <w:multiLevelType w:val="hybridMultilevel"/>
    <w:lvl w:ilvl="0">
      <w:lvlJc w:val="left"/>
      <w:lvlText w:val="†"/>
      <w:numFmt w:val="bullet"/>
      <w:start w:val="1"/>
    </w:lvl>
  </w:abstractNum>
  <w:abstractNum w:abstractNumId="49">
    <w:nsid w:val="434BAE75"/>
    <w:multiLevelType w:val="hybridMultilevel"/>
    <w:lvl w:ilvl="0">
      <w:lvlJc w:val="left"/>
      <w:lvlText w:val="%1."/>
      <w:numFmt w:val="decimal"/>
      <w:start w:val="1"/>
    </w:lvl>
    <w:lvl w:ilvl="1">
      <w:lvlJc w:val="left"/>
      <w:lvlText w:val="(%2)"/>
      <w:numFmt w:val="lowerLetter"/>
      <w:start w:val="1"/>
    </w:lvl>
  </w:abstractNum>
  <w:abstractNum w:abstractNumId="50">
    <w:nsid w:val="4F38F265"/>
    <w:multiLevelType w:val="hybridMultilevel"/>
    <w:lvl w:ilvl="0">
      <w:lvlJc w:val="left"/>
      <w:lvlText w:val="(%1)"/>
      <w:numFmt w:val="lowerLetter"/>
      <w:start w:val="3"/>
    </w:lvl>
  </w:abstractNum>
  <w:abstractNum w:abstractNumId="51">
    <w:nsid w:val="4C502870"/>
    <w:multiLevelType w:val="hybridMultilevel"/>
    <w:lvl w:ilvl="0">
      <w:lvlJc w:val="left"/>
      <w:lvlText w:val="%1"/>
      <w:numFmt w:val="decimal"/>
      <w:start w:val="1"/>
    </w:lvl>
    <w:lvl w:ilvl="1">
      <w:lvlJc w:val="left"/>
      <w:lvlText w:val="(%2)"/>
      <w:numFmt w:val="lowerLetter"/>
      <w:start w:val="5"/>
    </w:lvl>
  </w:abstractNum>
  <w:abstractNum w:abstractNumId="52">
    <w:nsid w:val="1DE8725A"/>
    <w:multiLevelType w:val="hybridMultilevel"/>
    <w:lvl w:ilvl="0">
      <w:lvlJc w:val="left"/>
      <w:lvlText w:val="%1."/>
      <w:numFmt w:val="decimal"/>
      <w:start w:val="4"/>
    </w:lvl>
    <w:lvl w:ilvl="1">
      <w:lvlJc w:val="left"/>
      <w:lvlText w:val="(%2)"/>
      <w:numFmt w:val="lowerLetter"/>
      <w:start w:val="1"/>
    </w:lvl>
  </w:abstractNum>
  <w:abstractNum w:abstractNumId="53">
    <w:nsid w:val="6A37288A"/>
    <w:multiLevelType w:val="hybridMultilevel"/>
    <w:lvl w:ilvl="0">
      <w:lvlJc w:val="left"/>
      <w:lvlText w:val="%1"/>
      <w:numFmt w:val="decimal"/>
      <w:start w:val="1"/>
    </w:lvl>
    <w:lvl w:ilvl="1">
      <w:lvlJc w:val="left"/>
      <w:lvlText w:val="(%2)"/>
      <w:numFmt w:val="lowerLetter"/>
      <w:start w:val="3"/>
    </w:lvl>
  </w:abstractNum>
  <w:abstractNum w:abstractNumId="54">
    <w:nsid w:val="8F8B73F"/>
    <w:multiLevelType w:val="hybridMultilevel"/>
    <w:lvl w:ilvl="0">
      <w:lvlJc w:val="left"/>
      <w:lvlText w:val="%1."/>
      <w:numFmt w:val="decimal"/>
      <w:start w:val="5"/>
    </w:lvl>
    <w:lvl w:ilvl="1">
      <w:lvlJc w:val="left"/>
      <w:lvlText w:val="(%2)"/>
      <w:numFmt w:val="lowerLetter"/>
      <w:start w:val="1"/>
    </w:lvl>
  </w:abstractNum>
  <w:abstractNum w:abstractNumId="55">
    <w:nsid w:val="CA6B462"/>
    <w:multiLevelType w:val="hybridMultilevel"/>
    <w:lvl w:ilvl="0">
      <w:lvlJc w:val="left"/>
      <w:lvlText w:val="%1"/>
      <w:numFmt w:val="lowerLetter"/>
      <w:start w:val="1"/>
    </w:lvl>
    <w:lvl w:ilvl="1">
      <w:lvlJc w:val="left"/>
      <w:lvlText w:val="(%2)"/>
      <w:numFmt w:val="lowerRoman"/>
      <w:start w:val="2"/>
    </w:lvl>
  </w:abstractNum>
  <w:abstractNum w:abstractNumId="56">
    <w:nsid w:val="763CB680"/>
    <w:multiLevelType w:val="hybridMultilevel"/>
    <w:lvl w:ilvl="0">
      <w:lvlJc w:val="left"/>
      <w:lvlText w:val="(%1)"/>
      <w:numFmt w:val="lowerLetter"/>
      <w:start w:val="2"/>
    </w:lvl>
    <w:lvl w:ilvl="1">
      <w:lvlJc w:val="left"/>
      <w:lvlText w:val="%2"/>
      <w:numFmt w:val="lowerRoman"/>
      <w:start w:val="1"/>
    </w:lvl>
  </w:abstractNum>
  <w:abstractNum w:abstractNumId="57">
    <w:nsid w:val="15B71329"/>
    <w:multiLevelType w:val="hybridMultilevel"/>
    <w:lvl w:ilvl="0">
      <w:lvlJc w:val="left"/>
      <w:lvlText w:val="%1"/>
      <w:numFmt w:val="decimal"/>
      <w:start w:val="1"/>
    </w:lvl>
    <w:lvl w:ilvl="1">
      <w:lvlJc w:val="left"/>
      <w:lvlText w:val="(%2)"/>
      <w:numFmt w:val="lowerLetter"/>
      <w:start w:val="3"/>
    </w:lvl>
  </w:abstractNum>
  <w:abstractNum w:abstractNumId="58">
    <w:nsid w:val="3DA97044"/>
    <w:multiLevelType w:val="hybridMultilevel"/>
    <w:lvl w:ilvl="0">
      <w:lvlJc w:val="left"/>
      <w:lvlText w:val="%1."/>
      <w:numFmt w:val="decimal"/>
      <w:start w:val="6"/>
    </w:lvl>
    <w:lvl w:ilvl="1">
      <w:lvlJc w:val="left"/>
      <w:lvlText w:val="(%2)"/>
      <w:numFmt w:val="lowerLetter"/>
      <w:start w:val="1"/>
    </w:lvl>
  </w:abstractNum>
  <w:abstractNum w:abstractNumId="59">
    <w:nsid w:val="1CDCE2DE"/>
    <w:multiLevelType w:val="hybridMultilevel"/>
    <w:lvl w:ilvl="0">
      <w:lvlJc w:val="left"/>
      <w:lvlText w:val="%1"/>
      <w:numFmt w:val="decimal"/>
      <w:start w:val="1"/>
    </w:lvl>
    <w:lvl w:ilvl="1">
      <w:lvlJc w:val="left"/>
      <w:lvlText w:val="(%2)"/>
      <w:numFmt w:val="lowerLetter"/>
      <w:start w:val="5"/>
    </w:lvl>
  </w:abstractNum>
  <w:abstractNum w:abstractNumId="60">
    <w:nsid w:val="69D3947C"/>
    <w:multiLevelType w:val="hybridMultilevel"/>
    <w:lvl w:ilvl="0">
      <w:lvlJc w:val="left"/>
      <w:lvlText w:val="%1."/>
      <w:numFmt w:val="decimal"/>
      <w:start w:val="9"/>
    </w:lvl>
    <w:lvl w:ilvl="1">
      <w:lvlJc w:val="left"/>
      <w:lvlText w:val="(%2)"/>
      <w:numFmt w:val="lowerLetter"/>
      <w:start w:val="1"/>
    </w:lvl>
  </w:abstractNum>
  <w:abstractNum w:abstractNumId="61">
    <w:nsid w:val="2539DFA5"/>
    <w:multiLevelType w:val="hybridMultilevel"/>
    <w:lvl w:ilvl="0">
      <w:lvlJc w:val="left"/>
      <w:lvlText w:val="%1"/>
      <w:numFmt w:val="decimal"/>
      <w:start w:val="1"/>
    </w:lvl>
    <w:lvl w:ilvl="1">
      <w:lvlJc w:val="left"/>
      <w:lvlText w:val="(%2)"/>
      <w:numFmt w:val="lowerLetter"/>
      <w:start w:val="2"/>
    </w:lvl>
  </w:abstractNum>
  <w:abstractNum w:abstractNumId="62">
    <w:nsid w:val="2DB88089"/>
    <w:multiLevelType w:val="hybridMultilevel"/>
    <w:lvl w:ilvl="0">
      <w:lvlJc w:val="left"/>
      <w:lvlText w:val="%1."/>
      <w:numFmt w:val="decimal"/>
      <w:start w:val="10"/>
    </w:lvl>
    <w:lvl w:ilvl="1">
      <w:lvlJc w:val="left"/>
      <w:lvlText w:val="%2"/>
      <w:numFmt w:val="lowerLetter"/>
      <w:start w:val="1"/>
    </w:lvl>
  </w:abstractNum>
  <w:abstractNum w:abstractNumId="63">
    <w:nsid w:val="706B674E"/>
    <w:multiLevelType w:val="hybridMultilevel"/>
    <w:lvl w:ilvl="0">
      <w:lvlJc w:val="left"/>
      <w:lvlText w:val="%1."/>
      <w:numFmt w:val="decimal"/>
      <w:start w:val="13"/>
    </w:lvl>
    <w:lvl w:ilvl="1">
      <w:lvlJc w:val="left"/>
      <w:lvlText w:val="(%2)"/>
      <w:numFmt w:val="lowerLetter"/>
      <w:start w:val="1"/>
    </w:lvl>
  </w:abstractNum>
  <w:abstractNum w:abstractNumId="64">
    <w:nsid w:val="2C106A57"/>
    <w:multiLevelType w:val="hybridMultilevel"/>
    <w:lvl w:ilvl="0">
      <w:lvlJc w:val="left"/>
      <w:lvlText w:val="%1."/>
      <w:numFmt w:val="decimal"/>
      <w:start w:val="17"/>
    </w:lvl>
  </w:abstractNum>
  <w:abstractNum w:abstractNumId="65">
    <w:nsid w:val="684EED59"/>
    <w:multiLevelType w:val="hybridMultilevel"/>
    <w:lvl w:ilvl="0">
      <w:lvlJc w:val="left"/>
      <w:lvlText w:val="%1."/>
      <w:numFmt w:val="decimal"/>
      <w:start w:val="20"/>
    </w:lvl>
  </w:abstractNum>
  <w:abstractNum w:abstractNumId="66">
    <w:nsid w:val="545EE5D3"/>
    <w:multiLevelType w:val="hybridMultilevel"/>
    <w:lvl w:ilvl="0">
      <w:lvlJc w:val="left"/>
      <w:lvlText w:val="%1."/>
      <w:numFmt w:val="decimal"/>
      <w:start w:val="1"/>
    </w:lvl>
    <w:lvl w:ilvl="1">
      <w:lvlJc w:val="left"/>
      <w:lvlText w:val="(%2)"/>
      <w:numFmt w:val="lowerLetter"/>
      <w:start w:val="1"/>
    </w:lvl>
  </w:abstractNum>
  <w:abstractNum w:abstractNumId="67">
    <w:nsid w:val="4A66051"/>
    <w:multiLevelType w:val="hybridMultilevel"/>
    <w:lvl w:ilvl="0">
      <w:lvlJc w:val="left"/>
      <w:lvlText w:val="(%1)"/>
      <w:numFmt w:val="lowerLetter"/>
      <w:start w:val="2"/>
    </w:lvl>
  </w:abstractNum>
  <w:abstractNum w:abstractNumId="68">
    <w:nsid w:val="20F4BDAD"/>
    <w:multiLevelType w:val="hybridMultilevel"/>
    <w:lvl w:ilvl="0">
      <w:lvlJc w:val="left"/>
      <w:lvlText w:val="%1"/>
      <w:numFmt w:val="decimal"/>
      <w:start w:val="1"/>
    </w:lvl>
    <w:lvl w:ilvl="1">
      <w:lvlJc w:val="left"/>
      <w:lvlText w:val="(%2)"/>
      <w:numFmt w:val="lowerLetter"/>
      <w:start w:val="3"/>
    </w:lvl>
  </w:abstractNum>
  <w:abstractNum w:abstractNumId="69">
    <w:nsid w:val="639DEFAC"/>
    <w:multiLevelType w:val="hybridMultilevel"/>
    <w:lvl w:ilvl="0">
      <w:lvlJc w:val="left"/>
      <w:lvlText w:val="%1."/>
      <w:numFmt w:val="decimal"/>
      <w:start w:val="3"/>
    </w:lvl>
    <w:lvl w:ilvl="1">
      <w:lvlJc w:val="left"/>
      <w:lvlText w:val="%2"/>
      <w:numFmt w:val="lowerLetter"/>
      <w:start w:val="1"/>
    </w:lvl>
  </w:abstractNum>
  <w:abstractNum w:abstractNumId="70">
    <w:nsid w:val="501F9786"/>
    <w:multiLevelType w:val="hybridMultilevel"/>
    <w:lvl w:ilvl="0">
      <w:lvlJc w:val="left"/>
      <w:lvlText w:val="%1."/>
      <w:numFmt w:val="decimal"/>
      <w:start w:val="4"/>
    </w:lvl>
    <w:lvl w:ilvl="1">
      <w:lvlJc w:val="left"/>
      <w:lvlText w:val="(%2)"/>
      <w:numFmt w:val="lowerLetter"/>
      <w:start w:val="1"/>
    </w:lvl>
  </w:abstractNum>
  <w:abstractNum w:abstractNumId="71">
    <w:nsid w:val="6B057295"/>
    <w:multiLevelType w:val="hybridMultilevel"/>
    <w:lvl w:ilvl="0">
      <w:lvlJc w:val="left"/>
      <w:lvlText w:val="%1."/>
      <w:numFmt w:val="decimal"/>
      <w:start w:val="8"/>
    </w:lvl>
    <w:lvl w:ilvl="1">
      <w:lvlJc w:val="left"/>
      <w:lvlText w:val="(%2)"/>
      <w:numFmt w:val="lowerLetter"/>
      <w:start w:val="1"/>
    </w:lvl>
  </w:abstractNum>
  <w:abstractNum w:abstractNumId="72">
    <w:nsid w:val="2771AC80"/>
    <w:multiLevelType w:val="hybridMultilevel"/>
    <w:lvl w:ilvl="0">
      <w:lvlJc w:val="left"/>
      <w:lvlText w:val="%1."/>
      <w:numFmt w:val="decimal"/>
      <w:start w:val="10"/>
    </w:lvl>
  </w:abstractNum>
  <w:abstractNum w:abstractNumId="73">
    <w:nsid w:val="1C4A08EC"/>
    <w:multiLevelType w:val="hybridMultilevel"/>
    <w:lvl w:ilvl="0">
      <w:lvlJc w:val="left"/>
      <w:lvlText w:val="%1."/>
      <w:numFmt w:val="decimal"/>
      <w:start w:val="12"/>
    </w:lvl>
  </w:abstractNum>
  <w:abstractNum w:abstractNumId="74">
    <w:nsid w:val="1958BD17"/>
    <w:multiLevelType w:val="hybridMultilevel"/>
    <w:lvl w:ilvl="0">
      <w:lvlJc w:val="left"/>
      <w:lvlText w:val="%1."/>
      <w:numFmt w:val="decimal"/>
      <w:start w:val="15"/>
    </w:lvl>
  </w:abstractNum>
  <w:abstractNum w:abstractNumId="75">
    <w:nsid w:val="4E647FE4"/>
    <w:multiLevelType w:val="hybridMultilevel"/>
    <w:lvl w:ilvl="0">
      <w:lvlJc w:val="left"/>
      <w:lvlText w:val="(%1)"/>
      <w:numFmt w:val="lowerRoman"/>
      <w:start w:val="1"/>
    </w:lvl>
  </w:abstractNum>
  <w:abstractNum w:abstractNumId="76">
    <w:nsid w:val="E0BB885"/>
    <w:multiLevelType w:val="hybridMultilevel"/>
    <w:lvl w:ilvl="0">
      <w:lvlJc w:val="left"/>
      <w:lvlText w:val="(%1)"/>
      <w:numFmt w:val="lowerRoman"/>
      <w:start w:val="5"/>
    </w:lvl>
  </w:abstractNum>
  <w:abstractNum w:abstractNumId="77">
    <w:nsid w:val="565976F1"/>
    <w:multiLevelType w:val="hybridMultilevel"/>
    <w:lvl w:ilvl="0">
      <w:lvlJc w:val="left"/>
      <w:lvlText w:val="(%1)"/>
      <w:numFmt w:val="upperLetter"/>
      <w:start w:val="2"/>
    </w:lvl>
  </w:abstractNum>
  <w:abstractNum w:abstractNumId="78">
    <w:nsid w:val="64212B8C"/>
    <w:multiLevelType w:val="hybridMultilevel"/>
    <w:lvl w:ilvl="0">
      <w:lvlJc w:val="left"/>
      <w:lvlText w:val="(%1)"/>
      <w:numFmt w:val="decimal"/>
      <w:start w:val="1"/>
    </w:lvl>
  </w:abstractNum>
  <w:abstractNum w:abstractNumId="79">
    <w:nsid w:val="5C17530C"/>
    <w:multiLevelType w:val="hybridMultilevel"/>
    <w:lvl w:ilvl="0">
      <w:lvlJc w:val="left"/>
      <w:lvlText w:val="(%1)"/>
      <w:numFmt w:val="lowerLetter"/>
      <w:start w:val="2"/>
    </w:lvl>
  </w:abstractNum>
  <w:abstractNum w:abstractNumId="80">
    <w:nsid w:val="19A52566"/>
    <w:multiLevelType w:val="hybridMultilevel"/>
    <w:lvl w:ilvl="0">
      <w:lvlJc w:val="left"/>
      <w:lvlText w:val="(%1)"/>
      <w:numFmt w:val="lowerLetter"/>
      <w:start w:val="1"/>
    </w:lvl>
  </w:abstractNum>
  <w:abstractNum w:abstractNumId="81">
    <w:nsid w:val="335A1DF1"/>
    <w:multiLevelType w:val="hybridMultilevel"/>
    <w:lvl w:ilvl="0">
      <w:lvlJc w:val="left"/>
      <w:lvlText w:val="(%1)"/>
      <w:numFmt w:val="lowerLetter"/>
      <w:start w:val="2"/>
    </w:lvl>
  </w:abstractNum>
  <w:abstractNum w:abstractNumId="82">
    <w:nsid w:val="28677B7C"/>
    <w:multiLevelType w:val="hybridMultilevel"/>
    <w:lvl w:ilvl="0">
      <w:lvlJc w:val="left"/>
      <w:lvlText w:val="(%1)"/>
      <w:numFmt w:val="lowerLetter"/>
      <w:start w:val="1"/>
    </w:lvl>
  </w:abstractNum>
  <w:abstractNum w:abstractNumId="83">
    <w:nsid w:val="378D97C0"/>
    <w:multiLevelType w:val="hybridMultilevel"/>
    <w:lvl w:ilvl="0">
      <w:lvlJc w:val="left"/>
      <w:lvlText w:val="(%1)"/>
      <w:numFmt w:val="lowerLetter"/>
      <w:start w:val="3"/>
    </w:lvl>
  </w:abstractNum>
  <w:abstractNum w:abstractNumId="84">
    <w:nsid w:val="1D91467C"/>
    <w:multiLevelType w:val="hybridMultilevel"/>
    <w:lvl w:ilvl="0">
      <w:lvlJc w:val="left"/>
      <w:lvlText w:val="(%1)"/>
      <w:numFmt w:val="decimal"/>
      <w:start w:val="30"/>
    </w:lvl>
  </w:abstractNum>
  <w:abstractNum w:abstractNumId="85">
    <w:nsid w:val="316032BB"/>
    <w:multiLevelType w:val="hybridMultilevel"/>
    <w:lvl w:ilvl="0">
      <w:lvlJc w:val="left"/>
      <w:lvlText w:val="(%1)"/>
      <w:numFmt w:val="lowerLetter"/>
      <w:start w:val="1"/>
    </w:lvl>
  </w:abstractNum>
  <w:abstractNum w:abstractNumId="86">
    <w:nsid w:val="44344C22"/>
    <w:multiLevelType w:val="hybridMultilevel"/>
    <w:lvl w:ilvl="0">
      <w:lvlJc w:val="left"/>
      <w:lvlText w:val="(%1)"/>
      <w:numFmt w:val="lowerLetter"/>
      <w:start w:val="3"/>
    </w:lvl>
  </w:abstractNum>
  <w:abstractNum w:abstractNumId="87">
    <w:nsid w:val="13CDFCFC"/>
    <w:multiLevelType w:val="hybridMultilevel"/>
    <w:lvl w:ilvl="0">
      <w:lvlJc w:val="left"/>
      <w:lvlText w:val="(%1)"/>
      <w:numFmt w:val="lowerLetter"/>
      <w:start w:val="5"/>
    </w:lvl>
  </w:abstractNum>
  <w:abstractNum w:abstractNumId="88">
    <w:nsid w:val="471745E4"/>
    <w:multiLevelType w:val="hybridMultilevel"/>
    <w:lvl w:ilvl="0">
      <w:lvlJc w:val="left"/>
      <w:lvlText w:val="(%1)"/>
      <w:numFmt w:val="lowerLetter"/>
      <w:start w:val="1"/>
    </w:lvl>
  </w:abstractNum>
  <w:abstractNum w:abstractNumId="89">
    <w:nsid w:val="1DDBC66"/>
    <w:multiLevelType w:val="hybridMultilevel"/>
    <w:lvl w:ilvl="0">
      <w:lvlJc w:val="left"/>
      <w:lvlText w:val="(%1)"/>
      <w:numFmt w:val="upperLetter"/>
      <w:start w:val="2"/>
    </w:lvl>
  </w:abstractNum>
  <w:abstractNum w:abstractNumId="90">
    <w:nsid w:val="30AADFDA"/>
    <w:multiLevelType w:val="hybridMultilevel"/>
    <w:lvl w:ilvl="0">
      <w:lvlJc w:val="left"/>
      <w:lvlText w:val="(%1)"/>
      <w:numFmt w:val="lowerLetter"/>
      <w:start w:val="1"/>
    </w:lvl>
  </w:abstractNum>
  <w:abstractNum w:abstractNumId="91">
    <w:nsid w:val="30EADA61"/>
    <w:multiLevelType w:val="hybridMultilevel"/>
    <w:lvl w:ilvl="0">
      <w:lvlJc w:val="left"/>
      <w:lvlText w:val="(%1)"/>
      <w:numFmt w:val="lowerLetter"/>
      <w:start w:val="6"/>
    </w:lvl>
  </w:abstractNum>
  <w:abstractNum w:abstractNumId="92">
    <w:nsid w:val="27179C0B"/>
    <w:multiLevelType w:val="hybridMultilevel"/>
    <w:lvl w:ilvl="0">
      <w:lvlJc w:val="left"/>
      <w:lvlText w:val="(%1)"/>
      <w:numFmt w:val="lowerLetter"/>
      <w:start w:val="2"/>
    </w:lvl>
  </w:abstractNum>
  <w:abstractNum w:abstractNumId="93">
    <w:nsid w:val="5E636063"/>
    <w:multiLevelType w:val="hybridMultilevel"/>
    <w:lvl w:ilvl="0">
      <w:lvlJc w:val="left"/>
      <w:lvlText w:val="(%1)"/>
      <w:numFmt w:val="lowerLetter"/>
      <w:start w:val="1"/>
    </w:lvl>
  </w:abstractNum>
  <w:abstractNum w:abstractNumId="94">
    <w:nsid w:val="215641AF"/>
    <w:multiLevelType w:val="hybridMultilevel"/>
    <w:lvl w:ilvl="0">
      <w:lvlJc w:val="left"/>
      <w:lvlText w:val="%1"/>
      <w:numFmt w:val="lowerLetter"/>
      <w:start w:val="1"/>
    </w:lvl>
    <w:lvl w:ilvl="1">
      <w:lvlJc w:val="left"/>
      <w:lvlText w:val="(%2)"/>
      <w:numFmt w:val="lowerLetter"/>
      <w:start w:val="5"/>
    </w:lvl>
  </w:abstractNum>
  <w:abstractNum w:abstractNumId="95">
    <w:nsid w:val="53280662"/>
    <w:multiLevelType w:val="hybridMultilevel"/>
    <w:lvl w:ilvl="0">
      <w:lvlJc w:val="left"/>
      <w:lvlText w:val="(%1)"/>
      <w:numFmt w:val="lowerLetter"/>
      <w:start w:val="35"/>
    </w:lvl>
    <w:lvl w:ilvl="1">
      <w:lvlJc w:val="left"/>
      <w:lvlText w:val="%2"/>
      <w:numFmt w:val="lowerLetter"/>
      <w:start w:val="1"/>
    </w:lvl>
  </w:abstractNum>
  <w:abstractNum w:abstractNumId="96">
    <w:nsid w:val="46B24DBC"/>
    <w:multiLevelType w:val="hybridMultilevel"/>
    <w:lvl w:ilvl="0">
      <w:lvlJc w:val="left"/>
      <w:lvlText w:val="(%1)"/>
      <w:numFmt w:val="decimal"/>
      <w:start w:val="1"/>
    </w:lvl>
  </w:abstractNum>
  <w:abstractNum w:abstractNumId="97">
    <w:nsid w:val="75B5278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8">
    <w:nsid w:val="57CE66B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9">
    <w:nsid w:val="67A70B69"/>
    <w:multiLevelType w:val="hybridMultilevel"/>
    <w:lvl w:ilvl="0">
      <w:lvlJc w:val="left"/>
      <w:lvlText w:val="(%1)"/>
      <w:numFmt w:val="lowerRoman"/>
      <w:start w:val="6"/>
    </w:lvl>
  </w:abstractNum>
  <w:abstractNum w:abstractNumId="100">
    <w:nsid w:val="5953172F"/>
    <w:multiLevelType w:val="hybridMultilevel"/>
    <w:lvl w:ilvl="0">
      <w:lvlJc w:val="left"/>
      <w:lvlText w:val="(%1)"/>
      <w:numFmt w:val="lowerRoman"/>
      <w:start w:val="14"/>
    </w:lvl>
  </w:abstractNum>
  <w:abstractNum w:abstractNumId="101">
    <w:nsid w:val="27EDFE3A"/>
    <w:multiLevelType w:val="hybridMultilevel"/>
    <w:lvl w:ilvl="0">
      <w:lvlJc w:val="left"/>
      <w:lvlText w:val="(%1)"/>
      <w:numFmt w:val="lowerLetter"/>
      <w:start w:val="2"/>
    </w:lvl>
  </w:abstractNum>
  <w:abstractNum w:abstractNumId="102">
    <w:nsid w:val="52AC7DFF"/>
    <w:multiLevelType w:val="hybridMultilevel"/>
    <w:lvl w:ilvl="0">
      <w:lvlJc w:val="left"/>
      <w:lvlText w:val="(%1)"/>
      <w:numFmt w:val="lowerLetter"/>
      <w:start w:val="3"/>
    </w:lvl>
  </w:abstractNum>
  <w:abstractNum w:abstractNumId="103">
    <w:nsid w:val="C4C3AF"/>
    <w:multiLevelType w:val="hybridMultilevel"/>
    <w:lvl w:ilvl="0">
      <w:lvlJc w:val="left"/>
      <w:lvlText w:val="(%1)"/>
      <w:numFmt w:val="lowerLetter"/>
      <w:start w:val="4"/>
    </w:lvl>
    <w:lvl w:ilvl="1">
      <w:lvlJc w:val="left"/>
      <w:lvlText w:val="(%2)"/>
      <w:numFmt w:val="lowerRoman"/>
      <w:start w:val="1"/>
    </w:lvl>
  </w:abstractNum>
  <w:abstractNum w:abstractNumId="104">
    <w:nsid w:val="44380727"/>
    <w:multiLevelType w:val="hybridMultilevel"/>
    <w:lvl w:ilvl="0">
      <w:lvlJc w:val="left"/>
      <w:lvlText w:val="(%1)"/>
      <w:numFmt w:val="upperLetter"/>
      <w:start w:val="9"/>
    </w:lvl>
  </w:abstractNum>
  <w:abstractNum w:abstractNumId="105">
    <w:nsid w:val="6C053B16"/>
    <w:multiLevelType w:val="hybridMultilevel"/>
    <w:lvl w:ilvl="0">
      <w:lvlJc w:val="left"/>
      <w:lvlText w:val="(%1)"/>
      <w:numFmt w:val="upperLetter"/>
      <w:start w:val="35"/>
    </w:lvl>
  </w:abstractNum>
  <w:abstractNum w:abstractNumId="106">
    <w:nsid w:val="4F294393"/>
    <w:multiLevelType w:val="hybridMultilevel"/>
    <w:lvl w:ilvl="0">
      <w:lvlJc w:val="left"/>
      <w:lvlText w:val="(%1)"/>
      <w:numFmt w:val="upperLetter"/>
      <w:start w:val="61"/>
    </w:lvl>
  </w:abstractNum>
  <w:abstractNum w:abstractNumId="107">
    <w:nsid w:val="5243BFAC"/>
    <w:multiLevelType w:val="hybridMultilevel"/>
    <w:lvl w:ilvl="0">
      <w:lvlJc w:val="left"/>
      <w:lvlText w:val="(%1)"/>
      <w:numFmt w:val="upperLetter"/>
      <w:start w:val="22"/>
    </w:lvl>
  </w:abstractNum>
  <w:abstractNum w:abstractNumId="108">
    <w:nsid w:val="425EB207"/>
    <w:multiLevelType w:val="hybridMultilevel"/>
    <w:lvl w:ilvl="0">
      <w:lvlJc w:val="left"/>
      <w:lvlText w:val="(%1)"/>
      <w:numFmt w:val="lowerLetter"/>
      <w:start w:val="1"/>
    </w:lvl>
  </w:abstractNum>
  <w:abstractNum w:abstractNumId="109">
    <w:nsid w:val="334A6F1F"/>
    <w:multiLevelType w:val="hybridMultilevel"/>
    <w:lvl w:ilvl="0">
      <w:lvlJc w:val="left"/>
      <w:lvlText w:val="(%1)"/>
      <w:numFmt w:val="lowerLetter"/>
      <w:start w:val="5"/>
    </w:lvl>
  </w:abstractNum>
  <w:abstractNum w:abstractNumId="110">
    <w:nsid w:val="2E5B12B8"/>
    <w:multiLevelType w:val="hybridMultilevel"/>
    <w:lvl w:ilvl="0">
      <w:lvlJc w:val="left"/>
      <w:lvlText w:val="(%1)"/>
      <w:numFmt w:val="lowerRoman"/>
      <w:start w:val="1"/>
    </w:lvl>
  </w:abstractNum>
  <w:abstractNum w:abstractNumId="111">
    <w:nsid w:val="5C03D76D"/>
    <w:multiLevelType w:val="hybridMultilevel"/>
    <w:lvl w:ilvl="0">
      <w:lvlJc w:val="left"/>
      <w:lvlText w:val="(%1)"/>
      <w:numFmt w:val="lowerLetter"/>
      <w:start w:val="3"/>
    </w:lvl>
  </w:abstractNum>
  <w:abstractNum w:abstractNumId="112">
    <w:nsid w:val="66A48D11"/>
    <w:multiLevelType w:val="hybridMultilevel"/>
    <w:lvl w:ilvl="0">
      <w:lvlJc w:val="left"/>
      <w:lvlText w:val="(%1)"/>
      <w:numFmt w:val="lowerLetter"/>
      <w:start w:val="1"/>
    </w:lvl>
  </w:abstractNum>
  <w:abstractNum w:abstractNumId="113">
    <w:nsid w:val="56C28E34"/>
    <w:multiLevelType w:val="hybridMultilevel"/>
    <w:lvl w:ilvl="0">
      <w:lvlJc w:val="left"/>
      <w:lvlText w:val="(%1)"/>
      <w:numFmt w:val="lowerRoman"/>
      <w:start w:val="3"/>
    </w:lvl>
  </w:abstractNum>
  <w:abstractNum w:abstractNumId="114">
    <w:nsid w:val="13916F2D"/>
    <w:multiLevelType w:val="hybridMultilevel"/>
    <w:lvl w:ilvl="0">
      <w:lvlJc w:val="left"/>
      <w:lvlText w:val="(%1)"/>
      <w:numFmt w:val="lowerLetter"/>
      <w:start w:val="1"/>
    </w:lvl>
  </w:abstractNum>
  <w:abstractNum w:abstractNumId="115">
    <w:nsid w:val="435D38D"/>
    <w:multiLevelType w:val="hybridMultilevel"/>
    <w:lvl w:ilvl="0">
      <w:lvlJc w:val="left"/>
      <w:lvlText w:val="(%1)"/>
      <w:numFmt w:val="lowerRoman"/>
      <w:start w:val="1"/>
    </w:lvl>
  </w:abstractNum>
  <w:abstractNum w:abstractNumId="116">
    <w:nsid w:val="822C0EF"/>
    <w:multiLevelType w:val="hybridMultilevel"/>
    <w:lvl w:ilvl="0">
      <w:lvlJc w:val="left"/>
      <w:lvlText w:val="(%1)"/>
      <w:numFmt w:val="lowerRoman"/>
      <w:start w:val="2"/>
    </w:lvl>
  </w:abstractNum>
  <w:abstractNum w:abstractNumId="117">
    <w:nsid w:val="57C5BB4F"/>
    <w:multiLevelType w:val="hybridMultilevel"/>
    <w:lvl w:ilvl="0">
      <w:lvlJc w:val="left"/>
      <w:lvlText w:val="(%1)"/>
      <w:numFmt w:val="lowerRoman"/>
      <w:start w:val="2"/>
    </w:lvl>
  </w:abstractNum>
  <w:abstractNum w:abstractNumId="118">
    <w:nsid w:val="1803D08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9">
    <w:nsid w:val="4F3A06D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20">
    <w:nsid w:val="59A377B6"/>
    <w:multiLevelType w:val="hybridMultilevel"/>
    <w:lvl w:ilvl="0">
      <w:lvlJc w:val="left"/>
      <w:lvlText w:val="(%1)"/>
      <w:numFmt w:val="lowerRoman"/>
      <w:start w:val="2"/>
    </w:lvl>
  </w:abstractNum>
  <w:abstractNum w:abstractNumId="121">
    <w:nsid w:val="48AEB063"/>
    <w:multiLevelType w:val="hybridMultilevel"/>
    <w:lvl w:ilvl="0">
      <w:lvlJc w:val="left"/>
      <w:lvlText w:val="(%1)"/>
      <w:numFmt w:val="lowerLetter"/>
      <w:start w:val="4"/>
    </w:lvl>
  </w:abstractNum>
  <w:abstractNum w:abstractNumId="122">
    <w:nsid w:val="24E135"/>
    <w:multiLevelType w:val="hybridMultilevel"/>
    <w:lvl w:ilvl="0">
      <w:lvlJc w:val="left"/>
      <w:lvlText w:val="(%1)"/>
      <w:numFmt w:val="lowerLetter"/>
      <w:start w:val="1"/>
    </w:lvl>
  </w:abstractNum>
  <w:abstractNum w:abstractNumId="123">
    <w:nsid w:val="BB13C1"/>
    <w:multiLevelType w:val="hybridMultilevel"/>
    <w:lvl w:ilvl="0">
      <w:lvlJc w:val="left"/>
      <w:lvlText w:val="(%1)"/>
      <w:numFmt w:val="upperLetter"/>
      <w:start w:val="2"/>
    </w:lvl>
  </w:abstractNum>
  <w:abstractNum w:abstractNumId="124">
    <w:nsid w:val="271210C7"/>
    <w:multiLevelType w:val="hybridMultilevel"/>
    <w:lvl w:ilvl="0">
      <w:lvlJc w:val="left"/>
      <w:lvlText w:val="(%1)"/>
      <w:numFmt w:val="lowerLetter"/>
      <w:start w:val="6"/>
    </w:lvl>
  </w:abstractNum>
  <w:abstractNum w:abstractNumId="125">
    <w:nsid w:val="217B22E4"/>
    <w:multiLevelType w:val="hybridMultilevel"/>
    <w:lvl w:ilvl="0">
      <w:lvlJc w:val="left"/>
      <w:lvlText w:val="(%1)"/>
      <w:numFmt w:val="lowerLetter"/>
      <w:start w:val="2"/>
    </w:lvl>
  </w:abstractNum>
  <w:abstractNum w:abstractNumId="126">
    <w:nsid w:val="53E31A24"/>
    <w:multiLevelType w:val="hybridMultilevel"/>
    <w:lvl w:ilvl="0">
      <w:lvlJc w:val="left"/>
      <w:lvlText w:val="(%1)"/>
      <w:numFmt w:val="lowerLetter"/>
      <w:start w:val="1"/>
    </w:lvl>
  </w:abstractNum>
  <w:abstractNum w:abstractNumId="127">
    <w:nsid w:val="6DC45E83"/>
    <w:multiLevelType w:val="hybridMultilevel"/>
    <w:lvl w:ilvl="0">
      <w:lvlJc w:val="left"/>
      <w:lvlText w:val="(%1)"/>
      <w:numFmt w:val="lowerLetter"/>
      <w:start w:val="4"/>
    </w:lvl>
  </w:abstractNum>
  <w:abstractNum w:abstractNumId="128">
    <w:nsid w:val="17304A67"/>
    <w:multiLevelType w:val="hybridMultilevel"/>
    <w:lvl w:ilvl="0">
      <w:lvlJc w:val="left"/>
      <w:lvlText w:val="(%1)"/>
      <w:numFmt w:val="lowerLetter"/>
      <w:start w:val="1"/>
    </w:lvl>
  </w:abstractNum>
  <w:abstractNum w:abstractNumId="129">
    <w:nsid w:val="2BB180D8"/>
    <w:multiLevelType w:val="hybridMultilevel"/>
    <w:lvl w:ilvl="0">
      <w:lvlJc w:val="left"/>
      <w:lvlText w:val="(%1)"/>
      <w:numFmt w:val="lowerLetter"/>
      <w:start w:val="7"/>
    </w:lvl>
  </w:abstractNum>
  <w:abstractNum w:abstractNumId="130">
    <w:nsid w:val="556B69ED"/>
    <w:multiLevelType w:val="hybridMultilevel"/>
    <w:lvl w:ilvl="0">
      <w:lvlJc w:val="left"/>
      <w:lvlText w:val="(%1)"/>
      <w:numFmt w:val="lowerLetter"/>
      <w:start w:val="17"/>
    </w:lvl>
  </w:abstractNum>
  <w:abstractNum w:abstractNumId="131">
    <w:nsid w:val="70836196"/>
    <w:multiLevelType w:val="hybridMultilevel"/>
    <w:lvl w:ilvl="0">
      <w:lvlJc w:val="left"/>
      <w:lvlText w:val="%1"/>
      <w:numFmt w:val="lowerLetter"/>
      <w:start w:val="1"/>
    </w:lvl>
    <w:lvl w:ilvl="1">
      <w:lvlJc w:val="left"/>
      <w:lvlText w:val="(%2)"/>
      <w:numFmt w:val="lowerLetter"/>
      <w:start w:val="1"/>
    </w:lvl>
  </w:abstractNum>
  <w:abstractNum w:abstractNumId="132">
    <w:nsid w:val="539F7F12"/>
    <w:multiLevelType w:val="hybridMultilevel"/>
    <w:lvl w:ilvl="0">
      <w:lvlJc w:val="left"/>
      <w:lvlText w:val="(%1)"/>
      <w:numFmt w:val="lowerLetter"/>
      <w:start w:val="9"/>
    </w:lvl>
    <w:lvl w:ilvl="1">
      <w:lvlJc w:val="left"/>
      <w:lvlText w:val="(%2)"/>
      <w:numFmt w:val="lowerLetter"/>
      <w:start w:val="4"/>
    </w:lvl>
  </w:abstractNum>
  <w:abstractNum w:abstractNumId="133">
    <w:nsid w:val="2817E7EC"/>
    <w:multiLevelType w:val="hybridMultilevel"/>
    <w:lvl w:ilvl="0">
      <w:lvlJc w:val="left"/>
      <w:lvlText w:val="(%1)"/>
      <w:numFmt w:val="lowerLetter"/>
      <w:start w:val="8"/>
    </w:lvl>
  </w:abstractNum>
  <w:abstractNum w:abstractNumId="134">
    <w:nsid w:val="71482545"/>
    <w:multiLevelType w:val="hybridMultilevel"/>
    <w:lvl w:ilvl="0">
      <w:lvlJc w:val="left"/>
      <w:lvlText w:val="(%1)"/>
      <w:numFmt w:val="lowerLetter"/>
      <w:start w:val="1"/>
    </w:lvl>
  </w:abstractNum>
  <w:abstractNum w:abstractNumId="135">
    <w:nsid w:val="17D78639"/>
    <w:multiLevelType w:val="hybridMultilevel"/>
    <w:lvl w:ilvl="0">
      <w:lvlJc w:val="left"/>
      <w:lvlText w:val="%1"/>
      <w:numFmt w:val="decimal"/>
      <w:start w:val="1"/>
    </w:lvl>
    <w:lvl w:ilvl="1">
      <w:lvlJc w:val="left"/>
      <w:lvlText w:val="(%2)"/>
      <w:numFmt w:val="lowerLetter"/>
      <w:start w:val="1"/>
    </w:lvl>
  </w:abstractNum>
  <w:abstractNum w:abstractNumId="136">
    <w:nsid w:val="141D2302"/>
    <w:multiLevelType w:val="hybridMultilevel"/>
    <w:lvl w:ilvl="0">
      <w:lvlJc w:val="left"/>
      <w:lvlText w:val="(%1)"/>
      <w:numFmt w:val="decimal"/>
      <w:start w:val="3"/>
    </w:lvl>
    <w:lvl w:ilvl="1">
      <w:lvlJc w:val="left"/>
      <w:lvlText w:val="(%2)"/>
      <w:numFmt w:val="lowerLetter"/>
      <w:start w:val="2"/>
    </w:lvl>
  </w:abstractNum>
  <w:abstractNum w:abstractNumId="137">
    <w:nsid w:val="407168D8"/>
    <w:multiLevelType w:val="hybridMultilevel"/>
    <w:lvl w:ilvl="0">
      <w:lvlJc w:val="left"/>
      <w:lvlText w:val="(%1)"/>
      <w:numFmt w:val="lowerLetter"/>
      <w:start w:val="1"/>
    </w:lvl>
  </w:abstractNum>
  <w:abstractNum w:abstractNumId="138">
    <w:nsid w:val="6A1B45E5"/>
    <w:multiLevelType w:val="hybridMultilevel"/>
    <w:lvl w:ilvl="0">
      <w:lvlJc w:val="left"/>
      <w:lvlText w:val="(%1)"/>
      <w:numFmt w:val="lowerLetter"/>
      <w:start w:val="1"/>
    </w:lvl>
  </w:abstractNum>
  <w:abstractNum w:abstractNumId="139">
    <w:nsid w:val="567BD50A"/>
    <w:multiLevelType w:val="hybridMultilevel"/>
    <w:lvl w:ilvl="0">
      <w:lvlJc w:val="left"/>
      <w:lvlText w:val="(%1)"/>
      <w:numFmt w:val="lowerLetter"/>
      <w:start w:val="3"/>
    </w:lvl>
  </w:abstractNum>
  <w:abstractNum w:abstractNumId="140">
    <w:nsid w:val="73BBD7F8"/>
    <w:multiLevelType w:val="hybridMultilevel"/>
    <w:lvl w:ilvl="0">
      <w:lvlJc w:val="left"/>
      <w:lvlText w:val="(%1)"/>
      <w:numFmt w:val="lowerLetter"/>
      <w:start w:val="1"/>
    </w:lvl>
  </w:abstractNum>
  <w:abstractNum w:abstractNumId="141">
    <w:nsid w:val="1876589D"/>
    <w:multiLevelType w:val="hybridMultilevel"/>
    <w:lvl w:ilvl="0">
      <w:lvlJc w:val="left"/>
      <w:lvlText w:val="(%1)"/>
      <w:numFmt w:val="lowerLetter"/>
      <w:start w:val="2"/>
    </w:lvl>
    <w:lvl w:ilvl="1">
      <w:lvlJc w:val="left"/>
      <w:lvlText w:val="(%2)"/>
      <w:numFmt w:val="lowerLetter"/>
      <w:start w:val="3"/>
    </w:lvl>
  </w:abstractNum>
  <w:abstractNum w:abstractNumId="142">
    <w:nsid w:val="327FAC77"/>
    <w:multiLevelType w:val="hybridMultilevel"/>
    <w:lvl w:ilvl="0">
      <w:lvlJc w:val="left"/>
      <w:lvlText w:val="(%1)"/>
      <w:numFmt w:val="lowerLetter"/>
      <w:start w:val="1"/>
    </w:lvl>
    <w:lvl w:ilvl="1">
      <w:lvlJc w:val="left"/>
      <w:lvlText w:val="(%2)"/>
      <w:numFmt w:val="lowerLetter"/>
      <w:start w:val="2"/>
    </w:lvl>
  </w:abstractNum>
  <w:abstractNum w:abstractNumId="143">
    <w:nsid w:val="5A60650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44">
    <w:nsid w:val="6F38E6D1"/>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45">
    <w:nsid w:val="46111BA5"/>
    <w:multiLevelType w:val="hybridMultilevel"/>
    <w:lvl w:ilvl="0">
      <w:lvlJc w:val="left"/>
      <w:lvlText w:val="(%1)"/>
      <w:numFmt w:val="lowerLetter"/>
      <w:start w:val="4"/>
    </w:lvl>
  </w:abstractNum>
  <w:abstractNum w:abstractNumId="146">
    <w:nsid w:val="5E963896"/>
    <w:multiLevelType w:val="hybridMultilevel"/>
    <w:lvl w:ilvl="0">
      <w:lvlJc w:val="left"/>
      <w:lvlText w:val="(%1)"/>
      <w:numFmt w:val="lowerLetter"/>
      <w:start w:val="2"/>
    </w:lvl>
  </w:abstractNum>
  <w:abstractNum w:abstractNumId="147">
    <w:nsid w:val="775BA7C1"/>
    <w:multiLevelType w:val="hybridMultilevel"/>
    <w:lvl w:ilvl="0">
      <w:lvlJc w:val="left"/>
      <w:lvlText w:val="(%1)"/>
      <w:numFmt w:val="lowerLetter"/>
      <w:start w:val="1"/>
    </w:lvl>
  </w:abstractNum>
  <w:abstractNum w:abstractNumId="148">
    <w:nsid w:val="1DD6D6F4"/>
    <w:multiLevelType w:val="hybridMultilevel"/>
    <w:lvl w:ilvl="0">
      <w:lvlJc w:val="left"/>
      <w:lvlText w:val="%1"/>
      <w:numFmt w:val="lowerLetter"/>
      <w:start w:val="1"/>
    </w:lvl>
    <w:lvl w:ilvl="1">
      <w:lvlJc w:val="left"/>
      <w:lvlText w:val="(%2)"/>
      <w:numFmt w:val="lowerLetter"/>
      <w:start w:val="2"/>
    </w:lvl>
  </w:abstractNum>
  <w:abstractNum w:abstractNumId="149">
    <w:nsid w:val="769A091F"/>
    <w:multiLevelType w:val="hybridMultilevel"/>
    <w:lvl w:ilvl="0">
      <w:lvlJc w:val="left"/>
      <w:lvlText w:val="(%1)"/>
      <w:numFmt w:val="lowerLetter"/>
      <w:start w:val="3"/>
    </w:lvl>
    <w:lvl w:ilvl="1">
      <w:lvlJc w:val="left"/>
      <w:lvlText w:val="%2"/>
      <w:numFmt w:val="lowerLetter"/>
      <w:start w:val="1"/>
    </w:lvl>
  </w:abstractNum>
  <w:abstractNum w:abstractNumId="150">
    <w:nsid w:val="4695AE95"/>
    <w:multiLevelType w:val="hybridMultilevel"/>
    <w:lvl w:ilvl="0">
      <w:lvlJc w:val="left"/>
      <w:lvlText w:val="(%1)"/>
      <w:numFmt w:val="lowerRoman"/>
      <w:start w:val="1"/>
    </w:lvl>
  </w:abstractNum>
  <w:abstractNum w:abstractNumId="151">
    <w:nsid w:val="777A4EAA"/>
    <w:multiLevelType w:val="hybridMultilevel"/>
    <w:lvl w:ilvl="0">
      <w:lvlJc w:val="left"/>
      <w:lvlText w:val="(%1)"/>
      <w:numFmt w:val="lowerRoman"/>
      <w:start w:val="5"/>
    </w:lvl>
  </w:abstractNum>
  <w:abstractNum w:abstractNumId="152">
    <w:nsid w:val="3F48B982"/>
    <w:multiLevelType w:val="hybridMultilevel"/>
    <w:lvl w:ilvl="0">
      <w:lvlJc w:val="left"/>
      <w:lvlText w:val="(%1)"/>
      <w:numFmt w:val="lowerLetter"/>
      <w:start w:val="1"/>
    </w:lvl>
  </w:abstractNum>
  <w:abstractNum w:abstractNumId="153">
    <w:nsid w:val="46BA8FCA"/>
    <w:multiLevelType w:val="hybridMultilevel"/>
    <w:lvl w:ilvl="0">
      <w:lvlJc w:val="left"/>
      <w:lvlText w:val="(%1)"/>
      <w:numFmt w:val="lowerLetter"/>
      <w:start w:val="24"/>
    </w:lvl>
    <w:lvl w:ilvl="1">
      <w:lvlJc w:val="left"/>
      <w:lvlText w:val="(%2)"/>
      <w:numFmt w:val="lowerLetter"/>
      <w:start w:val="2"/>
    </w:lvl>
  </w:abstractNum>
  <w:abstractNum w:abstractNumId="154">
    <w:nsid w:val="7835626C"/>
    <w:multiLevelType w:val="hybridMultilevel"/>
    <w:lvl w:ilvl="0">
      <w:lvlJc w:val="left"/>
      <w:lvlText w:val="(%1)"/>
      <w:numFmt w:val="lowerLetter"/>
      <w:start w:val="3"/>
    </w:lvl>
  </w:abstractNum>
  <w:abstractNum w:abstractNumId="155">
    <w:nsid w:val="665ACA49"/>
    <w:multiLevelType w:val="hybridMultilevel"/>
    <w:lvl w:ilvl="0">
      <w:lvlJc w:val="left"/>
      <w:lvlText w:val="(%1)"/>
      <w:numFmt w:val="lowerLetter"/>
      <w:start w:val="5"/>
    </w:lvl>
  </w:abstractNum>
  <w:abstractNum w:abstractNumId="156">
    <w:nsid w:val="6835B2AE"/>
    <w:multiLevelType w:val="hybridMultilevel"/>
    <w:lvl w:ilvl="0">
      <w:lvlJc w:val="left"/>
      <w:lvlText w:val="(%1)"/>
      <w:numFmt w:val="lowerLetter"/>
      <w:start w:val="6"/>
    </w:lvl>
  </w:abstractNum>
  <w:abstractNum w:abstractNumId="157">
    <w:nsid w:val="4C187C90"/>
    <w:multiLevelType w:val="hybridMultilevel"/>
    <w:lvl w:ilvl="0">
      <w:lvlJc w:val="left"/>
      <w:lvlText w:val="%1"/>
      <w:numFmt w:val="lowerLetter"/>
      <w:start w:val="1"/>
    </w:lvl>
    <w:lvl w:ilvl="1">
      <w:lvlJc w:val="left"/>
      <w:lvlText w:val="(%2)"/>
      <w:numFmt w:val="lowerLetter"/>
      <w:start w:val="7"/>
    </w:lvl>
  </w:abstractNum>
  <w:abstractNum w:abstractNumId="158">
    <w:nsid w:val="541F28CD"/>
    <w:multiLevelType w:val="hybridMultilevel"/>
    <w:lvl w:ilvl="0">
      <w:lvlJc w:val="left"/>
      <w:lvlText w:val="(%1)"/>
      <w:numFmt w:val="lowerLetter"/>
      <w:start w:val="6"/>
    </w:lvl>
    <w:lvl w:ilvl="1">
      <w:lvlJc w:val="left"/>
      <w:lvlText w:val="%2"/>
      <w:numFmt w:val="lowerLetter"/>
      <w:start w:val="1"/>
    </w:lvl>
  </w:abstractNum>
  <w:abstractNum w:abstractNumId="159">
    <w:nsid w:val="7F65FD16"/>
    <w:multiLevelType w:val="hybridMultilevel"/>
    <w:lvl w:ilvl="0">
      <w:lvlJc w:val="left"/>
      <w:lvlText w:val="(%1)"/>
      <w:numFmt w:val="lowerLetter"/>
      <w:start w:val="9"/>
    </w:lvl>
    <w:lvl w:ilvl="1">
      <w:lvlJc w:val="left"/>
      <w:lvlText w:val="%2"/>
      <w:numFmt w:val="lowerLetter"/>
      <w:start w:val="1"/>
    </w:lvl>
  </w:abstractNum>
  <w:abstractNum w:abstractNumId="160">
    <w:nsid w:val="77C9FD68"/>
    <w:multiLevelType w:val="hybridMultilevel"/>
    <w:lvl w:ilvl="0">
      <w:lvlJc w:val="left"/>
      <w:lvlText w:val="(%1)"/>
      <w:numFmt w:val="lowerLetter"/>
      <w:start w:val="8"/>
    </w:lvl>
  </w:abstractNum>
  <w:abstractNum w:abstractNumId="161">
    <w:nsid w:val="298A92BA"/>
    <w:multiLevelType w:val="hybridMultilevel"/>
    <w:lvl w:ilvl="0">
      <w:lvlJc w:val="left"/>
      <w:lvlText w:val="(%1)"/>
      <w:numFmt w:val="lowerLetter"/>
      <w:start w:val="11"/>
    </w:lvl>
  </w:abstractNum>
  <w:abstractNum w:abstractNumId="162">
    <w:nsid w:val="6FE95EAC"/>
    <w:multiLevelType w:val="hybridMultilevel"/>
    <w:lvl w:ilvl="0">
      <w:lvlJc w:val="left"/>
      <w:lvlText w:val="(%1)"/>
      <w:numFmt w:val="lowerLetter"/>
      <w:start w:val="13"/>
    </w:lvl>
  </w:abstractNum>
  <w:abstractNum w:abstractNumId="163">
    <w:nsid w:val="4B697C7A"/>
    <w:multiLevelType w:val="hybridMultilevel"/>
    <w:lvl w:ilvl="0">
      <w:lvlJc w:val="left"/>
      <w:lvlText w:val="(%1)"/>
      <w:numFmt w:val="lowerLetter"/>
      <w:start w:val="1"/>
    </w:lvl>
  </w:abstractNum>
  <w:abstractNum w:abstractNumId="164">
    <w:nsid w:val="51A27AA6"/>
    <w:multiLevelType w:val="hybridMultilevel"/>
    <w:lvl w:ilvl="0">
      <w:lvlJc w:val="left"/>
      <w:lvlText w:val="(%1)"/>
      <w:numFmt w:val="lowerLetter"/>
      <w:start w:val="2"/>
    </w:lvl>
  </w:abstractNum>
  <w:abstractNum w:abstractNumId="165">
    <w:nsid w:val="613183F2"/>
    <w:multiLevelType w:val="hybridMultilevel"/>
    <w:lvl w:ilvl="0">
      <w:lvlJc w:val="left"/>
      <w:lvlText w:val="%1"/>
      <w:numFmt w:val="lowerLetter"/>
      <w:start w:val="1"/>
    </w:lvl>
    <w:lvl w:ilvl="1">
      <w:lvlJc w:val="left"/>
      <w:lvlText w:val="(%2)"/>
      <w:numFmt w:val="lowerLetter"/>
      <w:start w:val="1"/>
    </w:lvl>
  </w:abstractNum>
  <w:abstractNum w:abstractNumId="166">
    <w:nsid w:val="634102B4"/>
    <w:multiLevelType w:val="hybridMultilevel"/>
    <w:lvl w:ilvl="0">
      <w:lvlJc w:val="left"/>
      <w:lvlText w:val="(%1)"/>
      <w:numFmt w:val="lowerLetter"/>
      <w:start w:val="2"/>
    </w:lvl>
    <w:lvl w:ilvl="1">
      <w:lvlJc w:val="left"/>
      <w:lvlText w:val="%2"/>
      <w:numFmt w:val="lowerLetter"/>
      <w:start w:val="1"/>
    </w:lvl>
  </w:abstractNum>
  <w:abstractNum w:abstractNumId="167">
    <w:nsid w:val="65BF9DA8"/>
    <w:multiLevelType w:val="hybridMultilevel"/>
    <w:lvl w:ilvl="0">
      <w:lvlJc w:val="left"/>
      <w:lvlText w:val="(%1)"/>
      <w:numFmt w:val="lowerLetter"/>
      <w:start w:val="3"/>
    </w:lvl>
  </w:abstractNum>
  <w:abstractNum w:abstractNumId="168">
    <w:nsid w:val="21A2ECCA"/>
    <w:multiLevelType w:val="hybridMultilevel"/>
    <w:lvl w:ilvl="0">
      <w:lvlJc w:val="left"/>
      <w:lvlText w:val="(%1)"/>
      <w:numFmt w:val="lowerRoman"/>
      <w:start w:val="1"/>
    </w:lvl>
  </w:abstractNum>
  <w:abstractNum w:abstractNumId="169">
    <w:nsid w:val="4D5C4899"/>
    <w:multiLevelType w:val="hybridMultilevel"/>
    <w:lvl w:ilvl="0">
      <w:lvlJc w:val="left"/>
      <w:lvlText w:val="(%1)"/>
      <w:numFmt w:val="lowerRoman"/>
      <w:start w:val="4"/>
    </w:lvl>
  </w:abstractNum>
  <w:abstractNum w:abstractNumId="170">
    <w:nsid w:val="3C3B72B2"/>
    <w:multiLevelType w:val="hybridMultilevel"/>
    <w:lvl w:ilvl="0">
      <w:lvlJc w:val="left"/>
      <w:lvlText w:val="(%1)"/>
      <w:numFmt w:val="lowerLetter"/>
      <w:start w:val="4"/>
    </w:lvl>
    <w:lvl w:ilvl="1">
      <w:lvlJc w:val="left"/>
      <w:lvlText w:val="(%2)"/>
      <w:numFmt w:val="lowerLetter"/>
      <w:start w:val="5"/>
    </w:lvl>
  </w:abstractNum>
  <w:abstractNum w:abstractNumId="171">
    <w:nsid w:val="155EC4C2"/>
    <w:multiLevelType w:val="hybridMultilevel"/>
    <w:lvl w:ilvl="0">
      <w:lvlJc w:val="left"/>
      <w:lvlText w:val="(%1)"/>
      <w:numFmt w:val="lowerLetter"/>
      <w:start w:val="1"/>
    </w:lvl>
  </w:abstractNum>
  <w:abstractNum w:abstractNumId="172">
    <w:nsid w:val="65D2A137"/>
    <w:multiLevelType w:val="hybridMultilevel"/>
    <w:lvl w:ilvl="0">
      <w:lvlJc w:val="left"/>
      <w:lvlText w:val="(%1)"/>
      <w:numFmt w:val="lowerLetter"/>
      <w:start w:val="2"/>
    </w:lvl>
  </w:abstractNum>
  <w:abstractNum w:abstractNumId="173">
    <w:nsid w:val="6EBB1F2A"/>
    <w:multiLevelType w:val="hybridMultilevel"/>
    <w:lvl w:ilvl="0">
      <w:lvlJc w:val="left"/>
      <w:lvlText w:val="(%1)"/>
      <w:numFmt w:val="lowerLetter"/>
      <w:start w:val="1"/>
    </w:lvl>
  </w:abstractNum>
  <w:abstractNum w:abstractNumId="174">
    <w:nsid w:val="6FBF29CB"/>
    <w:multiLevelType w:val="hybridMultilevel"/>
    <w:lvl w:ilvl="0">
      <w:lvlJc w:val="left"/>
      <w:lvlText w:val="(%1)"/>
      <w:numFmt w:val="lowerLetter"/>
      <w:start w:val="5"/>
    </w:lvl>
  </w:abstractNum>
  <w:abstractNum w:abstractNumId="175">
    <w:nsid w:val="550B8808"/>
    <w:multiLevelType w:val="hybridMultilevel"/>
    <w:lvl w:ilvl="0">
      <w:lvlJc w:val="left"/>
      <w:lvlText w:val="(%1)"/>
      <w:numFmt w:val="lowerLetter"/>
      <w:start w:val="1"/>
    </w:lvl>
  </w:abstractNum>
  <w:abstractNum w:abstractNumId="176">
    <w:nsid w:val="34CC3ACF"/>
    <w:multiLevelType w:val="hybridMultilevel"/>
    <w:lvl w:ilvl="0">
      <w:lvlJc w:val="left"/>
      <w:lvlText w:val="(%1)"/>
      <w:numFmt w:val="lowerLetter"/>
      <w:start w:val="4"/>
    </w:lvl>
  </w:abstractNum>
  <w:abstractNum w:abstractNumId="177">
    <w:nsid w:val="4E556261"/>
    <w:multiLevelType w:val="hybridMultilevel"/>
    <w:lvl w:ilvl="0">
      <w:lvlJc w:val="left"/>
      <w:lvlText w:val="(%1)"/>
      <w:numFmt w:val="lowerLetter"/>
      <w:start w:val="1"/>
    </w:lvl>
  </w:abstractNum>
  <w:abstractNum w:abstractNumId="178">
    <w:nsid w:val="4C672FC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9">
    <w:nsid w:val="52A311C3"/>
    <w:multiLevelType w:val="hybridMultilevel"/>
    <w:lvl w:ilvl="0">
      <w:lvlJc w:val="left"/>
      <w:lvlText w:val="(%1)"/>
      <w:numFmt w:val="lowerLetter"/>
      <w:start w:val="25"/>
    </w:lvl>
    <w:lvl w:ilvl="1">
      <w:lvlJc w:val="left"/>
      <w:lvlText w:val="%2"/>
      <w:numFmt w:val="lowerLetter"/>
      <w:start w:val="1"/>
    </w:lvl>
    <w:lvl w:ilvl="2">
      <w:lvlJc w:val="left"/>
      <w:lvlText w:val="%3"/>
      <w:numFmt w:val="upperLetter"/>
      <w:start w:val="1"/>
    </w:lvl>
  </w:abstractNum>
  <w:abstractNum w:abstractNumId="180">
    <w:nsid w:val="44EF6B80"/>
    <w:multiLevelType w:val="hybridMultilevel"/>
    <w:lvl w:ilvl="0">
      <w:lvlJc w:val="left"/>
      <w:lvlText w:val="(%1)"/>
      <w:numFmt w:val="upperLetter"/>
      <w:start w:val="2"/>
    </w:lvl>
    <w:lvl w:ilvl="1">
      <w:lvlJc w:val="left"/>
      <w:lvlText w:val="(%2)"/>
      <w:numFmt w:val="decimal"/>
      <w:start w:val="2"/>
    </w:lvl>
  </w:abstractNum>
  <w:abstractNum w:abstractNumId="181">
    <w:nsid w:val="12FCDE5E"/>
    <w:multiLevelType w:val="hybridMultilevel"/>
    <w:lvl w:ilvl="0">
      <w:lvlJc w:val="left"/>
      <w:lvlText w:val="(%1)"/>
      <w:numFmt w:val="upperLetter"/>
      <w:start w:val="3"/>
    </w:lvl>
    <w:lvl w:ilvl="1">
      <w:lvlJc w:val="left"/>
      <w:lvlText w:val="(%2)"/>
      <w:numFmt w:val="decimal"/>
      <w:start w:val="2"/>
    </w:lvl>
  </w:abstractNum>
  <w:abstractNum w:abstractNumId="182">
    <w:nsid w:val="4A1D606E"/>
    <w:multiLevelType w:val="hybridMultilevel"/>
    <w:lvl w:ilvl="0">
      <w:lvlJc w:val="left"/>
      <w:lvlText w:val="%1"/>
      <w:numFmt w:val="upperLetter"/>
      <w:start w:val="1"/>
    </w:lvl>
    <w:lvl w:ilvl="1">
      <w:lvlJc w:val="left"/>
      <w:lvlText w:val="(%2)"/>
      <w:numFmt w:val="decimal"/>
      <w:start w:val="3"/>
    </w:lvl>
  </w:abstractNum>
  <w:abstractNum w:abstractNumId="183">
    <w:nsid w:val="4382503"/>
    <w:multiLevelType w:val="hybridMultilevel"/>
    <w:lvl w:ilvl="0">
      <w:lvlJc w:val="left"/>
      <w:lvlText w:val="(%1)"/>
      <w:numFmt w:val="upperLetter"/>
      <w:start w:val="4"/>
    </w:lvl>
    <w:lvl w:ilvl="1">
      <w:lvlJc w:val="left"/>
      <w:lvlText w:val="%2"/>
      <w:numFmt w:val="decimal"/>
      <w:start w:val="1"/>
    </w:lvl>
  </w:abstractNum>
  <w:abstractNum w:abstractNumId="184">
    <w:nsid w:val="59B76E28"/>
    <w:multiLevelType w:val="hybridMultilevel"/>
    <w:lvl w:ilvl="0">
      <w:lvlJc w:val="left"/>
      <w:lvlText w:val="(%1)"/>
      <w:numFmt w:val="decimal"/>
      <w:start w:val="2"/>
    </w:lvl>
  </w:abstractNum>
  <w:abstractNum w:abstractNumId="185">
    <w:nsid w:val="4252C2DA"/>
    <w:multiLevelType w:val="hybridMultilevel"/>
    <w:lvl w:ilvl="0">
      <w:lvlJc w:val="left"/>
      <w:lvlText w:val="(%1)"/>
      <w:numFmt w:val="decimal"/>
      <w:start w:val="3"/>
    </w:lvl>
  </w:abstractNum>
  <w:abstractNum w:abstractNumId="186">
    <w:nsid w:val="6A92EF4C"/>
    <w:multiLevelType w:val="hybridMultilevel"/>
    <w:lvl w:ilvl="0">
      <w:lvlJc w:val="left"/>
      <w:lvlText w:val="(%1)"/>
      <w:numFmt w:val="upperLetter"/>
      <w:start w:val="61"/>
    </w:lvl>
  </w:abstractNum>
  <w:abstractNum w:abstractNumId="187">
    <w:nsid w:val="41ED20D7"/>
    <w:multiLevelType w:val="hybridMultilevel"/>
    <w:lvl w:ilvl="0">
      <w:lvlJc w:val="left"/>
      <w:lvlText w:val="(%1)"/>
      <w:numFmt w:val="upperLetter"/>
      <w:start w:val="5"/>
    </w:lvl>
  </w:abstractNum>
  <w:abstractNum w:abstractNumId="188">
    <w:nsid w:val="E6B3F6A"/>
    <w:multiLevelType w:val="hybridMultilevel"/>
    <w:lvl w:ilvl="0">
      <w:lvlJc w:val="left"/>
      <w:lvlText w:val="%1"/>
      <w:numFmt w:val="lowerLetter"/>
      <w:start w:val="1"/>
    </w:lvl>
    <w:lvl w:ilvl="1">
      <w:lvlJc w:val="left"/>
      <w:lvlText w:val="(%2)"/>
      <w:numFmt w:val="lowerLetter"/>
      <w:start w:val="2"/>
    </w:lvl>
  </w:abstractNum>
  <w:abstractNum w:abstractNumId="189">
    <w:nsid w:val="3EB21819"/>
    <w:multiLevelType w:val="hybridMultilevel"/>
    <w:lvl w:ilvl="0">
      <w:lvlJc w:val="left"/>
      <w:lvlText w:val="(%1)"/>
      <w:numFmt w:val="lowerLetter"/>
      <w:start w:val="2"/>
    </w:lvl>
    <w:lvl w:ilvl="1">
      <w:lvlJc w:val="left"/>
      <w:lvlText w:val="(%2)"/>
      <w:numFmt w:val="lowerLetter"/>
      <w:start w:val="4"/>
    </w:lvl>
  </w:abstractNum>
  <w:abstractNum w:abstractNumId="190">
    <w:nsid w:val="41531DE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abstractNum>
  <w:abstractNum w:abstractNumId="191">
    <w:nsid w:val="6353CD2"/>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192">
    <w:nsid w:val="683CAAD3"/>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93">
    <w:nsid w:val="313C7C99"/>
    <w:multiLevelType w:val="hybridMultilevel"/>
    <w:lvl w:ilvl="0">
      <w:lvlJc w:val="left"/>
      <w:lvlText w:val="%1"/>
      <w:numFmt w:val="lowerLetter"/>
      <w:start w:val="1"/>
    </w:lvl>
    <w:lvl w:ilvl="1">
      <w:lvlJc w:val="left"/>
      <w:lvlText w:val="(%2)"/>
      <w:numFmt w:val="lowerLetter"/>
      <w:start w:val="7"/>
    </w:lvl>
  </w:abstractNum>
  <w:abstractNum w:abstractNumId="194">
    <w:nsid w:val="519EB94C"/>
    <w:multiLevelType w:val="hybridMultilevel"/>
    <w:lvl w:ilvl="0">
      <w:lvlJc w:val="left"/>
      <w:lvlText w:val="(%1)"/>
      <w:numFmt w:val="lowerLetter"/>
      <w:start w:val="4"/>
    </w:lvl>
    <w:lvl w:ilvl="1">
      <w:lvlJc w:val="left"/>
      <w:lvlText w:val="%2"/>
      <w:numFmt w:val="lowerLetter"/>
      <w:start w:val="1"/>
    </w:lvl>
  </w:abstractNum>
  <w:abstractNum w:abstractNumId="195">
    <w:nsid w:val="39DF2579"/>
    <w:multiLevelType w:val="hybridMultilevel"/>
    <w:lvl w:ilvl="0">
      <w:lvlJc w:val="left"/>
      <w:lvlText w:val="(%1)"/>
      <w:numFmt w:val="lowerLetter"/>
      <w:start w:val="1"/>
    </w:lvl>
  </w:abstractNum>
  <w:abstractNum w:abstractNumId="196">
    <w:nsid w:val="126E008B"/>
    <w:multiLevelType w:val="hybridMultilevel"/>
    <w:lvl w:ilvl="0">
      <w:lvlJc w:val="left"/>
      <w:lvlText w:val="(%1)"/>
      <w:numFmt w:val="lowerLetter"/>
      <w:start w:val="2"/>
    </w:lvl>
  </w:abstractNum>
  <w:abstractNum w:abstractNumId="197">
    <w:nsid w:val="34DFBC00"/>
    <w:multiLevelType w:val="hybridMultilevel"/>
    <w:lvl w:ilvl="0">
      <w:lvlJc w:val="left"/>
      <w:lvlText w:val="(%1)"/>
      <w:numFmt w:val="lowerLetter"/>
      <w:start w:val="4"/>
    </w:lvl>
  </w:abstractNum>
  <w:abstractNum w:abstractNumId="198">
    <w:nsid w:val="1F9EC322"/>
    <w:multiLevelType w:val="hybridMultilevel"/>
    <w:lvl w:ilvl="0">
      <w:lvlJc w:val="left"/>
      <w:lvlText w:val="(%1)"/>
      <w:numFmt w:val="lowerLetter"/>
      <w:start w:val="1"/>
    </w:lvl>
  </w:abstractNum>
  <w:abstractNum w:abstractNumId="199">
    <w:nsid w:val="3410ED56"/>
    <w:multiLevelType w:val="hybridMultilevel"/>
    <w:lvl w:ilvl="0">
      <w:lvlJc w:val="left"/>
      <w:lvlText w:val="(%1)"/>
      <w:numFmt w:val="lowerLetter"/>
      <w:start w:val="6"/>
    </w:lvl>
  </w:abstractNum>
  <w:abstractNum w:abstractNumId="200">
    <w:nsid w:val="23C049A"/>
    <w:multiLevelType w:val="hybridMultilevel"/>
    <w:lvl w:ilvl="0">
      <w:lvlJc w:val="left"/>
      <w:lvlText w:val="(%1)"/>
      <w:numFmt w:val="lowerLetter"/>
      <w:start w:val="1"/>
    </w:lvl>
    <w:lvl w:ilvl="1">
      <w:lvlJc w:val="left"/>
      <w:lvlText w:val="(%2)"/>
      <w:numFmt w:val="lowerLetter"/>
      <w:start w:val="2"/>
    </w:lvl>
  </w:abstractNum>
  <w:abstractNum w:abstractNumId="201">
    <w:nsid w:val="5BDA35D4"/>
    <w:multiLevelType w:val="hybridMultilevel"/>
    <w:lvl w:ilvl="0">
      <w:lvlJc w:val="left"/>
      <w:lvlText w:val="(%1)"/>
      <w:numFmt w:val="lowerLetter"/>
      <w:start w:val="3"/>
    </w:lvl>
    <w:lvl w:ilvl="1">
      <w:lvlJc w:val="left"/>
      <w:lvlText w:val="(%2)"/>
      <w:numFmt w:val="lowerLetter"/>
      <w:start w:val="4"/>
    </w:lvl>
  </w:abstractNum>
  <w:abstractNum w:abstractNumId="202">
    <w:nsid w:val="496FB218"/>
    <w:multiLevelType w:val="hybridMultilevel"/>
    <w:lvl w:ilvl="0">
      <w:lvlJc w:val="left"/>
      <w:lvlText w:val="(%1)"/>
      <w:numFmt w:val="lowerLetter"/>
      <w:start w:val="1"/>
    </w:lvl>
    <w:lvl w:ilvl="1">
      <w:lvlJc w:val="left"/>
      <w:lvlText w:val="(%2)"/>
      <w:numFmt w:val="lowerRoman"/>
      <w:start w:val="1"/>
    </w:lvl>
  </w:abstractNum>
  <w:abstractNum w:abstractNumId="203">
    <w:nsid w:val="680EA5D1"/>
    <w:multiLevelType w:val="hybridMultilevel"/>
    <w:lvl w:ilvl="0">
      <w:lvlJc w:val="left"/>
      <w:lvlText w:val="(%1)"/>
      <w:numFmt w:val="lowerLetter"/>
      <w:start w:val="2"/>
    </w:lvl>
    <w:lvl w:ilvl="1">
      <w:lvlJc w:val="left"/>
      <w:lvlText w:val="(%2)"/>
      <w:numFmt w:val="lowerLetter"/>
      <w:start w:val="3"/>
    </w:lvl>
  </w:abstractNum>
  <w:abstractNum w:abstractNumId="204">
    <w:nsid w:val="4A9554FE"/>
    <w:multiLevelType w:val="hybridMultilevel"/>
    <w:lvl w:ilvl="0">
      <w:lvlJc w:val="left"/>
      <w:lvlText w:val="(%1)"/>
      <w:numFmt w:val="lowerLetter"/>
      <w:start w:val="1"/>
    </w:lvl>
    <w:lvl w:ilvl="1">
      <w:lvlJc w:val="left"/>
      <w:lvlText w:val="(%2)"/>
      <w:numFmt w:val="lowerLetter"/>
      <w:start w:val="2"/>
    </w:lvl>
  </w:abstractNum>
  <w:abstractNum w:abstractNumId="205">
    <w:nsid w:val="392EDBE4"/>
    <w:multiLevelType w:val="hybridMultilevel"/>
    <w:lvl w:ilvl="0">
      <w:lvlJc w:val="left"/>
      <w:lvlText w:val="(%1)"/>
      <w:numFmt w:val="lowerLetter"/>
      <w:start w:val="5"/>
    </w:lvl>
  </w:abstractNum>
  <w:abstractNum w:abstractNumId="206">
    <w:nsid w:val="3D1A2DD9"/>
    <w:multiLevelType w:val="hybridMultilevel"/>
    <w:lvl w:ilvl="0">
      <w:lvlJc w:val="left"/>
      <w:lvlText w:val="(%1)"/>
      <w:numFmt w:val="lowerRoman"/>
      <w:start w:val="1"/>
    </w:lvl>
  </w:abstractNum>
  <w:abstractNum w:abstractNumId="207">
    <w:nsid w:val="7F618FCD"/>
    <w:multiLevelType w:val="hybridMultilevel"/>
    <w:lvl w:ilvl="0">
      <w:lvlJc w:val="left"/>
      <w:lvlText w:val="(%1)"/>
      <w:numFmt w:val="lowerRoman"/>
      <w:start w:val="2"/>
    </w:lvl>
    <w:lvl w:ilvl="1">
      <w:lvlJc w:val="left"/>
      <w:lvlText w:val="(%2)"/>
      <w:numFmt w:val="upperLetter"/>
      <w:start w:val="1"/>
    </w:lvl>
  </w:abstractNum>
  <w:abstractNum w:abstractNumId="208">
    <w:nsid w:val="7843E45"/>
    <w:multiLevelType w:val="hybridMultilevel"/>
    <w:lvl w:ilvl="0">
      <w:lvlJc w:val="left"/>
      <w:lvlText w:val="(%1)"/>
      <w:numFmt w:val="upperLetter"/>
      <w:start w:val="5"/>
    </w:lvl>
  </w:abstractNum>
  <w:abstractNum w:abstractNumId="209">
    <w:nsid w:val="9815DA3"/>
    <w:multiLevelType w:val="hybridMultilevel"/>
    <w:lvl w:ilvl="0">
      <w:lvlJc w:val="left"/>
      <w:lvlText w:val="%1"/>
      <w:numFmt w:val="lowerRoman"/>
      <w:start w:val="1"/>
    </w:lvl>
    <w:lvl w:ilvl="1">
      <w:lvlJc w:val="left"/>
      <w:lvlText w:val="(%2)"/>
      <w:numFmt w:val="lowerRoman"/>
      <w:start w:val="3"/>
    </w:lvl>
  </w:abstractNum>
  <w:abstractNum w:abstractNumId="210">
    <w:nsid w:val="5204A191"/>
    <w:multiLevelType w:val="hybridMultilevel"/>
    <w:lvl w:ilvl="0">
      <w:lvlJc w:val="left"/>
      <w:lvlText w:val="(%1)"/>
      <w:numFmt w:val="lowerRoman"/>
      <w:start w:val="1"/>
    </w:lvl>
    <w:lvl w:ilvl="1">
      <w:lvlJc w:val="left"/>
      <w:lvlText w:val="(%2)"/>
      <w:numFmt w:val="lowerRoman"/>
      <w:start w:val="4"/>
    </w:lvl>
  </w:abstractNum>
  <w:abstractNum w:abstractNumId="211">
    <w:nsid w:val="4C73A9C6"/>
    <w:multiLevelType w:val="hybridMultilevel"/>
    <w:lvl w:ilvl="0">
      <w:lvlJc w:val="left"/>
      <w:lvlText w:val="%1"/>
      <w:numFmt w:val="lowerLetter"/>
      <w:start w:val="1"/>
    </w:lvl>
    <w:lvl w:ilvl="1">
      <w:lvlJc w:val="left"/>
      <w:lvlText w:val="(%2)"/>
      <w:numFmt w:val="lowerLetter"/>
      <w:start w:val="7"/>
    </w:lvl>
  </w:abstractNum>
  <w:abstractNum w:abstractNumId="212">
    <w:nsid w:val="1C7E3C01"/>
    <w:multiLevelType w:val="hybridMultilevel"/>
    <w:lvl w:ilvl="0">
      <w:lvlJc w:val="left"/>
      <w:lvlText w:val="(%1)"/>
      <w:numFmt w:val="lowerLetter"/>
      <w:start w:val="1"/>
    </w:lvl>
    <w:lvl w:ilvl="1">
      <w:lvlJc w:val="left"/>
      <w:lvlText w:val="%2"/>
      <w:numFmt w:val="lowerLetter"/>
      <w:start w:val="1"/>
    </w:lvl>
  </w:abstractNum>
  <w:abstractNum w:abstractNumId="213">
    <w:nsid w:val="1C2201FF"/>
    <w:multiLevelType w:val="hybridMultilevel"/>
    <w:lvl w:ilvl="0">
      <w:lvlJc w:val="left"/>
      <w:lvlText w:val="(%1)"/>
      <w:numFmt w:val="lowerLetter"/>
      <w:start w:val="8"/>
    </w:lvl>
  </w:abstractNum>
  <w:abstractNum w:abstractNumId="214">
    <w:nsid w:val="50ABCEC9"/>
    <w:multiLevelType w:val="hybridMultilevel"/>
    <w:lvl w:ilvl="0">
      <w:lvlJc w:val="left"/>
      <w:lvlText w:val="(%1)"/>
      <w:numFmt w:val="lowerLetter"/>
      <w:start w:val="1"/>
    </w:lvl>
  </w:abstractNum>
  <w:abstractNum w:abstractNumId="215">
    <w:nsid w:val="7635AA2A"/>
    <w:multiLevelType w:val="hybridMultilevel"/>
    <w:lvl w:ilvl="0">
      <w:lvlJc w:val="left"/>
      <w:lvlText w:val="(%1)"/>
      <w:numFmt w:val="lowerLetter"/>
      <w:start w:val="2"/>
    </w:lvl>
  </w:abstractNum>
  <w:abstractNum w:abstractNumId="216">
    <w:nsid w:val="5E74C4D9"/>
    <w:multiLevelType w:val="hybridMultilevel"/>
    <w:lvl w:ilvl="0">
      <w:lvlJc w:val="left"/>
      <w:lvlText w:val="(%1)"/>
      <w:numFmt w:val="lowerLetter"/>
      <w:start w:val="3"/>
    </w:lvl>
    <w:lvl w:ilvl="1">
      <w:lvlJc w:val="left"/>
      <w:lvlText w:val="(%2)"/>
      <w:numFmt w:val="lowerLetter"/>
      <w:start w:val="4"/>
    </w:lvl>
  </w:abstractNum>
  <w:abstractNum w:abstractNumId="217">
    <w:nsid w:val="3B3EBE15"/>
    <w:multiLevelType w:val="hybridMultilevel"/>
    <w:lvl w:ilvl="0">
      <w:lvlJc w:val="left"/>
      <w:lvlText w:val="(%1)"/>
      <w:numFmt w:val="lowerLetter"/>
      <w:start w:val="1"/>
    </w:lvl>
  </w:abstractNum>
  <w:abstractNum w:abstractNumId="218">
    <w:nsid w:val="3822CB01"/>
    <w:multiLevelType w:val="hybridMultilevel"/>
    <w:lvl w:ilvl="0">
      <w:lvlJc w:val="left"/>
      <w:lvlText w:val="(%1)"/>
      <w:numFmt w:val="lowerLetter"/>
      <w:start w:val="2"/>
    </w:lvl>
  </w:abstractNum>
  <w:abstractNum w:abstractNumId="219">
    <w:nsid w:val="6CE00443"/>
    <w:multiLevelType w:val="hybridMultilevel"/>
    <w:lvl w:ilvl="0">
      <w:lvlJc w:val="left"/>
      <w:lvlText w:val="(%1)"/>
      <w:numFmt w:val="lowerLetter"/>
      <w:start w:val="1"/>
    </w:lvl>
  </w:abstractNum>
  <w:abstractNum w:abstractNumId="220">
    <w:nsid w:val="79F0D62F"/>
    <w:multiLevelType w:val="hybridMultilevel"/>
    <w:lvl w:ilvl="0">
      <w:lvlJc w:val="left"/>
      <w:lvlText w:val="(%1)"/>
      <w:numFmt w:val="lowerLetter"/>
      <w:start w:val="2"/>
    </w:lvl>
  </w:abstractNum>
  <w:abstractNum w:abstractNumId="221">
    <w:nsid w:val="7975E8EE"/>
    <w:multiLevelType w:val="hybridMultilevel"/>
    <w:lvl w:ilvl="0">
      <w:lvlJc w:val="left"/>
      <w:lvlText w:val="(%1)"/>
      <w:numFmt w:val="lowerLetter"/>
      <w:start w:val="5"/>
    </w:lvl>
    <w:lvl w:ilvl="1">
      <w:lvlJc w:val="left"/>
      <w:lvlText w:val="(%2)"/>
      <w:numFmt w:val="lowerRoman"/>
      <w:start w:val="2"/>
    </w:lvl>
  </w:abstractNum>
  <w:abstractNum w:abstractNumId="222">
    <w:nsid w:val="73154115"/>
    <w:multiLevelType w:val="hybridMultilevel"/>
    <w:lvl w:ilvl="0">
      <w:lvlJc w:val="left"/>
      <w:lvlText w:val="(%1)"/>
      <w:numFmt w:val="lowerLetter"/>
      <w:start w:val="3"/>
    </w:lvl>
  </w:abstractNum>
  <w:abstractNum w:abstractNumId="223">
    <w:nsid w:val="622D8102"/>
    <w:multiLevelType w:val="hybridMultilevel"/>
    <w:lvl w:ilvl="0">
      <w:lvlJc w:val="left"/>
      <w:lvlText w:val="(%1)"/>
      <w:numFmt w:val="lowerLetter"/>
      <w:start w:val="1"/>
    </w:lvl>
    <w:lvl w:ilvl="1">
      <w:lvlJc w:val="left"/>
      <w:lvlText w:val="(%2)"/>
      <w:numFmt w:val="lowerLetter"/>
      <w:start w:val="2"/>
    </w:lvl>
  </w:abstractNum>
  <w:abstractNum w:abstractNumId="224">
    <w:nsid w:val="2AB26587"/>
    <w:multiLevelType w:val="hybridMultilevel"/>
    <w:lvl w:ilvl="0">
      <w:lvlJc w:val="left"/>
      <w:lvlText w:val="(%1)"/>
      <w:numFmt w:val="lowerLetter"/>
      <w:start w:val="3"/>
    </w:lvl>
  </w:abstractNum>
  <w:abstractNum w:abstractNumId="225">
    <w:nsid w:val="44B3FA61"/>
    <w:multiLevelType w:val="hybridMultilevel"/>
    <w:lvl w:ilvl="0">
      <w:lvlJc w:val="left"/>
      <w:lvlText w:val="(%1)"/>
      <w:numFmt w:val="lowerLetter"/>
      <w:start w:val="1"/>
    </w:lvl>
    <w:lvl w:ilvl="1">
      <w:lvlJc w:val="left"/>
      <w:lvlText w:val="(%2)"/>
      <w:numFmt w:val="lowerLetter"/>
      <w:start w:val="9"/>
    </w:lvl>
  </w:abstractNum>
  <w:abstractNum w:abstractNumId="226">
    <w:nsid w:val="1C0CA67C"/>
    <w:multiLevelType w:val="hybridMultilevel"/>
    <w:lvl w:ilvl="0">
      <w:lvlJc w:val="left"/>
      <w:lvlText w:val="(%1)"/>
      <w:numFmt w:val="lowerRoman"/>
      <w:start w:val="2"/>
    </w:lvl>
  </w:abstractNum>
  <w:abstractNum w:abstractNumId="227">
    <w:nsid w:val="3D206613"/>
    <w:multiLevelType w:val="hybridMultilevel"/>
    <w:lvl w:ilvl="0">
      <w:lvlJc w:val="left"/>
      <w:lvlText w:val="(%1)"/>
      <w:numFmt w:val="lowerLetter"/>
      <w:start w:val="2"/>
    </w:lvl>
  </w:abstractNum>
  <w:abstractNum w:abstractNumId="228">
    <w:nsid w:val="7993B662"/>
    <w:multiLevelType w:val="hybridMultilevel"/>
    <w:lvl w:ilvl="0">
      <w:lvlJc w:val="left"/>
      <w:lvlText w:val="(%1)"/>
      <w:numFmt w:val="lowerLetter"/>
      <w:start w:val="1"/>
    </w:lvl>
  </w:abstractNum>
  <w:abstractNum w:abstractNumId="229">
    <w:nsid w:val="3BAB699E"/>
    <w:multiLevelType w:val="hybridMultilevel"/>
    <w:lvl w:ilvl="0">
      <w:lvlJc w:val="left"/>
      <w:lvlText w:val="(%1)"/>
      <w:numFmt w:val="lowerLetter"/>
      <w:start w:val="3"/>
    </w:lvl>
  </w:abstractNum>
  <w:abstractNum w:abstractNumId="230">
    <w:nsid w:val="71315369"/>
    <w:multiLevelType w:val="hybridMultilevel"/>
    <w:lvl w:ilvl="0">
      <w:lvlJc w:val="left"/>
      <w:lvlText w:val="(%1)"/>
      <w:numFmt w:val="lowerLetter"/>
      <w:start w:val="1"/>
    </w:lvl>
  </w:abstractNum>
  <w:abstractNum w:abstractNumId="231">
    <w:nsid w:val="7BCFBAFC"/>
    <w:multiLevelType w:val="hybridMultilevel"/>
    <w:lvl w:ilvl="0">
      <w:lvlJc w:val="left"/>
      <w:lvlText w:val="(%1)"/>
      <w:numFmt w:val="lowerLetter"/>
      <w:start w:val="2"/>
    </w:lvl>
  </w:abstractNum>
  <w:abstractNum w:abstractNumId="232">
    <w:nsid w:val="17859F72"/>
    <w:multiLevelType w:val="hybridMultilevel"/>
    <w:lvl w:ilvl="0">
      <w:lvlJc w:val="left"/>
      <w:lvlText w:val="(%1)"/>
      <w:numFmt w:val="lowerLetter"/>
      <w:start w:val="1"/>
    </w:lvl>
  </w:abstractNum>
  <w:abstractNum w:abstractNumId="233">
    <w:nsid w:val="3AA10581"/>
    <w:multiLevelType w:val="hybridMultilevel"/>
    <w:lvl w:ilvl="0">
      <w:lvlJc w:val="left"/>
      <w:lvlText w:val="(%1)"/>
      <w:numFmt w:val="lowerLetter"/>
      <w:start w:val="2"/>
    </w:lvl>
  </w:abstractNum>
  <w:abstractNum w:abstractNumId="234">
    <w:nsid w:val="63DE60CD"/>
    <w:multiLevelType w:val="hybridMultilevel"/>
    <w:lvl w:ilvl="0">
      <w:lvlJc w:val="left"/>
      <w:lvlText w:val="(%1)"/>
      <w:numFmt w:val="lowerLetter"/>
      <w:start w:val="1"/>
    </w:lvl>
  </w:abstractNum>
  <w:abstractNum w:abstractNumId="235">
    <w:nsid w:val="621AF471"/>
    <w:multiLevelType w:val="hybridMultilevel"/>
    <w:lvl w:ilvl="0">
      <w:lvlJc w:val="left"/>
      <w:lvlText w:val="(%1)"/>
      <w:numFmt w:val="lowerLetter"/>
      <w:start w:val="1"/>
    </w:lvl>
  </w:abstractNum>
  <w:abstractNum w:abstractNumId="236">
    <w:nsid w:val="73CFE165"/>
    <w:multiLevelType w:val="hybridMultilevel"/>
    <w:lvl w:ilvl="0">
      <w:lvlJc w:val="left"/>
      <w:lvlText w:val="(%1)"/>
      <w:numFmt w:val="lowerLetter"/>
      <w:start w:val="1"/>
    </w:lvl>
  </w:abstractNum>
  <w:abstractNum w:abstractNumId="237">
    <w:nsid w:val="20F88EA6"/>
    <w:multiLevelType w:val="hybridMultilevel"/>
    <w:lvl w:ilvl="0">
      <w:lvlJc w:val="left"/>
      <w:lvlText w:val="(%1)"/>
      <w:numFmt w:val="lowerLetter"/>
      <w:start w:val="3"/>
    </w:lvl>
  </w:abstractNum>
  <w:abstractNum w:abstractNumId="238">
    <w:nsid w:val="617C843E"/>
    <w:multiLevelType w:val="hybridMultilevel"/>
    <w:lvl w:ilvl="0">
      <w:lvlJc w:val="left"/>
      <w:lvlText w:val="(%1)"/>
      <w:numFmt w:val="lowerLetter"/>
      <w:start w:val="1"/>
    </w:lvl>
  </w:abstractNum>
  <w:abstractNum w:abstractNumId="239">
    <w:nsid w:val="7B541FAB"/>
    <w:multiLevelType w:val="hybridMultilevel"/>
    <w:lvl w:ilvl="0">
      <w:lvlJc w:val="left"/>
      <w:lvlText w:val="%1"/>
      <w:numFmt w:val="lowerLetter"/>
      <w:start w:val="1"/>
    </w:lvl>
    <w:lvl w:ilvl="1">
      <w:lvlJc w:val="left"/>
      <w:lvlText w:val="(%2)"/>
      <w:numFmt w:val="lowerLetter"/>
      <w:start w:val="2"/>
    </w:lvl>
  </w:abstractNum>
  <w:abstractNum w:abstractNumId="240">
    <w:nsid w:val="2A79EC49"/>
    <w:multiLevelType w:val="hybridMultilevel"/>
    <w:lvl w:ilvl="0">
      <w:lvlJc w:val="left"/>
      <w:lvlText w:val="(%1)"/>
      <w:numFmt w:val="lowerLetter"/>
      <w:start w:val="1"/>
    </w:lvl>
    <w:lvl w:ilvl="1">
      <w:lvlJc w:val="left"/>
      <w:lvlText w:val="%2"/>
      <w:numFmt w:val="lowerLetter"/>
      <w:start w:val="1"/>
    </w:lvl>
  </w:abstractNum>
  <w:abstractNum w:abstractNumId="241">
    <w:nsid w:val="338125CF"/>
    <w:multiLevelType w:val="hybridMultilevel"/>
    <w:lvl w:ilvl="0">
      <w:lvlJc w:val="left"/>
      <w:lvlText w:val="(%1)"/>
      <w:numFmt w:val="lowerLetter"/>
      <w:start w:val="1"/>
    </w:lvl>
  </w:abstractNum>
  <w:abstractNum w:abstractNumId="242">
    <w:nsid w:val="47C7C971"/>
    <w:multiLevelType w:val="hybridMultilevel"/>
    <w:lvl w:ilvl="0">
      <w:lvlJc w:val="left"/>
      <w:lvlText w:val="%1"/>
      <w:numFmt w:val="lowerLetter"/>
      <w:start w:val="1"/>
    </w:lvl>
    <w:lvl w:ilvl="1">
      <w:lvlJc w:val="left"/>
      <w:lvlText w:val="(%2)"/>
      <w:numFmt w:val="lowerLetter"/>
      <w:start w:val="4"/>
    </w:lvl>
  </w:abstractNum>
  <w:abstractNum w:abstractNumId="243">
    <w:nsid w:val="46F8284B"/>
    <w:multiLevelType w:val="hybridMultilevel"/>
    <w:lvl w:ilvl="0">
      <w:lvlJc w:val="left"/>
      <w:lvlText w:val="(%1)"/>
      <w:numFmt w:val="lowerLetter"/>
      <w:start w:val="5"/>
    </w:lvl>
    <w:lvl w:ilvl="1">
      <w:lvlJc w:val="left"/>
      <w:lvlText w:val="(%2)"/>
      <w:numFmt w:val="lowerLetter"/>
      <w:start w:val="7"/>
    </w:lvl>
  </w:abstractNum>
  <w:abstractNum w:abstractNumId="244">
    <w:nsid w:val="4FA327CE"/>
    <w:multiLevelType w:val="hybridMultilevel"/>
    <w:lvl w:ilvl="0">
      <w:lvlJc w:val="left"/>
      <w:lvlText w:val="(%1)"/>
      <w:numFmt w:val="lowerLetter"/>
      <w:start w:val="12"/>
    </w:lvl>
  </w:abstractNum>
  <w:abstractNum w:abstractNumId="245">
    <w:nsid w:val="1873983A"/>
    <w:multiLevelType w:val="hybridMultilevel"/>
    <w:lvl w:ilvl="0">
      <w:lvlJc w:val="left"/>
      <w:lvlText w:val=";"/>
      <w:numFmt w:val="bullet"/>
      <w:start w:val="1"/>
    </w:lvl>
    <w:lvl w:ilvl="1">
      <w:lvlJc w:val="left"/>
      <w:lvlText w:val="(%2)"/>
      <w:numFmt w:val="lowerLetter"/>
      <w:start w:val="1"/>
    </w:lvl>
  </w:abstractNum>
  <w:abstractNum w:abstractNumId="246">
    <w:nsid w:val="3D2DD275"/>
    <w:multiLevelType w:val="hybridMultilevel"/>
    <w:lvl w:ilvl="0">
      <w:lvlJc w:val="left"/>
      <w:lvlText w:val="%1"/>
      <w:numFmt w:val="lowerLetter"/>
      <w:start w:val="1"/>
    </w:lvl>
    <w:lvl w:ilvl="1">
      <w:lvlJc w:val="left"/>
      <w:lvlText w:val="(%2)"/>
      <w:numFmt w:val="lowerLetter"/>
      <w:start w:val="1"/>
    </w:lvl>
  </w:abstractNum>
  <w:abstractNum w:abstractNumId="247">
    <w:nsid w:val="2E17ECA7"/>
    <w:multiLevelType w:val="hybridMultilevel"/>
    <w:lvl w:ilvl="0">
      <w:lvlJc w:val="left"/>
      <w:lvlText w:val="(%1)"/>
      <w:numFmt w:val="lowerLetter"/>
      <w:start w:val="2"/>
    </w:lvl>
    <w:lvl w:ilvl="1">
      <w:lvlJc w:val="left"/>
      <w:lvlText w:val="(%2)"/>
      <w:numFmt w:val="lowerLetter"/>
      <w:start w:val="3"/>
    </w:lvl>
  </w:abstractNum>
  <w:abstractNum w:abstractNumId="248">
    <w:nsid w:val="53B2564F"/>
    <w:multiLevelType w:val="hybridMultilevel"/>
    <w:lvl w:ilvl="0">
      <w:lvlJc w:val="left"/>
      <w:lvlText w:val="(%1)"/>
      <w:numFmt w:val="lowerLetter"/>
      <w:start w:val="4"/>
    </w:lvl>
  </w:abstractNum>
  <w:abstractNum w:abstractNumId="249">
    <w:nsid w:val="75509D76"/>
    <w:multiLevelType w:val="hybridMultilevel"/>
    <w:lvl w:ilvl="0">
      <w:lvlJc w:val="left"/>
      <w:lvlText w:val="(%1)"/>
      <w:numFmt w:val="lowerRoman"/>
      <w:start w:val="2"/>
    </w:lvl>
  </w:abstractNum>
  <w:abstractNum w:abstractNumId="250">
    <w:nsid w:val="1AF7F0EA"/>
    <w:multiLevelType w:val="hybridMultilevel"/>
    <w:lvl w:ilvl="0">
      <w:lvlJc w:val="left"/>
      <w:lvlText w:val="(%1)"/>
      <w:numFmt w:val="lowerLetter"/>
      <w:start w:val="2"/>
    </w:lvl>
  </w:abstractNum>
  <w:abstractNum w:abstractNumId="251">
    <w:nsid w:val="4DA32C7E"/>
    <w:multiLevelType w:val="hybridMultilevel"/>
    <w:lvl w:ilvl="0">
      <w:lvlJc w:val="left"/>
      <w:lvlText w:val="%1"/>
      <w:numFmt w:val="lowerLetter"/>
      <w:start w:val="1"/>
    </w:lvl>
    <w:lvl w:ilvl="1">
      <w:lvlJc w:val="left"/>
      <w:lvlText w:val="(%2)"/>
      <w:numFmt w:val="lowerLetter"/>
      <w:start w:val="1"/>
    </w:lvl>
  </w:abstractNum>
  <w:abstractNum w:abstractNumId="252">
    <w:nsid w:val="6EC68664"/>
    <w:multiLevelType w:val="hybridMultilevel"/>
    <w:lvl w:ilvl="0">
      <w:lvlJc w:val="left"/>
      <w:lvlText w:val="(%1)"/>
      <w:numFmt w:val="lowerLetter"/>
      <w:start w:val="2"/>
    </w:lvl>
    <w:lvl w:ilvl="1">
      <w:lvlJc w:val="left"/>
      <w:lvlText w:val="%2"/>
      <w:numFmt w:val="lowerLetter"/>
      <w:start w:val="1"/>
    </w:lvl>
  </w:abstractNum>
  <w:abstractNum w:abstractNumId="253">
    <w:nsid w:val="E0D31FF"/>
    <w:multiLevelType w:val="hybridMultilevel"/>
    <w:lvl w:ilvl="0">
      <w:lvlJc w:val="left"/>
      <w:lvlText w:val="(%1)"/>
      <w:numFmt w:val="lowerLetter"/>
      <w:start w:val="3"/>
    </w:lvl>
  </w:abstractNum>
  <w:abstractNum w:abstractNumId="254">
    <w:nsid w:val="2FD0AD81"/>
    <w:multiLevelType w:val="hybridMultilevel"/>
    <w:lvl w:ilvl="0">
      <w:lvlJc w:val="left"/>
      <w:lvlText w:val="%1"/>
      <w:numFmt w:val="lowerLetter"/>
      <w:start w:val="1"/>
    </w:lvl>
    <w:lvl w:ilvl="1">
      <w:lvlJc w:val="left"/>
      <w:lvlText w:val="(%2)"/>
      <w:numFmt w:val="lowerLetter"/>
      <w:start w:val="1"/>
    </w:lvl>
  </w:abstractNum>
  <w:abstractNum w:abstractNumId="255">
    <w:nsid w:val="1978EBEB"/>
    <w:multiLevelType w:val="hybridMultilevel"/>
    <w:lvl w:ilvl="0">
      <w:lvlJc w:val="left"/>
      <w:lvlText w:val="(%1)"/>
      <w:numFmt w:val="lowerLetter"/>
      <w:start w:val="2"/>
    </w:lvl>
    <w:lvl w:ilvl="1">
      <w:lvlJc w:val="left"/>
      <w:lvlText w:val="%2"/>
      <w:numFmt w:val="lowerLetter"/>
      <w:start w:val="1"/>
    </w:lvl>
  </w:abstractNum>
  <w:abstractNum w:abstractNumId="256">
    <w:nsid w:val="52C12C61"/>
    <w:multiLevelType w:val="hybridMultilevel"/>
    <w:lvl w:ilvl="0">
      <w:lvlJc w:val="left"/>
      <w:lvlText w:val="(%1)"/>
      <w:numFmt w:val="lowerLetter"/>
      <w:start w:val="1"/>
    </w:lvl>
  </w:abstractNum>
  <w:abstractNum w:abstractNumId="257">
    <w:nsid w:val="4BDD53FD"/>
    <w:multiLevelType w:val="hybridMultilevel"/>
    <w:lvl w:ilvl="0">
      <w:lvlJc w:val="left"/>
      <w:lvlText w:val="(%1)"/>
      <w:numFmt w:val="lowerLetter"/>
      <w:start w:val="2"/>
    </w:lvl>
  </w:abstractNum>
  <w:abstractNum w:abstractNumId="258">
    <w:nsid w:val="569951FE"/>
    <w:multiLevelType w:val="hybridMultilevel"/>
    <w:lvl w:ilvl="0">
      <w:lvlJc w:val="left"/>
      <w:lvlText w:val="(%1)"/>
      <w:numFmt w:val="lowerLetter"/>
      <w:start w:val="1"/>
    </w:lvl>
    <w:lvl w:ilvl="1">
      <w:lvlJc w:val="left"/>
      <w:lvlText w:val="(%2)"/>
      <w:numFmt w:val="lowerLetter"/>
      <w:start w:val="2"/>
    </w:lvl>
  </w:abstractNum>
  <w:abstractNum w:abstractNumId="259">
    <w:nsid w:val="4C54E2C3"/>
    <w:multiLevelType w:val="hybridMultilevel"/>
    <w:lvl w:ilvl="0">
      <w:lvlJc w:val="left"/>
      <w:lvlText w:val="(%1)"/>
      <w:numFmt w:val="lowerLetter"/>
      <w:start w:val="1"/>
    </w:lvl>
  </w:abstractNum>
  <w:abstractNum w:abstractNumId="260">
    <w:nsid w:val="788BD9B"/>
    <w:multiLevelType w:val="hybridMultilevel"/>
    <w:lvl w:ilvl="0">
      <w:lvlJc w:val="left"/>
      <w:lvlText w:val="(%1)"/>
      <w:numFmt w:val="lowerLetter"/>
      <w:start w:val="2"/>
    </w:lvl>
  </w:abstractNum>
  <w:abstractNum w:abstractNumId="261">
    <w:nsid w:val="47CAA567"/>
    <w:multiLevelType w:val="hybridMultilevel"/>
    <w:lvl w:ilvl="0">
      <w:lvlJc w:val="left"/>
      <w:lvlText w:val="(%1)"/>
      <w:numFmt w:val="lowerLetter"/>
      <w:start w:val="1"/>
    </w:lvl>
  </w:abstractNum>
  <w:abstractNum w:abstractNumId="262">
    <w:nsid w:val="48249DBF"/>
    <w:multiLevelType w:val="hybridMultilevel"/>
    <w:lvl w:ilvl="0">
      <w:lvlJc w:val="left"/>
      <w:lvlText w:val="(%1)"/>
      <w:numFmt w:val="lowerRoman"/>
      <w:start w:val="24"/>
    </w:lvl>
  </w:abstractNum>
  <w:abstractNum w:abstractNumId="263">
    <w:nsid w:val="1F0E5D0D"/>
    <w:multiLevelType w:val="hybridMultilevel"/>
    <w:lvl w:ilvl="0">
      <w:lvlJc w:val="left"/>
      <w:lvlText w:val="(%1)"/>
      <w:numFmt w:val="lowerLetter"/>
      <w:start w:val="1"/>
    </w:lvl>
    <w:lvl w:ilvl="1">
      <w:lvlJc w:val="left"/>
      <w:lvlText w:val="(%2)"/>
      <w:numFmt w:val="lowerRoman"/>
      <w:start w:val="1"/>
    </w:lvl>
  </w:abstractNum>
  <w:abstractNum w:abstractNumId="264">
    <w:nsid w:val="26BAAE9"/>
    <w:multiLevelType w:val="hybridMultilevel"/>
    <w:lvl w:ilvl="0">
      <w:lvlJc w:val="left"/>
      <w:lvlText w:val="(%1)"/>
      <w:numFmt w:val="lowerRoman"/>
      <w:start w:val="3"/>
    </w:lvl>
  </w:abstractNum>
  <w:abstractNum w:abstractNumId="265">
    <w:nsid w:val="2C02FE8C"/>
    <w:multiLevelType w:val="hybridMultilevel"/>
    <w:lvl w:ilvl="0">
      <w:lvlJc w:val="left"/>
      <w:lvlText w:val="(%1)"/>
      <w:numFmt w:val="lowerRoman"/>
      <w:start w:val="8"/>
    </w:lvl>
  </w:abstractNum>
  <w:abstractNum w:abstractNumId="266">
    <w:nsid w:val="129517E"/>
    <w:multiLevelType w:val="hybridMultilevel"/>
    <w:lvl w:ilvl="0">
      <w:lvlJc w:val="left"/>
      <w:lvlText w:val="(%1)"/>
      <w:numFmt w:val="lowerRoman"/>
      <w:start w:val="15"/>
    </w:lvl>
  </w:abstractNum>
  <w:abstractNum w:abstractNumId="267">
    <w:nsid w:val="763B8C4E"/>
    <w:multiLevelType w:val="hybridMultilevel"/>
    <w:lvl w:ilvl="0">
      <w:lvlJc w:val="left"/>
      <w:lvlText w:val="(%1)"/>
      <w:numFmt w:val="lowerRoman"/>
      <w:start w:val="16"/>
    </w:lvl>
  </w:abstractNum>
  <w:abstractNum w:abstractNumId="268">
    <w:nsid w:val="4CFB8D32"/>
    <w:multiLevelType w:val="hybridMultilevel"/>
    <w:lvl w:ilvl="0">
      <w:lvlJc w:val="left"/>
      <w:lvlText w:val="(%1)"/>
      <w:numFmt w:val="lowerRoman"/>
      <w:start w:val="17"/>
    </w:lvl>
  </w:abstractNum>
  <w:abstractNum w:abstractNumId="269">
    <w:nsid w:val="62A5D5BD"/>
    <w:multiLevelType w:val="hybridMultilevel"/>
    <w:lvl w:ilvl="0">
      <w:lvlJc w:val="left"/>
      <w:lvlText w:val="(%1)"/>
      <w:numFmt w:val="lowerRoman"/>
      <w:start w:val="19"/>
    </w:lvl>
  </w:abstractNum>
  <w:abstractNum w:abstractNumId="270">
    <w:nsid w:val="718FABF9"/>
    <w:multiLevelType w:val="hybridMultilevel"/>
    <w:lvl w:ilvl="0">
      <w:lvlJc w:val="left"/>
      <w:lvlText w:val="(%1)"/>
      <w:numFmt w:val="lowerRoman"/>
      <w:start w:val="24"/>
    </w:lvl>
  </w:abstractNum>
  <w:abstractNum w:abstractNumId="271">
    <w:nsid w:val="7775797C"/>
    <w:multiLevelType w:val="hybridMultilevel"/>
    <w:lvl w:ilvl="0">
      <w:lvlJc w:val="left"/>
      <w:lvlText w:val="(%1)"/>
      <w:numFmt w:val="lowerRoman"/>
      <w:start w:val="29"/>
    </w:lvl>
  </w:abstractNum>
  <w:abstractNum w:abstractNumId="272">
    <w:nsid w:val="1626FB8C"/>
    <w:multiLevelType w:val="hybridMultilevel"/>
    <w:lvl w:ilvl="0">
      <w:lvlJc w:val="left"/>
      <w:lvlText w:val="(%1)"/>
      <w:numFmt w:val="lowerLetter"/>
      <w:start w:val="2"/>
    </w:lvl>
  </w:abstractNum>
  <w:abstractNum w:abstractNumId="273">
    <w:nsid w:val="3957756A"/>
    <w:multiLevelType w:val="hybridMultilevel"/>
    <w:lvl w:ilvl="0">
      <w:lvlJc w:val="left"/>
      <w:lvlText w:val="%1"/>
      <w:numFmt w:val="upperLetter"/>
      <w:start w:val="1"/>
    </w:lvl>
    <w:lvl w:ilvl="1">
      <w:lvlJc w:val="left"/>
      <w:lvlText w:val="(%2)"/>
      <w:numFmt w:val="lowerRoman"/>
      <w:start w:val="1"/>
    </w:lvl>
  </w:abstractNum>
  <w:abstractNum w:abstractNumId="274">
    <w:nsid w:val="3E6DA1C7"/>
    <w:multiLevelType w:val="hybridMultilevel"/>
    <w:lvl w:ilvl="0">
      <w:lvlJc w:val="left"/>
      <w:lvlText w:val="(%1)"/>
      <w:numFmt w:val="upperLetter"/>
      <w:start w:val="3"/>
    </w:lvl>
    <w:lvl w:ilvl="1">
      <w:lvlJc w:val="left"/>
      <w:lvlText w:val="(%2)"/>
      <w:numFmt w:val="lowerRoman"/>
      <w:start w:val="5"/>
    </w:lvl>
  </w:abstractNum>
  <w:abstractNum w:abstractNumId="275">
    <w:nsid w:val="65CA235B"/>
    <w:multiLevelType w:val="hybridMultilevel"/>
    <w:lvl w:ilvl="0">
      <w:lvlJc w:val="left"/>
      <w:lvlText w:val="(%1)"/>
      <w:numFmt w:val="lowerRoman"/>
      <w:start w:val="9"/>
    </w:lvl>
  </w:abstractNum>
  <w:abstractNum w:abstractNumId="276">
    <w:nsid w:val="51CB0DA4"/>
    <w:multiLevelType w:val="hybridMultilevel"/>
    <w:lvl w:ilvl="0">
      <w:lvlJc w:val="left"/>
      <w:lvlText w:val="(%1)"/>
      <w:numFmt w:val="lowerRoman"/>
      <w:start w:val="20"/>
    </w:lvl>
  </w:abstractNum>
  <w:abstractNum w:abstractNumId="277">
    <w:nsid w:val="7B9B743C"/>
    <w:multiLevelType w:val="hybridMultilevel"/>
    <w:lvl w:ilvl="0">
      <w:lvlJc w:val="left"/>
      <w:lvlText w:val="(%1)"/>
      <w:numFmt w:val="lowerRoman"/>
      <w:start w:val="25"/>
    </w:lvl>
  </w:abstractNum>
  <w:abstractNum w:abstractNumId="278">
    <w:nsid w:val="13E21002"/>
    <w:multiLevelType w:val="hybridMultilevel"/>
    <w:lvl w:ilvl="0">
      <w:lvlJc w:val="left"/>
      <w:lvlText w:val="(%1)"/>
      <w:numFmt w:val="upperLetter"/>
      <w:start w:val="1"/>
    </w:lvl>
  </w:abstractNum>
  <w:abstractNum w:abstractNumId="279">
    <w:nsid w:val="257D63F4"/>
    <w:multiLevelType w:val="hybridMultilevel"/>
    <w:lvl w:ilvl="0">
      <w:lvlJc w:val="left"/>
      <w:lvlText w:val="(%1)"/>
      <w:numFmt w:val="lowerRoman"/>
      <w:start w:val="30"/>
    </w:lvl>
  </w:abstractNum>
  <w:abstractNum w:abstractNumId="280">
    <w:nsid w:val="70EC11B2"/>
    <w:multiLevelType w:val="hybridMultilevel"/>
    <w:lvl w:ilvl="0">
      <w:lvlJc w:val="left"/>
      <w:lvlText w:val="(%1)"/>
      <w:numFmt w:val="lowerLetter"/>
      <w:start w:val="1"/>
    </w:lvl>
    <w:lvl w:ilvl="1">
      <w:lvlJc w:val="left"/>
      <w:lvlText w:val="(%2)"/>
      <w:numFmt w:val="lowerRoman"/>
      <w:start w:val="1"/>
    </w:lvl>
  </w:abstractNum>
  <w:abstractNum w:abstractNumId="281">
    <w:nsid w:val="2EDA00ED"/>
    <w:multiLevelType w:val="hybridMultilevel"/>
    <w:lvl w:ilvl="0">
      <w:lvlJc w:val="left"/>
      <w:lvlText w:val="%1"/>
      <w:numFmt w:val="lowerLetter"/>
      <w:start w:val="1"/>
    </w:lvl>
    <w:lvl w:ilvl="1">
      <w:lvlJc w:val="left"/>
      <w:lvlText w:val="(%2)"/>
      <w:numFmt w:val="lowerRoman"/>
      <w:start w:val="5"/>
    </w:lvl>
  </w:abstractNum>
  <w:abstractNum w:abstractNumId="282">
    <w:nsid w:val="73209072"/>
    <w:multiLevelType w:val="hybridMultilevel"/>
    <w:lvl w:ilvl="0">
      <w:lvlJc w:val="left"/>
      <w:lvlText w:val="(%1)"/>
      <w:numFmt w:val="lowerLetter"/>
      <w:start w:val="2"/>
    </w:lvl>
    <w:lvl w:ilvl="1">
      <w:lvlJc w:val="left"/>
      <w:lvlText w:val="%2"/>
      <w:numFmt w:val="lowerRoman"/>
      <w:start w:val="1"/>
    </w:lvl>
  </w:abstractNum>
  <w:abstractNum w:abstractNumId="283">
    <w:nsid w:val="5FB29816"/>
    <w:multiLevelType w:val="hybridMultilevel"/>
    <w:lvl w:ilvl="0">
      <w:lvlJc w:val="left"/>
      <w:lvlText w:val="(%1)"/>
      <w:numFmt w:val="lowerLetter"/>
      <w:start w:val="1"/>
    </w:lvl>
  </w:abstractNum>
  <w:abstractNum w:abstractNumId="284">
    <w:nsid w:val="3CE732EC"/>
    <w:multiLevelType w:val="hybridMultilevel"/>
    <w:lvl w:ilvl="0">
      <w:lvlJc w:val="left"/>
      <w:lvlText w:val="(%1)"/>
      <w:numFmt w:val="lowerLetter"/>
      <w:start w:val="2"/>
    </w:lvl>
  </w:abstractNum>
  <w:abstractNum w:abstractNumId="285">
    <w:nsid w:val="22F13DF3"/>
    <w:multiLevelType w:val="hybridMultilevel"/>
    <w:lvl w:ilvl="0">
      <w:lvlJc w:val="left"/>
      <w:lvlText w:val="(%1)"/>
      <w:numFmt w:val="lowerLetter"/>
      <w:start w:val="13"/>
    </w:lvl>
    <w:lvl w:ilvl="1">
      <w:lvlJc w:val="left"/>
      <w:lvlText w:val="(%2)"/>
      <w:numFmt w:val="lowerLetter"/>
      <w:start w:val="14"/>
    </w:lvl>
  </w:abstractNum>
  <w:abstractNum w:abstractNumId="286">
    <w:nsid w:val="792B8401"/>
    <w:multiLevelType w:val="hybridMultilevel"/>
    <w:lvl w:ilvl="0">
      <w:lvlJc w:val="left"/>
      <w:lvlText w:val="%1"/>
      <w:numFmt w:val="lowerLetter"/>
      <w:start w:val="1"/>
    </w:lvl>
    <w:lvl w:ilvl="1">
      <w:lvlJc w:val="left"/>
      <w:lvlText w:val="(%2)"/>
      <w:numFmt w:val="lowerLetter"/>
      <w:start w:val="21"/>
    </w:lvl>
  </w:abstractNum>
  <w:abstractNum w:abstractNumId="287">
    <w:nsid w:val="FA85F4D"/>
    <w:multiLevelType w:val="hybridMultilevel"/>
    <w:lvl w:ilvl="0">
      <w:lvlJc w:val="left"/>
      <w:lvlText w:val="(%1)"/>
      <w:numFmt w:val="lowerLetter"/>
      <w:start w:val="25"/>
    </w:lvl>
    <w:lvl w:ilvl="1">
      <w:lvlJc w:val="left"/>
      <w:lvlText w:val="(%2)"/>
      <w:numFmt w:val="lowerLetter"/>
      <w:start w:val="26"/>
    </w:lvl>
  </w:abstractNum>
  <w:abstractNum w:abstractNumId="288">
    <w:nsid w:val="6ECE91F0"/>
    <w:multiLevelType w:val="hybridMultilevel"/>
    <w:lvl w:ilvl="0">
      <w:lvlJc w:val="left"/>
      <w:lvlText w:val="%1"/>
      <w:numFmt w:val="lowerLetter"/>
      <w:start w:val="1"/>
    </w:lvl>
    <w:lvl w:ilvl="1">
      <w:lvlJc w:val="left"/>
      <w:lvlText w:val="(%2)"/>
      <w:numFmt w:val="lowerLetter"/>
      <w:start w:val="27"/>
    </w:lvl>
  </w:abstractNum>
  <w:abstractNum w:abstractNumId="289">
    <w:nsid w:val="4FC4D600"/>
    <w:multiLevelType w:val="hybridMultilevel"/>
    <w:lvl w:ilvl="0">
      <w:lvlJc w:val="left"/>
      <w:lvlText w:val="(%1)"/>
      <w:numFmt w:val="lowerLetter"/>
      <w:start w:val="29"/>
    </w:lvl>
    <w:lvl w:ilvl="1">
      <w:lvlJc w:val="left"/>
      <w:lvlText w:val="%2"/>
      <w:numFmt w:val="lowerLetter"/>
      <w:start w:val="1"/>
    </w:lvl>
  </w:abstractNum>
  <w:abstractNum w:abstractNumId="290">
    <w:nsid w:val="5BFD4210"/>
    <w:multiLevelType w:val="hybridMultilevel"/>
    <w:lvl w:ilvl="0">
      <w:lvlJc w:val="left"/>
      <w:lvlText w:val="(%1)"/>
      <w:numFmt w:val="lowerLetter"/>
      <w:start w:val="32"/>
    </w:lvl>
  </w:abstractNum>
  <w:abstractNum w:abstractNumId="291">
    <w:nsid w:val="76574F8B"/>
    <w:multiLevelType w:val="hybridMultilevel"/>
    <w:lvl w:ilvl="0">
      <w:lvlJc w:val="left"/>
      <w:lvlText w:val="(%1)"/>
      <w:numFmt w:val="lowerLetter"/>
      <w:start w:val="1"/>
    </w:lvl>
  </w:abstractNum>
  <w:abstractNum w:abstractNumId="292">
    <w:nsid w:val="178F7B67"/>
    <w:multiLevelType w:val="hybridMultilevel"/>
    <w:lvl w:ilvl="0">
      <w:lvlJc w:val="left"/>
      <w:lvlText w:val="(%1)"/>
      <w:numFmt w:val="lowerLetter"/>
      <w:start w:val="12"/>
    </w:lvl>
  </w:abstractNum>
  <w:abstractNum w:abstractNumId="293">
    <w:nsid w:val="2421DFCF"/>
    <w:multiLevelType w:val="hybridMultilevel"/>
    <w:lvl w:ilvl="0">
      <w:lvlJc w:val="left"/>
      <w:lvlText w:val="(%1)"/>
      <w:numFmt w:val="lowerLetter"/>
      <w:start w:val="18"/>
    </w:lvl>
  </w:abstractNum>
  <w:abstractNum w:abstractNumId="294">
    <w:nsid w:val="1565AC99"/>
    <w:multiLevelType w:val="hybridMultilevel"/>
    <w:lvl w:ilvl="0">
      <w:lvlJc w:val="left"/>
      <w:lvlText w:val="(%1)"/>
      <w:numFmt w:val="lowerLetter"/>
      <w:start w:val="27"/>
    </w:lvl>
  </w:abstractNum>
  <w:abstractNum w:abstractNumId="295">
    <w:nsid w:val="19FB2650"/>
    <w:multiLevelType w:val="hybridMultilevel"/>
    <w:lvl w:ilvl="0">
      <w:lvlJc w:val="left"/>
      <w:lvlText w:val="(%1)"/>
      <w:numFmt w:val="lowerLetter"/>
      <w:start w:val="1"/>
    </w:lvl>
  </w:abstractNum>
  <w:abstractNum w:abstractNumId="296">
    <w:nsid w:val="5024DE5B"/>
    <w:multiLevelType w:val="hybridMultilevel"/>
    <w:lvl w:ilvl="0">
      <w:lvlJc w:val="left"/>
      <w:lvlText w:val="(%1)"/>
      <w:numFmt w:val="lowerRoman"/>
      <w:start w:val="1"/>
    </w:lvl>
  </w:abstractNum>
  <w:abstractNum w:abstractNumId="297">
    <w:nsid w:val="168EFE17"/>
    <w:multiLevelType w:val="hybridMultilevel"/>
    <w:lvl w:ilvl="0">
      <w:lvlJc w:val="left"/>
      <w:lvlText w:val="(%1)"/>
      <w:numFmt w:val="lowerRoman"/>
      <w:start w:val="6"/>
    </w:lvl>
    <w:lvl w:ilvl="1">
      <w:lvlJc w:val="left"/>
      <w:lvlText w:val="(%2)"/>
      <w:numFmt w:val="upperLetter"/>
      <w:start w:val="1"/>
    </w:lvl>
  </w:abstractNum>
  <w:abstractNum w:abstractNumId="298">
    <w:nsid w:val="1036B29F"/>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5"/>
    </w:lvl>
  </w:abstractNum>
  <w:abstractNum w:abstractNumId="299">
    <w:nsid w:val="1D206B8E"/>
    <w:multiLevelType w:val="hybridMultilevel"/>
    <w:lvl w:ilvl="0">
      <w:lvlJc w:val="left"/>
      <w:lvlText w:val="(%1)"/>
      <w:numFmt w:val="lowerRoman"/>
      <w:start w:val="5"/>
    </w:lvl>
    <w:lvl w:ilvl="1">
      <w:lvlJc w:val="left"/>
      <w:lvlText w:val="(%2)"/>
      <w:numFmt w:val="lowerRoman"/>
      <w:start w:val="8"/>
    </w:lvl>
    <w:lvl w:ilvl="2">
      <w:lvlJc w:val="left"/>
      <w:lvlText w:val="%3"/>
      <w:numFmt w:val="upperLetter"/>
      <w:start w:val="1"/>
    </w:lvl>
  </w:abstractNum>
  <w:abstractNum w:abstractNumId="300">
    <w:nsid w:val="7934D3D4"/>
    <w:multiLevelType w:val="hybridMultilevel"/>
    <w:lvl w:ilvl="0">
      <w:lvlJc w:val="left"/>
      <w:lvlText w:val="%1"/>
      <w:numFmt w:val="upperLetter"/>
      <w:start w:val="1"/>
    </w:lvl>
    <w:lvl w:ilvl="1">
      <w:lvlJc w:val="left"/>
      <w:lvlText w:val="(%2)"/>
      <w:numFmt w:val="lowerRoman"/>
      <w:start w:val="13"/>
    </w:lvl>
  </w:abstractNum>
  <w:abstractNum w:abstractNumId="301">
    <w:nsid w:val="1C65E98"/>
    <w:multiLevelType w:val="hybridMultilevel"/>
    <w:lvl w:ilvl="0">
      <w:lvlJc w:val="left"/>
      <w:lvlText w:val="(%1)"/>
      <w:numFmt w:val="upperLetter"/>
      <w:start w:val="2"/>
    </w:lvl>
    <w:lvl w:ilvl="1">
      <w:lvlJc w:val="left"/>
      <w:lvlText w:val="(%2)"/>
      <w:numFmt w:val="lowerRoman"/>
      <w:start w:val="17"/>
    </w:lvl>
  </w:abstractNum>
  <w:abstractNum w:abstractNumId="302">
    <w:nsid w:val="1495E50A"/>
    <w:multiLevelType w:val="hybridMultilevel"/>
    <w:lvl w:ilvl="0">
      <w:lvlJc w:val="left"/>
      <w:lvlText w:val="(%1)"/>
      <w:numFmt w:val="lowerLetter"/>
      <w:start w:val="2"/>
    </w:lvl>
  </w:abstractNum>
  <w:abstractNum w:abstractNumId="303">
    <w:nsid w:val="F5BCF61"/>
    <w:multiLevelType w:val="hybridMultilevel"/>
    <w:lvl w:ilvl="0">
      <w:lvlJc w:val="left"/>
      <w:lvlText w:val="%1"/>
      <w:numFmt w:val="upperLetter"/>
      <w:start w:val="1"/>
    </w:lvl>
    <w:lvl w:ilvl="1">
      <w:lvlJc w:val="left"/>
      <w:lvlText w:val="(%2)"/>
      <w:numFmt w:val="lowerRoman"/>
      <w:start w:val="1"/>
    </w:lvl>
  </w:abstractNum>
  <w:abstractNum w:abstractNumId="304">
    <w:nsid w:val="3B1DD403"/>
    <w:multiLevelType w:val="hybridMultilevel"/>
    <w:lvl w:ilvl="0">
      <w:lvlJc w:val="left"/>
      <w:lvlText w:val="(%1)"/>
      <w:numFmt w:val="upperLetter"/>
      <w:start w:val="3"/>
    </w:lvl>
    <w:lvl w:ilvl="1">
      <w:lvlJc w:val="left"/>
      <w:lvlText w:val="(%2)"/>
      <w:numFmt w:val="lowerRoman"/>
      <w:start w:val="5"/>
    </w:lvl>
  </w:abstractNum>
  <w:abstractNum w:abstractNumId="305">
    <w:nsid w:val="530386D1"/>
    <w:multiLevelType w:val="hybridMultilevel"/>
    <w:lvl w:ilvl="0">
      <w:lvlJc w:val="left"/>
      <w:lvlText w:val="(%1)"/>
      <w:numFmt w:val="lowerLetter"/>
      <w:start w:val="3"/>
    </w:lvl>
  </w:abstractNum>
  <w:abstractNum w:abstractNumId="306">
    <w:nsid w:val="7525F2BC"/>
    <w:multiLevelType w:val="hybridMultilevel"/>
    <w:lvl w:ilvl="0">
      <w:lvlJc w:val="left"/>
      <w:lvlText w:val="(%1)"/>
      <w:numFmt w:val="lowerLetter"/>
      <w:start w:val="1"/>
    </w:lvl>
  </w:abstractNum>
  <w:abstractNum w:abstractNumId="307">
    <w:nsid w:val="CE8E1A7"/>
    <w:multiLevelType w:val="hybridMultilevel"/>
    <w:lvl w:ilvl="0">
      <w:lvlJc w:val="left"/>
      <w:lvlText w:val="(%1)"/>
      <w:numFmt w:val="lowerLetter"/>
      <w:start w:val="3"/>
    </w:lvl>
  </w:abstractNum>
  <w:abstractNum w:abstractNumId="308">
    <w:nsid w:val="4E9EFB0D"/>
    <w:multiLevelType w:val="hybridMultilevel"/>
    <w:lvl w:ilvl="0">
      <w:lvlJc w:val="left"/>
      <w:lvlText w:val="(%1)"/>
      <w:numFmt w:val="lowerLetter"/>
      <w:start w:val="16"/>
    </w:lvl>
  </w:abstractNum>
  <w:abstractNum w:abstractNumId="309">
    <w:nsid w:val="90802BE"/>
    <w:multiLevelType w:val="hybridMultilevel"/>
    <w:lvl w:ilvl="0">
      <w:lvlJc w:val="left"/>
      <w:lvlText w:val="(%1)"/>
      <w:numFmt w:val="lowerLetter"/>
      <w:start w:val="1"/>
    </w:lvl>
    <w:lvl w:ilvl="1">
      <w:lvlJc w:val="left"/>
      <w:lvlText w:val="(%2)"/>
      <w:numFmt w:val="lowerLetter"/>
      <w:start w:val="35"/>
    </w:lvl>
  </w:abstractNum>
  <w:abstractNum w:abstractNumId="310">
    <w:nsid w:val="3266459B"/>
    <w:multiLevelType w:val="hybridMultilevel"/>
    <w:lvl w:ilvl="0">
      <w:lvlJc w:val="left"/>
      <w:lvlText w:val="%1"/>
      <w:numFmt w:val="lowerLetter"/>
      <w:start w:val="1"/>
    </w:lvl>
    <w:lvl w:ilvl="1">
      <w:lvlJc w:val="left"/>
      <w:lvlText w:val="(%2)"/>
      <w:numFmt w:val="lowerLetter"/>
      <w:start w:val="6"/>
    </w:lvl>
  </w:abstractNum>
  <w:abstractNum w:abstractNumId="311">
    <w:nsid w:val="3F8B0CBF"/>
    <w:multiLevelType w:val="hybridMultilevel"/>
    <w:lvl w:ilvl="0">
      <w:lvlJc w:val="left"/>
      <w:lvlText w:val="(%1)"/>
      <w:numFmt w:val="lowerLetter"/>
      <w:start w:val="7"/>
    </w:lvl>
    <w:lvl w:ilvl="1">
      <w:lvlJc w:val="left"/>
      <w:lvlText w:val="(%2)"/>
      <w:numFmt w:val="lowerLetter"/>
      <w:start w:val="8"/>
    </w:lvl>
  </w:abstractNum>
  <w:abstractNum w:abstractNumId="312">
    <w:nsid w:val="37E203AB"/>
    <w:multiLevelType w:val="hybridMultilevel"/>
    <w:lvl w:ilvl="0">
      <w:lvlJc w:val="left"/>
      <w:lvlText w:val="%1"/>
      <w:numFmt w:val="lowerLetter"/>
      <w:start w:val="1"/>
    </w:lvl>
    <w:lvl w:ilvl="1">
      <w:lvlJc w:val="left"/>
      <w:lvlText w:val="(%2)"/>
      <w:numFmt w:val="lowerLetter"/>
      <w:start w:val="10"/>
    </w:lvl>
  </w:abstractNum>
  <w:abstractNum w:abstractNumId="313">
    <w:nsid w:val="2586D60E"/>
    <w:multiLevelType w:val="hybridMultilevel"/>
    <w:lvl w:ilvl="0">
      <w:lvlJc w:val="left"/>
      <w:lvlText w:val="(%1)"/>
      <w:numFmt w:val="lowerLetter"/>
      <w:start w:val="9"/>
    </w:lvl>
    <w:lvl w:ilvl="1">
      <w:lvlJc w:val="left"/>
      <w:lvlText w:val="(%2)"/>
      <w:numFmt w:val="lowerLetter"/>
      <w:start w:val="13"/>
    </w:lvl>
  </w:abstractNum>
  <w:abstractNum w:abstractNumId="314">
    <w:nsid w:val="1F3DA4D5"/>
    <w:multiLevelType w:val="hybridMultilevel"/>
    <w:lvl w:ilvl="0">
      <w:lvlJc w:val="left"/>
      <w:lvlText w:val="(%1)"/>
      <w:numFmt w:val="lowerLetter"/>
      <w:start w:val="1"/>
    </w:lvl>
    <w:lvl w:ilvl="1">
      <w:lvlJc w:val="left"/>
      <w:lvlText w:val="(%2)"/>
      <w:numFmt w:val="lowerRoman"/>
      <w:start w:val="1"/>
    </w:lvl>
  </w:abstractNum>
  <w:abstractNum w:abstractNumId="315">
    <w:nsid w:val="74C93698"/>
    <w:multiLevelType w:val="hybridMultilevel"/>
    <w:lvl w:ilvl="0">
      <w:lvlJc w:val="left"/>
      <w:lvlText w:val="(%1)"/>
      <w:numFmt w:val="lowerLetter"/>
      <w:start w:val="2"/>
    </w:lvl>
  </w:abstractNum>
  <w:abstractNum w:abstractNumId="316">
    <w:nsid w:val="48781401"/>
    <w:multiLevelType w:val="hybridMultilevel"/>
    <w:lvl w:ilvl="0">
      <w:lvlJc w:val="left"/>
      <w:lvlText w:val="(%1)"/>
      <w:numFmt w:val="lowerLetter"/>
      <w:start w:val="1"/>
    </w:lvl>
  </w:abstractNum>
  <w:abstractNum w:abstractNumId="317">
    <w:nsid w:val="186928D6"/>
    <w:multiLevelType w:val="hybridMultilevel"/>
    <w:lvl w:ilvl="0">
      <w:lvlJc w:val="left"/>
      <w:lvlText w:val="(%1)"/>
      <w:numFmt w:val="lowerLetter"/>
      <w:start w:val="1"/>
    </w:lvl>
  </w:abstractNum>
  <w:abstractNum w:abstractNumId="318">
    <w:nsid w:val="47195E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319">
    <w:nsid w:val="3746A5F2"/>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5"/>
    </w:lvl>
  </w:abstractNum>
  <w:abstractNum w:abstractNumId="320">
    <w:nsid w:val="682DFED6"/>
    <w:multiLevelType w:val="hybridMultilevel"/>
    <w:lvl w:ilvl="0">
      <w:lvlJc w:val="left"/>
      <w:lvlText w:val="(%1)"/>
      <w:numFmt w:val="lowerRoman"/>
      <w:start w:val="6"/>
    </w:lvl>
    <w:lvl w:ilvl="1">
      <w:lvlJc w:val="left"/>
      <w:lvlText w:val="%2"/>
      <w:numFmt w:val="lowerLetter"/>
      <w:start w:val="1"/>
    </w:lvl>
    <w:lvl w:ilvl="2">
      <w:lvlJc w:val="left"/>
      <w:lvlText w:val="%3"/>
      <w:numFmt w:val="lowerLetter"/>
      <w:start w:val="1"/>
    </w:lvl>
  </w:abstractNum>
  <w:abstractNum w:abstractNumId="321">
    <w:nsid w:val="606ED7F6"/>
    <w:multiLevelType w:val="hybridMultilevel"/>
    <w:lvl w:ilvl="0">
      <w:lvlJc w:val="left"/>
      <w:lvlText w:val="(%1)"/>
      <w:numFmt w:val="lowerLetter"/>
      <w:start w:val="1"/>
    </w:lvl>
  </w:abstractNum>
  <w:abstractNum w:abstractNumId="322">
    <w:nsid w:val="2D9DF57D"/>
    <w:multiLevelType w:val="hybridMultilevel"/>
    <w:lvl w:ilvl="0">
      <w:lvlJc w:val="left"/>
      <w:lvlText w:val="(%1)"/>
      <w:numFmt w:val="lowerLetter"/>
      <w:start w:val="1"/>
    </w:lvl>
    <w:lvl w:ilvl="1">
      <w:lvlJc w:val="left"/>
      <w:lvlText w:val="(%2)"/>
      <w:numFmt w:val="lowerLetter"/>
      <w:start w:val="2"/>
    </w:lvl>
  </w:abstractNum>
  <w:abstractNum w:abstractNumId="323">
    <w:nsid w:val="7FBD7A3E"/>
    <w:multiLevelType w:val="hybridMultilevel"/>
    <w:lvl w:ilvl="0">
      <w:lvlJc w:val="left"/>
      <w:lvlText w:val="(%1)"/>
      <w:numFmt w:val="lowerLetter"/>
      <w:start w:val="1"/>
    </w:lvl>
    <w:lvl w:ilvl="1">
      <w:lvlJc w:val="left"/>
      <w:lvlText w:val="(%2)"/>
      <w:numFmt w:val="lowerRoman"/>
      <w:start w:val="1"/>
    </w:lvl>
  </w:abstractNum>
  <w:abstractNum w:abstractNumId="324">
    <w:nsid w:val="490B7C5"/>
    <w:multiLevelType w:val="hybridMultilevel"/>
    <w:lvl w:ilvl="0">
      <w:lvlJc w:val="left"/>
      <w:lvlText w:val="(%1)"/>
      <w:numFmt w:val="lowerLetter"/>
      <w:start w:val="2"/>
    </w:lvl>
  </w:abstractNum>
  <w:abstractNum w:abstractNumId="325">
    <w:nsid w:val="4303A216"/>
    <w:multiLevelType w:val="hybridMultilevel"/>
    <w:lvl w:ilvl="0">
      <w:lvlJc w:val="left"/>
      <w:lvlText w:val="(%1)"/>
      <w:numFmt w:val="lowerLetter"/>
      <w:start w:val="3"/>
    </w:lvl>
  </w:abstractNum>
  <w:abstractNum w:abstractNumId="326">
    <w:nsid w:val="19B8A08E"/>
    <w:multiLevelType w:val="hybridMultilevel"/>
    <w:lvl w:ilvl="0">
      <w:lvlJc w:val="left"/>
      <w:lvlText w:val="(%1)"/>
      <w:numFmt w:val="lowerLetter"/>
      <w:start w:val="1"/>
    </w:lvl>
  </w:abstractNum>
  <w:abstractNum w:abstractNumId="327">
    <w:nsid w:val="54B59621"/>
    <w:multiLevelType w:val="hybridMultilevel"/>
    <w:lvl w:ilvl="0">
      <w:lvlJc w:val="left"/>
      <w:lvlText w:val="(%1)"/>
      <w:numFmt w:val="lowerLetter"/>
      <w:start w:val="3"/>
    </w:lvl>
  </w:abstractNum>
  <w:abstractNum w:abstractNumId="328">
    <w:nsid w:val="5992A02E"/>
    <w:multiLevelType w:val="hybridMultilevel"/>
    <w:lvl w:ilvl="0">
      <w:lvlJc w:val="left"/>
      <w:lvlText w:val="%1"/>
      <w:numFmt w:val="lowerLetter"/>
      <w:start w:val="1"/>
    </w:lvl>
    <w:lvl w:ilvl="1">
      <w:lvlJc w:val="left"/>
      <w:lvlText w:val="(%2)"/>
      <w:numFmt w:val="lowerLetter"/>
      <w:start w:val="4"/>
    </w:lvl>
  </w:abstractNum>
  <w:abstractNum w:abstractNumId="329">
    <w:nsid w:val="29EF532D"/>
    <w:multiLevelType w:val="hybridMultilevel"/>
    <w:lvl w:ilvl="0">
      <w:lvlJc w:val="left"/>
      <w:lvlText w:val="(%1)"/>
      <w:numFmt w:val="lowerLetter"/>
      <w:start w:val="3"/>
    </w:lvl>
    <w:lvl w:ilvl="1">
      <w:lvlJc w:val="left"/>
      <w:lvlText w:val="(%2)"/>
      <w:numFmt w:val="lowerLetter"/>
      <w:start w:val="6"/>
    </w:lvl>
  </w:abstractNum>
  <w:abstractNum w:abstractNumId="330">
    <w:nsid w:val="71D601AF"/>
    <w:multiLevelType w:val="hybridMultilevel"/>
    <w:lvl w:ilvl="0">
      <w:lvlJc w:val="left"/>
      <w:lvlText w:val="(%1)"/>
      <w:numFmt w:val="lowerLetter"/>
      <w:start w:val="1"/>
    </w:lvl>
  </w:abstractNum>
  <w:abstractNum w:abstractNumId="331">
    <w:nsid w:val="52C77402"/>
    <w:multiLevelType w:val="hybridMultilevel"/>
    <w:lvl w:ilvl="0">
      <w:lvlJc w:val="left"/>
      <w:lvlText w:val="(%1)"/>
      <w:numFmt w:val="lowerLetter"/>
      <w:start w:val="2"/>
    </w:lvl>
  </w:abstractNum>
  <w:abstractNum w:abstractNumId="332">
    <w:nsid w:val="2BB5B1C6"/>
    <w:multiLevelType w:val="hybridMultilevel"/>
    <w:lvl w:ilvl="0">
      <w:lvlJc w:val="left"/>
      <w:lvlText w:val="(%1)"/>
      <w:numFmt w:val="lowerLetter"/>
      <w:start w:val="26"/>
    </w:lvl>
    <w:lvl w:ilvl="1">
      <w:lvlJc w:val="left"/>
      <w:lvlText w:val="(%2)"/>
      <w:numFmt w:val="lowerLetter"/>
      <w:start w:val="3"/>
    </w:lvl>
    <w:lvl w:ilvl="2">
      <w:lvlJc w:val="left"/>
      <w:lvlText w:val="(%3)"/>
      <w:numFmt w:val="lowerLetter"/>
      <w:start w:val="4"/>
    </w:lvl>
  </w:abstractNum>
  <w:abstractNum w:abstractNumId="333">
    <w:nsid w:val="66BE6B9"/>
    <w:multiLevelType w:val="hybridMultilevel"/>
    <w:lvl w:ilvl="0">
      <w:lvlJc w:val="left"/>
      <w:lvlText w:val="(%1)"/>
      <w:numFmt w:val="lowerLetter"/>
      <w:start w:val="6"/>
    </w:lvl>
  </w:abstractNum>
  <w:abstractNum w:abstractNumId="334">
    <w:nsid w:val="62234363"/>
    <w:multiLevelType w:val="hybridMultilevel"/>
    <w:lvl w:ilvl="0">
      <w:lvlJc w:val="left"/>
      <w:lvlText w:val="(%1)"/>
      <w:numFmt w:val="lowerLetter"/>
      <w:start w:val="1"/>
    </w:lvl>
  </w:abstractNum>
  <w:abstractNum w:abstractNumId="335">
    <w:nsid w:val="66D385C9"/>
    <w:multiLevelType w:val="hybridMultilevel"/>
    <w:lvl w:ilvl="0">
      <w:lvlJc w:val="left"/>
      <w:lvlText w:val="(%1)"/>
      <w:numFmt w:val="lowerRoman"/>
      <w:start w:val="2"/>
    </w:lvl>
  </w:abstractNum>
  <w:abstractNum w:abstractNumId="336">
    <w:nsid w:val="596F6D8A"/>
    <w:multiLevelType w:val="hybridMultilevel"/>
    <w:lvl w:ilvl="0">
      <w:lvlJc w:val="left"/>
      <w:lvlText w:val="(%1)"/>
      <w:numFmt w:val="lowerRoman"/>
      <w:start w:val="3"/>
    </w:lvl>
  </w:abstractNum>
  <w:abstractNum w:abstractNumId="337">
    <w:nsid w:val="5749361F"/>
    <w:multiLevelType w:val="hybridMultilevel"/>
    <w:lvl w:ilvl="0">
      <w:lvlJc w:val="left"/>
      <w:lvlText w:val="%1"/>
      <w:numFmt w:val="lowerLetter"/>
      <w:start w:val="1"/>
    </w:lvl>
    <w:lvl w:ilvl="1">
      <w:lvlJc w:val="left"/>
      <w:lvlText w:val="(%2)"/>
      <w:numFmt w:val="lowerRoman"/>
      <w:start w:val="6"/>
    </w:lvl>
  </w:abstractNum>
  <w:abstractNum w:abstractNumId="338">
    <w:nsid w:val="73BC6770"/>
    <w:multiLevelType w:val="hybridMultilevel"/>
    <w:lvl w:ilvl="0">
      <w:lvlJc w:val="left"/>
      <w:lvlText w:val="(%1)"/>
      <w:numFmt w:val="lowerLetter"/>
      <w:start w:val="3"/>
    </w:lvl>
    <w:lvl w:ilvl="1">
      <w:lvlJc w:val="left"/>
      <w:lvlText w:val="(%2)"/>
      <w:numFmt w:val="lowerRoman"/>
      <w:start w:val="2"/>
    </w:lvl>
  </w:abstractNum>
  <w:abstractNum w:abstractNumId="339">
    <w:nsid w:val="280E6897"/>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340">
    <w:nsid w:val="605138D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41">
    <w:nsid w:val="2622AD0C"/>
    <w:multiLevelType w:val="hybridMultilevel"/>
    <w:lvl w:ilvl="0">
      <w:lvlJc w:val="left"/>
      <w:lvlText w:val="(%1)"/>
      <w:numFmt w:val="lowerRoman"/>
      <w:start w:val="3"/>
    </w:lvl>
  </w:abstractNum>
  <w:abstractNum w:abstractNumId="342">
    <w:nsid w:val="67997556"/>
    <w:multiLevelType w:val="hybridMultilevel"/>
    <w:lvl w:ilvl="0">
      <w:lvlJc w:val="left"/>
      <w:lvlText w:val="%1"/>
      <w:numFmt w:val="lowerLetter"/>
      <w:start w:val="1"/>
    </w:lvl>
    <w:lvl w:ilvl="1">
      <w:lvlJc w:val="left"/>
      <w:lvlText w:val="(%2)"/>
      <w:numFmt w:val="lowerLetter"/>
      <w:start w:val="7"/>
    </w:lvl>
  </w:abstractNum>
  <w:abstractNum w:abstractNumId="343">
    <w:nsid w:val="18333C89"/>
    <w:multiLevelType w:val="hybridMultilevel"/>
    <w:lvl w:ilvl="0">
      <w:lvlJc w:val="left"/>
      <w:lvlText w:val="(%1)"/>
      <w:numFmt w:val="lowerLetter"/>
      <w:start w:val="25"/>
    </w:lvl>
    <w:lvl w:ilvl="1">
      <w:lvlJc w:val="left"/>
      <w:lvlText w:val="%2"/>
      <w:numFmt w:val="lowerLetter"/>
      <w:start w:val="1"/>
    </w:lvl>
  </w:abstractNum>
  <w:abstractNum w:abstractNumId="344">
    <w:nsid w:val="4BA9831A"/>
    <w:multiLevelType w:val="hybridMultilevel"/>
    <w:lvl w:ilvl="0">
      <w:lvlJc w:val="left"/>
      <w:lvlText w:val="(%1)"/>
      <w:numFmt w:val="lowerLetter"/>
      <w:start w:val="8"/>
    </w:lvl>
  </w:abstractNum>
  <w:abstractNum w:abstractNumId="345">
    <w:nsid w:val="6D71A2B"/>
    <w:multiLevelType w:val="hybridMultilevel"/>
    <w:lvl w:ilvl="0">
      <w:lvlJc w:val="left"/>
      <w:lvlText w:val="(%1)"/>
      <w:numFmt w:val="lowerRoman"/>
      <w:start w:val="1"/>
    </w:lvl>
  </w:abstractNum>
  <w:abstractNum w:abstractNumId="346">
    <w:nsid w:val="CFC7321"/>
    <w:multiLevelType w:val="hybridMultilevel"/>
    <w:lvl w:ilvl="0">
      <w:lvlJc w:val="left"/>
      <w:lvlText w:val="(%1)"/>
      <w:numFmt w:val="lowerLetter"/>
      <w:start w:val="1"/>
    </w:lvl>
  </w:abstractNum>
  <w:abstractNum w:abstractNumId="347">
    <w:nsid w:val="1421971B"/>
    <w:multiLevelType w:val="hybridMultilevel"/>
    <w:lvl w:ilvl="0">
      <w:lvlJc w:val="left"/>
      <w:lvlText w:val="(%1)"/>
      <w:numFmt w:val="lowerLetter"/>
      <w:start w:val="3"/>
    </w:lvl>
  </w:abstractNum>
  <w:abstractNum w:abstractNumId="348">
    <w:nsid w:val="1F404301"/>
    <w:multiLevelType w:val="hybridMultilevel"/>
    <w:lvl w:ilvl="0">
      <w:lvlJc w:val="left"/>
      <w:lvlText w:val="(%1)"/>
      <w:numFmt w:val="lowerLetter"/>
      <w:start w:val="1"/>
    </w:lvl>
  </w:abstractNum>
  <w:abstractNum w:abstractNumId="349">
    <w:nsid w:val="116E0907"/>
    <w:multiLevelType w:val="hybridMultilevel"/>
    <w:lvl w:ilvl="0">
      <w:lvlJc w:val="left"/>
      <w:lvlText w:val="(%1)"/>
      <w:numFmt w:val="lowerLetter"/>
      <w:start w:val="2"/>
    </w:lvl>
  </w:abstractNum>
  <w:abstractNum w:abstractNumId="350">
    <w:nsid w:val="4B683D0D"/>
    <w:multiLevelType w:val="hybridMultilevel"/>
    <w:lvl w:ilvl="0">
      <w:lvlJc w:val="left"/>
      <w:lvlText w:val="(%1)"/>
      <w:numFmt w:val="lowerLetter"/>
      <w:start w:val="1"/>
    </w:lvl>
  </w:abstractNum>
  <w:abstractNum w:abstractNumId="351">
    <w:nsid w:val="76E41D8"/>
    <w:multiLevelType w:val="hybridMultilevel"/>
    <w:lvl w:ilvl="0">
      <w:lvlJc w:val="left"/>
      <w:lvlText w:val="%1"/>
      <w:numFmt w:val="upperLetter"/>
      <w:start w:val="1"/>
    </w:lvl>
    <w:lvl w:ilvl="1">
      <w:lvlJc w:val="left"/>
      <w:lvlText w:val="(%2)"/>
      <w:numFmt w:val="lowerLetter"/>
      <w:start w:val="2"/>
    </w:lvl>
  </w:abstractNum>
  <w:abstractNum w:abstractNumId="352">
    <w:nsid w:val="71DCE0FD"/>
    <w:multiLevelType w:val="hybridMultilevel"/>
    <w:lvl w:ilvl="0">
      <w:lvlJc w:val="left"/>
      <w:lvlText w:val="(%1)"/>
      <w:numFmt w:val="upperLetter"/>
      <w:start w:val="2"/>
    </w:lvl>
    <w:lvl w:ilvl="1">
      <w:lvlJc w:val="left"/>
      <w:lvlText w:val="%2"/>
      <w:numFmt w:val="lowerLetter"/>
      <w:start w:val="1"/>
    </w:lvl>
  </w:abstractNum>
  <w:abstractNum w:abstractNumId="353">
    <w:nsid w:val="7906328B"/>
    <w:multiLevelType w:val="hybridMultilevel"/>
    <w:lvl w:ilvl="0">
      <w:lvlJc w:val="left"/>
      <w:lvlText w:val="(%1)"/>
      <w:numFmt w:val="lowerRoman"/>
      <w:start w:val="1"/>
    </w:lvl>
  </w:abstractNum>
  <w:abstractNum w:abstractNumId="354">
    <w:nsid w:val="72BBC16"/>
    <w:multiLevelType w:val="hybridMultilevel"/>
    <w:lvl w:ilvl="0">
      <w:lvlJc w:val="left"/>
      <w:lvlText w:val="(%1)"/>
      <w:numFmt w:val="lowerLetter"/>
      <w:start w:val="2"/>
    </w:lvl>
  </w:abstractNum>
  <w:abstractNum w:abstractNumId="355">
    <w:nsid w:val="766D98C2"/>
    <w:multiLevelType w:val="hybridMultilevel"/>
    <w:lvl w:ilvl="0">
      <w:lvlJc w:val="left"/>
      <w:lvlText w:val="(%1)"/>
      <w:numFmt w:val="lowerLetter"/>
      <w:start w:val="1"/>
    </w:lvl>
    <w:lvl w:ilvl="1">
      <w:lvlJc w:val="left"/>
      <w:lvlText w:val="(%2)"/>
      <w:numFmt w:val="lowerRoman"/>
      <w:start w:val="1"/>
    </w:lvl>
  </w:abstractNum>
  <w:abstractNum w:abstractNumId="356">
    <w:nsid w:val="3C09D4A1"/>
    <w:multiLevelType w:val="hybridMultilevel"/>
    <w:lvl w:ilvl="0">
      <w:lvlJc w:val="left"/>
      <w:lvlText w:val="(%1)"/>
      <w:numFmt w:val="lowerLetter"/>
      <w:start w:val="1"/>
    </w:lvl>
    <w:lvl w:ilvl="1">
      <w:lvlJc w:val="left"/>
      <w:lvlText w:val="(%2)"/>
      <w:numFmt w:val="lowerRoman"/>
      <w:start w:val="1"/>
    </w:lvl>
  </w:abstractNum>
  <w:abstractNum w:abstractNumId="357">
    <w:nsid w:val="20E45CA4"/>
    <w:multiLevelType w:val="hybridMultilevel"/>
    <w:lvl w:ilvl="0">
      <w:lvlJc w:val="left"/>
      <w:lvlText w:val="(%1)"/>
      <w:numFmt w:val="lowerLetter"/>
      <w:start w:val="1"/>
    </w:lvl>
  </w:abstractNum>
  <w:abstractNum w:abstractNumId="358">
    <w:nsid w:val="4B232EE3"/>
    <w:multiLevelType w:val="hybridMultilevel"/>
    <w:lvl w:ilvl="0">
      <w:lvlJc w:val="left"/>
      <w:lvlText w:val="%1."/>
      <w:numFmt w:val="decimal"/>
      <w:start w:val="1"/>
    </w:lvl>
    <w:lvl w:ilvl="1">
      <w:lvlJc w:val="left"/>
      <w:lvlText w:val="(%2)"/>
      <w:numFmt w:val="lowerLetter"/>
      <w:start w:val="1"/>
    </w:lvl>
  </w:abstractNum>
  <w:abstractNum w:abstractNumId="359">
    <w:nsid w:val="159C74CF"/>
    <w:multiLevelType w:val="hybridMultilevel"/>
    <w:lvl w:ilvl="0">
      <w:lvlJc w:val="left"/>
      <w:lvlText w:val="%1."/>
      <w:numFmt w:val="decimal"/>
      <w:start w:val="1"/>
    </w:lvl>
    <w:lvl w:ilvl="1">
      <w:lvlJc w:val="left"/>
      <w:lvlText w:val="(%2)"/>
      <w:numFmt w:val="lowerLetter"/>
      <w:start w:val="1"/>
    </w:lvl>
  </w:abstractNum>
  <w:abstractNum w:abstractNumId="360">
    <w:nsid w:val="4AD3AFD2"/>
    <w:multiLevelType w:val="hybridMultilevel"/>
    <w:lvl w:ilvl="0">
      <w:lvlJc w:val="left"/>
      <w:lvlText w:val="(%1)"/>
      <w:numFmt w:val="decimal"/>
      <w:start w:val="1"/>
    </w:lvl>
  </w:abstractNum>
  <w:abstractNum w:abstractNumId="361">
    <w:nsid w:val="3CF9309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68" Type="http://schemas.openxmlformats.org/officeDocument/2006/relationships/image" Target="media/image426.png"/><Relationship Id="rId469" Type="http://schemas.openxmlformats.org/officeDocument/2006/relationships/image" Target="media/image427.png"/><Relationship Id="rId495" Type="http://schemas.openxmlformats.org/officeDocument/2006/relationships/image" Target="media/image428.png"/><Relationship Id="rId496" Type="http://schemas.openxmlformats.org/officeDocument/2006/relationships/image" Target="media/image429.png"/><Relationship Id="rId505" Type="http://schemas.openxmlformats.org/officeDocument/2006/relationships/image" Target="media/image430.png"/><Relationship Id="rId506" Type="http://schemas.openxmlformats.org/officeDocument/2006/relationships/image" Target="media/image431.png"/><Relationship Id="rId507" Type="http://schemas.openxmlformats.org/officeDocument/2006/relationships/image" Target="media/image432.png"/><Relationship Id="rId508" Type="http://schemas.openxmlformats.org/officeDocument/2006/relationships/image" Target="media/image433.png"/><Relationship Id="rId509" Type="http://schemas.openxmlformats.org/officeDocument/2006/relationships/image" Target="media/image434.png"/><Relationship Id="rId510" Type="http://schemas.openxmlformats.org/officeDocument/2006/relationships/image" Target="media/image435.png"/><Relationship Id="rId511" Type="http://schemas.openxmlformats.org/officeDocument/2006/relationships/image" Target="media/image436.png"/><Relationship Id="rId512" Type="http://schemas.openxmlformats.org/officeDocument/2006/relationships/image" Target="media/image437.png"/><Relationship Id="rId513" Type="http://schemas.openxmlformats.org/officeDocument/2006/relationships/image" Target="media/image438.png"/><Relationship Id="rId514" Type="http://schemas.openxmlformats.org/officeDocument/2006/relationships/image" Target="media/image439.png"/><Relationship Id="rId515" Type="http://schemas.openxmlformats.org/officeDocument/2006/relationships/image" Target="media/image440.png"/><Relationship Id="rId516" Type="http://schemas.openxmlformats.org/officeDocument/2006/relationships/image" Target="media/image441.png"/><Relationship Id="rId517" Type="http://schemas.openxmlformats.org/officeDocument/2006/relationships/image" Target="media/image442.png"/><Relationship Id="rId518" Type="http://schemas.openxmlformats.org/officeDocument/2006/relationships/image" Target="media/image443.png"/><Relationship Id="rId519" Type="http://schemas.openxmlformats.org/officeDocument/2006/relationships/image" Target="media/image444.png"/><Relationship Id="rId520" Type="http://schemas.openxmlformats.org/officeDocument/2006/relationships/image" Target="media/image445.png"/><Relationship Id="rId521" Type="http://schemas.openxmlformats.org/officeDocument/2006/relationships/image" Target="media/image446.png"/><Relationship Id="rId522" Type="http://schemas.openxmlformats.org/officeDocument/2006/relationships/image" Target="media/image447.png"/><Relationship Id="rId523" Type="http://schemas.openxmlformats.org/officeDocument/2006/relationships/image" Target="media/image448.png"/><Relationship Id="rId524" Type="http://schemas.openxmlformats.org/officeDocument/2006/relationships/image" Target="media/image449.png"/><Relationship Id="rId525" Type="http://schemas.openxmlformats.org/officeDocument/2006/relationships/image" Target="media/image450.png"/><Relationship Id="rId526" Type="http://schemas.openxmlformats.org/officeDocument/2006/relationships/image" Target="media/image451.png"/><Relationship Id="rId527" Type="http://schemas.openxmlformats.org/officeDocument/2006/relationships/image" Target="media/image452.png"/><Relationship Id="rId528" Type="http://schemas.openxmlformats.org/officeDocument/2006/relationships/image" Target="media/image453.png"/><Relationship Id="rId529" Type="http://schemas.openxmlformats.org/officeDocument/2006/relationships/image" Target="media/image454.png"/><Relationship Id="rId530" Type="http://schemas.openxmlformats.org/officeDocument/2006/relationships/image" Target="media/image455.png"/><Relationship Id="rId531" Type="http://schemas.openxmlformats.org/officeDocument/2006/relationships/image" Target="media/image456.png"/><Relationship Id="rId532" Type="http://schemas.openxmlformats.org/officeDocument/2006/relationships/image" Target="media/image457.png"/><Relationship Id="rId533" Type="http://schemas.openxmlformats.org/officeDocument/2006/relationships/image" Target="media/image458.png"/><Relationship Id="rId534" Type="http://schemas.openxmlformats.org/officeDocument/2006/relationships/image" Target="media/image459.png"/><Relationship Id="rId535" Type="http://schemas.openxmlformats.org/officeDocument/2006/relationships/image" Target="media/image460.png"/><Relationship Id="rId536" Type="http://schemas.openxmlformats.org/officeDocument/2006/relationships/image" Target="media/image461.png"/><Relationship Id="rId537" Type="http://schemas.openxmlformats.org/officeDocument/2006/relationships/image" Target="media/image462.png"/><Relationship Id="rId538" Type="http://schemas.openxmlformats.org/officeDocument/2006/relationships/image" Target="media/image463.png"/><Relationship Id="rId539" Type="http://schemas.openxmlformats.org/officeDocument/2006/relationships/image" Target="media/image464.png"/><Relationship Id="rId540" Type="http://schemas.openxmlformats.org/officeDocument/2006/relationships/image" Target="media/image465.png"/><Relationship Id="rId541" Type="http://schemas.openxmlformats.org/officeDocument/2006/relationships/image" Target="media/image466.png"/><Relationship Id="rId542" Type="http://schemas.openxmlformats.org/officeDocument/2006/relationships/image" Target="media/image467.png"/><Relationship Id="rId543" Type="http://schemas.openxmlformats.org/officeDocument/2006/relationships/image" Target="media/image468.png"/><Relationship Id="rId544" Type="http://schemas.openxmlformats.org/officeDocument/2006/relationships/image" Target="media/image469.png"/><Relationship Id="rId545" Type="http://schemas.openxmlformats.org/officeDocument/2006/relationships/image" Target="media/image470.png"/><Relationship Id="rId546" Type="http://schemas.openxmlformats.org/officeDocument/2006/relationships/image" Target="media/image471.png"/><Relationship Id="rId547" Type="http://schemas.openxmlformats.org/officeDocument/2006/relationships/image" Target="media/image472.png"/><Relationship Id="rId548" Type="http://schemas.openxmlformats.org/officeDocument/2006/relationships/image" Target="media/image473.png"/><Relationship Id="rId549" Type="http://schemas.openxmlformats.org/officeDocument/2006/relationships/image" Target="media/image474.png"/><Relationship Id="rId550" Type="http://schemas.openxmlformats.org/officeDocument/2006/relationships/image" Target="media/image475.png"/><Relationship Id="rId551" Type="http://schemas.openxmlformats.org/officeDocument/2006/relationships/image" Target="media/image476.png"/><Relationship Id="rId552" Type="http://schemas.openxmlformats.org/officeDocument/2006/relationships/image" Target="media/image477.png"/><Relationship Id="rId553" Type="http://schemas.openxmlformats.org/officeDocument/2006/relationships/image" Target="media/image478.png"/><Relationship Id="rId554" Type="http://schemas.openxmlformats.org/officeDocument/2006/relationships/image" Target="media/image479.png"/><Relationship Id="rId555" Type="http://schemas.openxmlformats.org/officeDocument/2006/relationships/image" Target="media/image480.png"/><Relationship Id="rId556" Type="http://schemas.openxmlformats.org/officeDocument/2006/relationships/image" Target="media/image481.png"/><Relationship Id="rId557" Type="http://schemas.openxmlformats.org/officeDocument/2006/relationships/image" Target="media/image482.png"/><Relationship Id="rId558" Type="http://schemas.openxmlformats.org/officeDocument/2006/relationships/image" Target="media/image483.png"/><Relationship Id="rId559" Type="http://schemas.openxmlformats.org/officeDocument/2006/relationships/image" Target="media/image484.png"/><Relationship Id="rId560" Type="http://schemas.openxmlformats.org/officeDocument/2006/relationships/image" Target="media/image485.png"/><Relationship Id="rId561" Type="http://schemas.openxmlformats.org/officeDocument/2006/relationships/image" Target="media/image486.png"/><Relationship Id="rId562" Type="http://schemas.openxmlformats.org/officeDocument/2006/relationships/image" Target="media/image487.png"/><Relationship Id="rId563" Type="http://schemas.openxmlformats.org/officeDocument/2006/relationships/image" Target="media/image488.png"/><Relationship Id="rId564" Type="http://schemas.openxmlformats.org/officeDocument/2006/relationships/image" Target="media/image489.png"/><Relationship Id="rId565" Type="http://schemas.openxmlformats.org/officeDocument/2006/relationships/image" Target="media/image490.png"/><Relationship Id="rId566" Type="http://schemas.openxmlformats.org/officeDocument/2006/relationships/image" Target="media/image491.png"/><Relationship Id="rId567" Type="http://schemas.openxmlformats.org/officeDocument/2006/relationships/image" Target="media/image492.png"/><Relationship Id="rId568" Type="http://schemas.openxmlformats.org/officeDocument/2006/relationships/image" Target="media/image493.png"/><Relationship Id="rId569" Type="http://schemas.openxmlformats.org/officeDocument/2006/relationships/image" Target="media/image494.png"/><Relationship Id="rId570" Type="http://schemas.openxmlformats.org/officeDocument/2006/relationships/image" Target="media/image495.png"/><Relationship Id="rId571" Type="http://schemas.openxmlformats.org/officeDocument/2006/relationships/image" Target="media/image496.png"/><Relationship Id="rId572" Type="http://schemas.openxmlformats.org/officeDocument/2006/relationships/image" Target="media/image497.png"/><Relationship Id="rId573" Type="http://schemas.openxmlformats.org/officeDocument/2006/relationships/image" Target="media/image498.png"/><Relationship Id="rId574" Type="http://schemas.openxmlformats.org/officeDocument/2006/relationships/image" Target="media/image499.png"/><Relationship Id="rId575" Type="http://schemas.openxmlformats.org/officeDocument/2006/relationships/image" Target="media/image500.png"/><Relationship Id="rId576" Type="http://schemas.openxmlformats.org/officeDocument/2006/relationships/image" Target="media/image501.png"/><Relationship Id="rId577" Type="http://schemas.openxmlformats.org/officeDocument/2006/relationships/image" Target="media/image502.png"/><Relationship Id="rId578" Type="http://schemas.openxmlformats.org/officeDocument/2006/relationships/image" Target="media/image503.png"/><Relationship Id="rId579" Type="http://schemas.openxmlformats.org/officeDocument/2006/relationships/image" Target="media/image504.png"/><Relationship Id="rId580" Type="http://schemas.openxmlformats.org/officeDocument/2006/relationships/image" Target="media/image505.png"/><Relationship Id="rId581" Type="http://schemas.openxmlformats.org/officeDocument/2006/relationships/image" Target="media/image506.png"/><Relationship Id="rId582" Type="http://schemas.openxmlformats.org/officeDocument/2006/relationships/image" Target="media/image507.png"/><Relationship Id="rId583" Type="http://schemas.openxmlformats.org/officeDocument/2006/relationships/image" Target="media/image508.png"/><Relationship Id="rId584" Type="http://schemas.openxmlformats.org/officeDocument/2006/relationships/image" Target="media/image509.png"/><Relationship Id="rId585" Type="http://schemas.openxmlformats.org/officeDocument/2006/relationships/image" Target="media/image510.png"/><Relationship Id="rId586" Type="http://schemas.openxmlformats.org/officeDocument/2006/relationships/image" Target="media/image511.png"/><Relationship Id="rId587" Type="http://schemas.openxmlformats.org/officeDocument/2006/relationships/image" Target="media/image512.png"/><Relationship Id="rId588" Type="http://schemas.openxmlformats.org/officeDocument/2006/relationships/image" Target="media/image513.png"/><Relationship Id="rId589" Type="http://schemas.openxmlformats.org/officeDocument/2006/relationships/image" Target="media/image514.png"/><Relationship Id="rId590" Type="http://schemas.openxmlformats.org/officeDocument/2006/relationships/image" Target="media/image515.png"/><Relationship Id="rId591" Type="http://schemas.openxmlformats.org/officeDocument/2006/relationships/image" Target="media/image516.png"/><Relationship Id="rId592" Type="http://schemas.openxmlformats.org/officeDocument/2006/relationships/image" Target="media/image517.png"/><Relationship Id="rId593" Type="http://schemas.openxmlformats.org/officeDocument/2006/relationships/image" Target="media/image518.png"/><Relationship Id="rId594" Type="http://schemas.openxmlformats.org/officeDocument/2006/relationships/image" Target="media/image519.png"/><Relationship Id="rId595" Type="http://schemas.openxmlformats.org/officeDocument/2006/relationships/image" Target="media/image520.png"/><Relationship Id="rId596" Type="http://schemas.openxmlformats.org/officeDocument/2006/relationships/image" Target="media/image521.png"/><Relationship Id="rId597" Type="http://schemas.openxmlformats.org/officeDocument/2006/relationships/image" Target="media/image522.png"/><Relationship Id="rId598" Type="http://schemas.openxmlformats.org/officeDocument/2006/relationships/image" Target="media/image523.png"/><Relationship Id="rId599" Type="http://schemas.openxmlformats.org/officeDocument/2006/relationships/image" Target="media/image524.png"/><Relationship Id="rId600" Type="http://schemas.openxmlformats.org/officeDocument/2006/relationships/image" Target="media/image525.png"/><Relationship Id="rId601" Type="http://schemas.openxmlformats.org/officeDocument/2006/relationships/image" Target="media/image526.png"/><Relationship Id="rId602" Type="http://schemas.openxmlformats.org/officeDocument/2006/relationships/image" Target="media/image527.png"/><Relationship Id="rId603" Type="http://schemas.openxmlformats.org/officeDocument/2006/relationships/image" Target="media/image528.png"/><Relationship Id="rId604" Type="http://schemas.openxmlformats.org/officeDocument/2006/relationships/image" Target="media/image529.png"/><Relationship Id="rId605" Type="http://schemas.openxmlformats.org/officeDocument/2006/relationships/image" Target="media/image530.png"/><Relationship Id="rId606" Type="http://schemas.openxmlformats.org/officeDocument/2006/relationships/image" Target="media/image531.png"/><Relationship Id="rId607" Type="http://schemas.openxmlformats.org/officeDocument/2006/relationships/image" Target="media/image532.png"/><Relationship Id="rId608" Type="http://schemas.openxmlformats.org/officeDocument/2006/relationships/image" Target="media/image533.png"/><Relationship Id="rId609" Type="http://schemas.openxmlformats.org/officeDocument/2006/relationships/image" Target="media/image534.png"/><Relationship Id="rId610" Type="http://schemas.openxmlformats.org/officeDocument/2006/relationships/image" Target="media/image535.png"/><Relationship Id="rId611" Type="http://schemas.openxmlformats.org/officeDocument/2006/relationships/image" Target="media/image536.png"/><Relationship Id="rId612" Type="http://schemas.openxmlformats.org/officeDocument/2006/relationships/image" Target="media/image537.png"/><Relationship Id="rId613" Type="http://schemas.openxmlformats.org/officeDocument/2006/relationships/image" Target="media/image538.png"/><Relationship Id="rId614" Type="http://schemas.openxmlformats.org/officeDocument/2006/relationships/image" Target="media/image539.png"/><Relationship Id="rId615" Type="http://schemas.openxmlformats.org/officeDocument/2006/relationships/image" Target="media/image540.png"/><Relationship Id="rId616" Type="http://schemas.openxmlformats.org/officeDocument/2006/relationships/image" Target="media/image541.png"/><Relationship Id="rId617" Type="http://schemas.openxmlformats.org/officeDocument/2006/relationships/image" Target="media/image542.png"/><Relationship Id="rId618" Type="http://schemas.openxmlformats.org/officeDocument/2006/relationships/image" Target="media/image543.png"/><Relationship Id="rId619" Type="http://schemas.openxmlformats.org/officeDocument/2006/relationships/image" Target="media/image544.png"/><Relationship Id="rId620" Type="http://schemas.openxmlformats.org/officeDocument/2006/relationships/image" Target="media/image545.png"/><Relationship Id="rId621" Type="http://schemas.openxmlformats.org/officeDocument/2006/relationships/image" Target="media/image546.png"/><Relationship Id="rId622" Type="http://schemas.openxmlformats.org/officeDocument/2006/relationships/image" Target="media/image547.png"/><Relationship Id="rId623" Type="http://schemas.openxmlformats.org/officeDocument/2006/relationships/image" Target="media/image548.png"/><Relationship Id="rId624" Type="http://schemas.openxmlformats.org/officeDocument/2006/relationships/image" Target="media/image549.png"/><Relationship Id="rId625" Type="http://schemas.openxmlformats.org/officeDocument/2006/relationships/image" Target="media/image550.png"/><Relationship Id="rId626" Type="http://schemas.openxmlformats.org/officeDocument/2006/relationships/image" Target="media/image551.png"/><Relationship Id="rId627" Type="http://schemas.openxmlformats.org/officeDocument/2006/relationships/image" Target="media/image552.png"/><Relationship Id="rId628" Type="http://schemas.openxmlformats.org/officeDocument/2006/relationships/image" Target="media/image553.png"/><Relationship Id="rId629" Type="http://schemas.openxmlformats.org/officeDocument/2006/relationships/image" Target="media/image554.png"/><Relationship Id="rId630" Type="http://schemas.openxmlformats.org/officeDocument/2006/relationships/image" Target="media/image555.png"/><Relationship Id="rId631" Type="http://schemas.openxmlformats.org/officeDocument/2006/relationships/image" Target="media/image556.png"/><Relationship Id="rId632" Type="http://schemas.openxmlformats.org/officeDocument/2006/relationships/image" Target="media/image557.png"/><Relationship Id="rId633" Type="http://schemas.openxmlformats.org/officeDocument/2006/relationships/image" Target="media/image558.png"/><Relationship Id="rId634" Type="http://schemas.openxmlformats.org/officeDocument/2006/relationships/image" Target="media/image559.png"/><Relationship Id="rId635" Type="http://schemas.openxmlformats.org/officeDocument/2006/relationships/image" Target="media/image560.png"/><Relationship Id="rId636" Type="http://schemas.openxmlformats.org/officeDocument/2006/relationships/image" Target="media/image561.png"/><Relationship Id="rId637" Type="http://schemas.openxmlformats.org/officeDocument/2006/relationships/image" Target="media/image562.png"/><Relationship Id="rId638" Type="http://schemas.openxmlformats.org/officeDocument/2006/relationships/image" Target="media/image563.png"/><Relationship Id="rId639" Type="http://schemas.openxmlformats.org/officeDocument/2006/relationships/image" Target="media/image564.png"/><Relationship Id="rId640" Type="http://schemas.openxmlformats.org/officeDocument/2006/relationships/image" Target="media/image565.png"/><Relationship Id="rId641" Type="http://schemas.openxmlformats.org/officeDocument/2006/relationships/image" Target="media/image566.png"/><Relationship Id="rId642" Type="http://schemas.openxmlformats.org/officeDocument/2006/relationships/image" Target="media/image567.png"/><Relationship Id="rId643" Type="http://schemas.openxmlformats.org/officeDocument/2006/relationships/image" Target="media/image568.png"/><Relationship Id="rId644" Type="http://schemas.openxmlformats.org/officeDocument/2006/relationships/image" Target="media/image569.png"/><Relationship Id="rId645" Type="http://schemas.openxmlformats.org/officeDocument/2006/relationships/image" Target="media/image570.png"/><Relationship Id="rId646" Type="http://schemas.openxmlformats.org/officeDocument/2006/relationships/image" Target="media/image571.png"/><Relationship Id="rId647" Type="http://schemas.openxmlformats.org/officeDocument/2006/relationships/image" Target="media/image572.png"/><Relationship Id="rId648" Type="http://schemas.openxmlformats.org/officeDocument/2006/relationships/image" Target="media/image573.png"/><Relationship Id="rId649" Type="http://schemas.openxmlformats.org/officeDocument/2006/relationships/image" Target="media/image574.png"/><Relationship Id="rId650" Type="http://schemas.openxmlformats.org/officeDocument/2006/relationships/image" Target="media/image575.png"/><Relationship Id="rId651" Type="http://schemas.openxmlformats.org/officeDocument/2006/relationships/image" Target="media/image576.png"/><Relationship Id="rId652" Type="http://schemas.openxmlformats.org/officeDocument/2006/relationships/image" Target="media/image577.png"/><Relationship Id="rId653" Type="http://schemas.openxmlformats.org/officeDocument/2006/relationships/image" Target="media/image578.png"/><Relationship Id="rId654" Type="http://schemas.openxmlformats.org/officeDocument/2006/relationships/image" Target="media/image579.png"/><Relationship Id="rId655" Type="http://schemas.openxmlformats.org/officeDocument/2006/relationships/image" Target="media/image580.png"/><Relationship Id="rId656" Type="http://schemas.openxmlformats.org/officeDocument/2006/relationships/image" Target="media/image581.png"/><Relationship Id="rId657" Type="http://schemas.openxmlformats.org/officeDocument/2006/relationships/image" Target="media/image582.png"/><Relationship Id="rId658" Type="http://schemas.openxmlformats.org/officeDocument/2006/relationships/image" Target="media/image583.png"/><Relationship Id="rId659" Type="http://schemas.openxmlformats.org/officeDocument/2006/relationships/image" Target="media/image584.png"/><Relationship Id="rId660" Type="http://schemas.openxmlformats.org/officeDocument/2006/relationships/image" Target="media/image585.png"/><Relationship Id="rId661" Type="http://schemas.openxmlformats.org/officeDocument/2006/relationships/image" Target="media/image586.png"/><Relationship Id="rId662" Type="http://schemas.openxmlformats.org/officeDocument/2006/relationships/image" Target="media/image587.png"/><Relationship Id="rId663" Type="http://schemas.openxmlformats.org/officeDocument/2006/relationships/image" Target="media/image588.png"/><Relationship Id="rId664" Type="http://schemas.openxmlformats.org/officeDocument/2006/relationships/image" Target="media/image589.png"/><Relationship Id="rId665" Type="http://schemas.openxmlformats.org/officeDocument/2006/relationships/image" Target="media/image590.png"/><Relationship Id="rId666" Type="http://schemas.openxmlformats.org/officeDocument/2006/relationships/image" Target="media/image591.png"/><Relationship Id="rId667" Type="http://schemas.openxmlformats.org/officeDocument/2006/relationships/image" Target="media/image592.png"/><Relationship Id="rId668" Type="http://schemas.openxmlformats.org/officeDocument/2006/relationships/image" Target="media/image593.png"/><Relationship Id="rId669" Type="http://schemas.openxmlformats.org/officeDocument/2006/relationships/image" Target="media/image594.png"/><Relationship Id="rId670" Type="http://schemas.openxmlformats.org/officeDocument/2006/relationships/image" Target="media/image595.png"/><Relationship Id="rId671" Type="http://schemas.openxmlformats.org/officeDocument/2006/relationships/image" Target="media/image596.png"/><Relationship Id="rId672" Type="http://schemas.openxmlformats.org/officeDocument/2006/relationships/image" Target="media/image597.png"/><Relationship Id="rId673" Type="http://schemas.openxmlformats.org/officeDocument/2006/relationships/image" Target="media/image598.png"/><Relationship Id="rId674" Type="http://schemas.openxmlformats.org/officeDocument/2006/relationships/image" Target="media/image599.png"/><Relationship Id="rId675" Type="http://schemas.openxmlformats.org/officeDocument/2006/relationships/image" Target="media/image600.png"/><Relationship Id="rId676" Type="http://schemas.openxmlformats.org/officeDocument/2006/relationships/image" Target="media/image601.png"/><Relationship Id="rId677" Type="http://schemas.openxmlformats.org/officeDocument/2006/relationships/image" Target="media/image602.png"/><Relationship Id="rId678" Type="http://schemas.openxmlformats.org/officeDocument/2006/relationships/image" Target="media/image603.png"/><Relationship Id="rId679" Type="http://schemas.openxmlformats.org/officeDocument/2006/relationships/image" Target="media/image604.png"/><Relationship Id="rId680" Type="http://schemas.openxmlformats.org/officeDocument/2006/relationships/image" Target="media/image605.png"/><Relationship Id="rId681" Type="http://schemas.openxmlformats.org/officeDocument/2006/relationships/image" Target="media/image606.png"/><Relationship Id="rId682" Type="http://schemas.openxmlformats.org/officeDocument/2006/relationships/image" Target="media/image607.png"/><Relationship Id="rId683" Type="http://schemas.openxmlformats.org/officeDocument/2006/relationships/image" Target="media/image608.png"/><Relationship Id="rId684" Type="http://schemas.openxmlformats.org/officeDocument/2006/relationships/image" Target="media/image609.png"/><Relationship Id="rId685" Type="http://schemas.openxmlformats.org/officeDocument/2006/relationships/image" Target="media/image610.png"/><Relationship Id="rId686" Type="http://schemas.openxmlformats.org/officeDocument/2006/relationships/image" Target="media/image611.png"/><Relationship Id="rId687" Type="http://schemas.openxmlformats.org/officeDocument/2006/relationships/image" Target="media/image612.png"/><Relationship Id="rId688" Type="http://schemas.openxmlformats.org/officeDocument/2006/relationships/image" Target="media/image613.png"/><Relationship Id="rId689" Type="http://schemas.openxmlformats.org/officeDocument/2006/relationships/image" Target="media/image614.png"/><Relationship Id="rId690" Type="http://schemas.openxmlformats.org/officeDocument/2006/relationships/image" Target="media/image615.png"/><Relationship Id="rId691" Type="http://schemas.openxmlformats.org/officeDocument/2006/relationships/image" Target="media/image616.png"/><Relationship Id="rId692" Type="http://schemas.openxmlformats.org/officeDocument/2006/relationships/image" Target="media/image617.png"/><Relationship Id="rId693" Type="http://schemas.openxmlformats.org/officeDocument/2006/relationships/image" Target="media/image618.png"/><Relationship Id="rId694" Type="http://schemas.openxmlformats.org/officeDocument/2006/relationships/image" Target="media/image619.png"/><Relationship Id="rId695" Type="http://schemas.openxmlformats.org/officeDocument/2006/relationships/image" Target="media/image620.png"/><Relationship Id="rId696" Type="http://schemas.openxmlformats.org/officeDocument/2006/relationships/image" Target="media/image621.png"/><Relationship Id="rId697" Type="http://schemas.openxmlformats.org/officeDocument/2006/relationships/image" Target="media/image622.png"/><Relationship Id="rId698" Type="http://schemas.openxmlformats.org/officeDocument/2006/relationships/image" Target="media/image623.png"/><Relationship Id="rId699" Type="http://schemas.openxmlformats.org/officeDocument/2006/relationships/image" Target="media/image624.png"/><Relationship Id="rId700" Type="http://schemas.openxmlformats.org/officeDocument/2006/relationships/image" Target="media/image625.png"/><Relationship Id="rId701" Type="http://schemas.openxmlformats.org/officeDocument/2006/relationships/image" Target="media/image626.png"/><Relationship Id="rId702" Type="http://schemas.openxmlformats.org/officeDocument/2006/relationships/image" Target="media/image627.png"/><Relationship Id="rId703" Type="http://schemas.openxmlformats.org/officeDocument/2006/relationships/image" Target="media/image628.png"/><Relationship Id="rId704" Type="http://schemas.openxmlformats.org/officeDocument/2006/relationships/image" Target="media/image629.png"/><Relationship Id="rId705" Type="http://schemas.openxmlformats.org/officeDocument/2006/relationships/image" Target="media/image630.png"/><Relationship Id="rId706" Type="http://schemas.openxmlformats.org/officeDocument/2006/relationships/image" Target="media/image631.png"/><Relationship Id="rId707" Type="http://schemas.openxmlformats.org/officeDocument/2006/relationships/image" Target="media/image632.png"/><Relationship Id="rId708" Type="http://schemas.openxmlformats.org/officeDocument/2006/relationships/image" Target="media/image633.png"/><Relationship Id="rId709" Type="http://schemas.openxmlformats.org/officeDocument/2006/relationships/image" Target="media/image634.png"/><Relationship Id="rId710" Type="http://schemas.openxmlformats.org/officeDocument/2006/relationships/image" Target="media/image635.png"/><Relationship Id="rId711" Type="http://schemas.openxmlformats.org/officeDocument/2006/relationships/image" Target="media/image636.png"/><Relationship Id="rId712" Type="http://schemas.openxmlformats.org/officeDocument/2006/relationships/image" Target="media/image637.png"/><Relationship Id="rId713" Type="http://schemas.openxmlformats.org/officeDocument/2006/relationships/image" Target="media/image638.png"/><Relationship Id="rId714" Type="http://schemas.openxmlformats.org/officeDocument/2006/relationships/image" Target="media/image639.png"/><Relationship Id="rId715" Type="http://schemas.openxmlformats.org/officeDocument/2006/relationships/image" Target="media/image640.png"/><Relationship Id="rId716" Type="http://schemas.openxmlformats.org/officeDocument/2006/relationships/image" Target="media/image641.png"/><Relationship Id="rId717" Type="http://schemas.openxmlformats.org/officeDocument/2006/relationships/image" Target="media/image642.png"/><Relationship Id="rId718" Type="http://schemas.openxmlformats.org/officeDocument/2006/relationships/image" Target="media/image643.png"/><Relationship Id="rId719" Type="http://schemas.openxmlformats.org/officeDocument/2006/relationships/image" Target="media/image644.png"/><Relationship Id="rId720" Type="http://schemas.openxmlformats.org/officeDocument/2006/relationships/image" Target="media/image645.png"/><Relationship Id="rId721" Type="http://schemas.openxmlformats.org/officeDocument/2006/relationships/image" Target="media/image646.png"/><Relationship Id="rId722" Type="http://schemas.openxmlformats.org/officeDocument/2006/relationships/image" Target="media/image647.png"/><Relationship Id="rId723" Type="http://schemas.openxmlformats.org/officeDocument/2006/relationships/image" Target="media/image648.png"/><Relationship Id="rId724" Type="http://schemas.openxmlformats.org/officeDocument/2006/relationships/image" Target="media/image649.png"/><Relationship Id="rId725" Type="http://schemas.openxmlformats.org/officeDocument/2006/relationships/image" Target="media/image650.png"/><Relationship Id="rId726" Type="http://schemas.openxmlformats.org/officeDocument/2006/relationships/image" Target="media/image651.png"/><Relationship Id="rId727" Type="http://schemas.openxmlformats.org/officeDocument/2006/relationships/image" Target="media/image652.png"/><Relationship Id="rId728" Type="http://schemas.openxmlformats.org/officeDocument/2006/relationships/image" Target="media/image653.png"/><Relationship Id="rId729" Type="http://schemas.openxmlformats.org/officeDocument/2006/relationships/image" Target="media/image654.png"/><Relationship Id="rId730" Type="http://schemas.openxmlformats.org/officeDocument/2006/relationships/image" Target="media/image655.png"/><Relationship Id="rId731" Type="http://schemas.openxmlformats.org/officeDocument/2006/relationships/image" Target="media/image656.png"/><Relationship Id="rId732" Type="http://schemas.openxmlformats.org/officeDocument/2006/relationships/image" Target="media/image657.png"/><Relationship Id="rId733" Type="http://schemas.openxmlformats.org/officeDocument/2006/relationships/image" Target="media/image658.png"/><Relationship Id="rId734" Type="http://schemas.openxmlformats.org/officeDocument/2006/relationships/image" Target="media/image659.png"/><Relationship Id="rId735" Type="http://schemas.openxmlformats.org/officeDocument/2006/relationships/image" Target="media/image660.png"/><Relationship Id="rId736" Type="http://schemas.openxmlformats.org/officeDocument/2006/relationships/image" Target="media/image661.png"/><Relationship Id="rId737" Type="http://schemas.openxmlformats.org/officeDocument/2006/relationships/image" Target="media/image662.png"/><Relationship Id="rId738" Type="http://schemas.openxmlformats.org/officeDocument/2006/relationships/image" Target="media/image663.png"/><Relationship Id="rId739" Type="http://schemas.openxmlformats.org/officeDocument/2006/relationships/image" Target="media/image664.png"/><Relationship Id="rId740" Type="http://schemas.openxmlformats.org/officeDocument/2006/relationships/image" Target="media/image665.png"/><Relationship Id="rId741" Type="http://schemas.openxmlformats.org/officeDocument/2006/relationships/image" Target="media/image666.png"/><Relationship Id="rId742" Type="http://schemas.openxmlformats.org/officeDocument/2006/relationships/image" Target="media/image667.png"/><Relationship Id="rId743" Type="http://schemas.openxmlformats.org/officeDocument/2006/relationships/image" Target="media/image668.png"/><Relationship Id="rId744" Type="http://schemas.openxmlformats.org/officeDocument/2006/relationships/image" Target="media/image669.png"/><Relationship Id="rId745" Type="http://schemas.openxmlformats.org/officeDocument/2006/relationships/image" Target="media/image670.png"/><Relationship Id="rId746" Type="http://schemas.openxmlformats.org/officeDocument/2006/relationships/image" Target="media/image671.png"/><Relationship Id="rId747" Type="http://schemas.openxmlformats.org/officeDocument/2006/relationships/image" Target="media/image672.png"/><Relationship Id="rId748" Type="http://schemas.openxmlformats.org/officeDocument/2006/relationships/image" Target="media/image673.png"/><Relationship Id="rId749" Type="http://schemas.openxmlformats.org/officeDocument/2006/relationships/image" Target="media/image674.png"/><Relationship Id="rId750" Type="http://schemas.openxmlformats.org/officeDocument/2006/relationships/image" Target="media/image675.png"/><Relationship Id="rId751" Type="http://schemas.openxmlformats.org/officeDocument/2006/relationships/image" Target="media/image676.png"/><Relationship Id="rId752" Type="http://schemas.openxmlformats.org/officeDocument/2006/relationships/image" Target="media/image677.png"/><Relationship Id="rId753" Type="http://schemas.openxmlformats.org/officeDocument/2006/relationships/image" Target="media/image678.png"/><Relationship Id="rId754" Type="http://schemas.openxmlformats.org/officeDocument/2006/relationships/image" Target="media/image679.png"/><Relationship Id="rId755" Type="http://schemas.openxmlformats.org/officeDocument/2006/relationships/image" Target="media/image680.png"/><Relationship Id="rId756" Type="http://schemas.openxmlformats.org/officeDocument/2006/relationships/image" Target="media/image681.png"/><Relationship Id="rId757" Type="http://schemas.openxmlformats.org/officeDocument/2006/relationships/image" Target="media/image682.png"/><Relationship Id="rId758" Type="http://schemas.openxmlformats.org/officeDocument/2006/relationships/image" Target="media/image683.png"/><Relationship Id="rId759" Type="http://schemas.openxmlformats.org/officeDocument/2006/relationships/image" Target="media/image684.png"/><Relationship Id="rId760" Type="http://schemas.openxmlformats.org/officeDocument/2006/relationships/image" Target="media/image685.png"/><Relationship Id="rId761" Type="http://schemas.openxmlformats.org/officeDocument/2006/relationships/image" Target="media/image686.png"/><Relationship Id="rId762" Type="http://schemas.openxmlformats.org/officeDocument/2006/relationships/image" Target="media/image687.png"/><Relationship Id="rId763" Type="http://schemas.openxmlformats.org/officeDocument/2006/relationships/image" Target="media/image688.png"/><Relationship Id="rId764" Type="http://schemas.openxmlformats.org/officeDocument/2006/relationships/image" Target="media/image689.png"/><Relationship Id="rId765" Type="http://schemas.openxmlformats.org/officeDocument/2006/relationships/image" Target="media/image690.png"/><Relationship Id="rId766" Type="http://schemas.openxmlformats.org/officeDocument/2006/relationships/image" Target="media/image691.png"/><Relationship Id="rId767" Type="http://schemas.openxmlformats.org/officeDocument/2006/relationships/image" Target="media/image692.png"/><Relationship Id="rId768" Type="http://schemas.openxmlformats.org/officeDocument/2006/relationships/image" Target="media/image693.png"/><Relationship Id="rId769" Type="http://schemas.openxmlformats.org/officeDocument/2006/relationships/image" Target="media/image694.png"/><Relationship Id="rId770" Type="http://schemas.openxmlformats.org/officeDocument/2006/relationships/image" Target="media/image695.png"/><Relationship Id="rId771" Type="http://schemas.openxmlformats.org/officeDocument/2006/relationships/image" Target="media/image696.png"/><Relationship Id="rId772" Type="http://schemas.openxmlformats.org/officeDocument/2006/relationships/image" Target="media/image697.png"/><Relationship Id="rId773" Type="http://schemas.openxmlformats.org/officeDocument/2006/relationships/image" Target="media/image698.png"/><Relationship Id="rId774" Type="http://schemas.openxmlformats.org/officeDocument/2006/relationships/image" Target="media/image699.png"/><Relationship Id="rId775" Type="http://schemas.openxmlformats.org/officeDocument/2006/relationships/image" Target="media/image700.png"/><Relationship Id="rId776" Type="http://schemas.openxmlformats.org/officeDocument/2006/relationships/image" Target="media/image701.png"/><Relationship Id="rId777" Type="http://schemas.openxmlformats.org/officeDocument/2006/relationships/image" Target="media/image702.png"/><Relationship Id="rId778" Type="http://schemas.openxmlformats.org/officeDocument/2006/relationships/image" Target="media/image703.png"/><Relationship Id="rId779" Type="http://schemas.openxmlformats.org/officeDocument/2006/relationships/image" Target="media/image704.png"/><Relationship Id="rId780" Type="http://schemas.openxmlformats.org/officeDocument/2006/relationships/image" Target="media/image705.png"/><Relationship Id="rId781" Type="http://schemas.openxmlformats.org/officeDocument/2006/relationships/image" Target="media/image706.png"/><Relationship Id="rId782" Type="http://schemas.openxmlformats.org/officeDocument/2006/relationships/image" Target="media/image707.png"/><Relationship Id="rId783" Type="http://schemas.openxmlformats.org/officeDocument/2006/relationships/image" Target="media/image708.png"/><Relationship Id="rId784" Type="http://schemas.openxmlformats.org/officeDocument/2006/relationships/image" Target="media/image709.png"/><Relationship Id="rId785" Type="http://schemas.openxmlformats.org/officeDocument/2006/relationships/image" Target="media/image710.png"/><Relationship Id="rId786" Type="http://schemas.openxmlformats.org/officeDocument/2006/relationships/image" Target="media/image711.png"/><Relationship Id="rId787" Type="http://schemas.openxmlformats.org/officeDocument/2006/relationships/image" Target="media/image712.png"/><Relationship Id="rId788" Type="http://schemas.openxmlformats.org/officeDocument/2006/relationships/image" Target="media/image713.png"/><Relationship Id="rId789" Type="http://schemas.openxmlformats.org/officeDocument/2006/relationships/image" Target="media/image714.png"/><Relationship Id="rId790" Type="http://schemas.openxmlformats.org/officeDocument/2006/relationships/image" Target="media/image715.png"/><Relationship Id="rId791" Type="http://schemas.openxmlformats.org/officeDocument/2006/relationships/image" Target="media/image716.png"/><Relationship Id="rId792" Type="http://schemas.openxmlformats.org/officeDocument/2006/relationships/image" Target="media/image717.png"/><Relationship Id="rId793" Type="http://schemas.openxmlformats.org/officeDocument/2006/relationships/image" Target="media/image718.png"/><Relationship Id="rId794" Type="http://schemas.openxmlformats.org/officeDocument/2006/relationships/image" Target="media/image719.png"/><Relationship Id="rId795" Type="http://schemas.openxmlformats.org/officeDocument/2006/relationships/image" Target="media/image720.png"/><Relationship Id="rId796" Type="http://schemas.openxmlformats.org/officeDocument/2006/relationships/image" Target="media/image721.png"/><Relationship Id="rId797" Type="http://schemas.openxmlformats.org/officeDocument/2006/relationships/image" Target="media/image722.png"/><Relationship Id="rId798" Type="http://schemas.openxmlformats.org/officeDocument/2006/relationships/image" Target="media/image723.png"/><Relationship Id="rId799" Type="http://schemas.openxmlformats.org/officeDocument/2006/relationships/image" Target="media/image724.png"/><Relationship Id="rId800" Type="http://schemas.openxmlformats.org/officeDocument/2006/relationships/image" Target="media/image725.png"/><Relationship Id="rId801" Type="http://schemas.openxmlformats.org/officeDocument/2006/relationships/image" Target="media/image726.png"/><Relationship Id="rId802" Type="http://schemas.openxmlformats.org/officeDocument/2006/relationships/image" Target="media/image727.png"/><Relationship Id="rId803" Type="http://schemas.openxmlformats.org/officeDocument/2006/relationships/image" Target="media/image728.png"/><Relationship Id="rId804" Type="http://schemas.openxmlformats.org/officeDocument/2006/relationships/image" Target="media/image729.png"/><Relationship Id="rId805" Type="http://schemas.openxmlformats.org/officeDocument/2006/relationships/image" Target="media/image730.png"/><Relationship Id="rId806" Type="http://schemas.openxmlformats.org/officeDocument/2006/relationships/image" Target="media/image731.png"/><Relationship Id="rId807" Type="http://schemas.openxmlformats.org/officeDocument/2006/relationships/image" Target="media/image732.png"/><Relationship Id="rId808" Type="http://schemas.openxmlformats.org/officeDocument/2006/relationships/image" Target="media/image733.png"/><Relationship Id="rId809" Type="http://schemas.openxmlformats.org/officeDocument/2006/relationships/image" Target="media/image734.png"/><Relationship Id="rId810" Type="http://schemas.openxmlformats.org/officeDocument/2006/relationships/image" Target="media/image735.png"/><Relationship Id="rId811" Type="http://schemas.openxmlformats.org/officeDocument/2006/relationships/image" Target="media/image736.png"/><Relationship Id="rId812" Type="http://schemas.openxmlformats.org/officeDocument/2006/relationships/image" Target="media/image737.png"/><Relationship Id="rId813" Type="http://schemas.openxmlformats.org/officeDocument/2006/relationships/image" Target="media/image738.png"/><Relationship Id="rId814" Type="http://schemas.openxmlformats.org/officeDocument/2006/relationships/image" Target="media/image739.png"/><Relationship Id="rId815" Type="http://schemas.openxmlformats.org/officeDocument/2006/relationships/image" Target="media/image740.png"/><Relationship Id="rId816" Type="http://schemas.openxmlformats.org/officeDocument/2006/relationships/image" Target="media/image741.png"/><Relationship Id="rId817" Type="http://schemas.openxmlformats.org/officeDocument/2006/relationships/image" Target="media/image742.png"/><Relationship Id="rId818" Type="http://schemas.openxmlformats.org/officeDocument/2006/relationships/image" Target="media/image743.png"/><Relationship Id="rId819" Type="http://schemas.openxmlformats.org/officeDocument/2006/relationships/image" Target="media/image744.png"/><Relationship Id="rId820" Type="http://schemas.openxmlformats.org/officeDocument/2006/relationships/image" Target="media/image745.png"/><Relationship Id="rId821" Type="http://schemas.openxmlformats.org/officeDocument/2006/relationships/image" Target="media/image746.png"/><Relationship Id="rId822" Type="http://schemas.openxmlformats.org/officeDocument/2006/relationships/image" Target="media/image747.png"/><Relationship Id="rId823" Type="http://schemas.openxmlformats.org/officeDocument/2006/relationships/image" Target="media/image748.png"/><Relationship Id="rId824" Type="http://schemas.openxmlformats.org/officeDocument/2006/relationships/image" Target="media/image749.png"/><Relationship Id="rId825" Type="http://schemas.openxmlformats.org/officeDocument/2006/relationships/image" Target="media/image750.png"/><Relationship Id="rId431" Type="http://schemas.openxmlformats.org/officeDocument/2006/relationships/hyperlink" Target="https://www.sec.gov/Archives/edgar/data/1537054/000119312520236954/d944172dex21.htm" TargetMode="External"/><Relationship Id="rId432" Type="http://schemas.openxmlformats.org/officeDocument/2006/relationships/hyperlink" Target="https://www.sec.gov/Archives/edgar/data/1537054/000119312513324476/d552184dex31.htm" TargetMode="External"/><Relationship Id="rId433" Type="http://schemas.openxmlformats.org/officeDocument/2006/relationships/hyperlink" Target="https://www.sec.gov/Archives/edgar/data/1537054/000119312513324476/d552184dex32.htm" TargetMode="External"/><Relationship Id="rId434" Type="http://schemas.openxmlformats.org/officeDocument/2006/relationships/hyperlink" Target="https://www.sec.gov/Archives/edgar/data/1537054/000119312520251845/d63068dex31.htm" TargetMode="External"/><Relationship Id="rId435" Type="http://schemas.openxmlformats.org/officeDocument/2006/relationships/hyperlink" Target="https://www.sec.gov/Archives/edgar/data/1537054/000119312513252482/d551124dex41.htm" TargetMode="External"/><Relationship Id="rId436" Type="http://schemas.openxmlformats.org/officeDocument/2006/relationships/hyperlink" Target="https://www.sec.gov/Archives/edgar/data/1537054/000119312511351260/d267959dex43.htm" TargetMode="External"/><Relationship Id="rId437" Type="http://schemas.openxmlformats.org/officeDocument/2006/relationships/hyperlink" Target="https://www.sec.gov/Archives/edgar/data/0001537054/000156459021012575/gogo-ex410_113.htm" TargetMode="External"/><Relationship Id="rId438" Type="http://schemas.openxmlformats.org/officeDocument/2006/relationships/hyperlink" Target="https://www.sec.gov/Archives/edgar/data/1537054/000119312520251845/d63068dex41.htm" TargetMode="External"/><Relationship Id="rId439" Type="http://schemas.openxmlformats.org/officeDocument/2006/relationships/hyperlink" Target="https://www.sec.gov/Archives/edgar/data/1537054/000119312521114224/d155938dex102.htm" TargetMode="External"/><Relationship Id="rId440" Type="http://schemas.openxmlformats.org/officeDocument/2006/relationships/hyperlink" Target="https://www.sec.gov/Archives/edgar/data/1537054/000119312521114224/d155938dex103.htm" TargetMode="External"/><Relationship Id="rId441" Type="http://schemas.openxmlformats.org/officeDocument/2006/relationships/hyperlink" Target="https://www.sec.gov/Archives/edgar/data/1537054/000156459021041278/gogo-ex43_428.htm" TargetMode="External"/><Relationship Id="rId442" Type="http://schemas.openxmlformats.org/officeDocument/2006/relationships/hyperlink" Target="https://www.sec.gov/Archives/edgar/data/1537054/000095017022002778/gogo-ex4_10.htm" TargetMode="External"/><Relationship Id="rId443" Type="http://schemas.openxmlformats.org/officeDocument/2006/relationships/hyperlink" Target="https://www.sec.gov/Archives/edgar/data/1537054/000119312518319287/d644423dex10148.htm" TargetMode="External"/><Relationship Id="rId446" Type="http://schemas.openxmlformats.org/officeDocument/2006/relationships/hyperlink" Target="https://www.sec.gov/Archives/edgar/data/1537054/000119312518319287/d644423dex10149.htm" TargetMode="External"/><Relationship Id="rId447" Type="http://schemas.openxmlformats.org/officeDocument/2006/relationships/hyperlink" Target="https://www.sec.gov/Archives/edgar/data/1537054/000119312518319287/d644423dex10150.htm" TargetMode="External"/><Relationship Id="rId448" Type="http://schemas.openxmlformats.org/officeDocument/2006/relationships/hyperlink" Target="https://www.sec.gov/Archives/edgar/data/1537054/000119312520307170/d50881dex101.htm" TargetMode="External"/><Relationship Id="rId449" Type="http://schemas.openxmlformats.org/officeDocument/2006/relationships/hyperlink" Target="https://www.sec.gov/Archives/edgar/data/1537054/000156459021012575/gogo-ex1015_112.htm" TargetMode="External"/><Relationship Id="rId450" Type="http://schemas.openxmlformats.org/officeDocument/2006/relationships/hyperlink" Target="https://www.sec.gov/Archives/edgar/data/1537054/000156459021012575/gogo-ex1016_111.htm" TargetMode="External"/><Relationship Id="rId451" Type="http://schemas.openxmlformats.org/officeDocument/2006/relationships/hyperlink" Target="https://www.sec.gov/Archives/edgar/data/1537054/000095017022010727/gogo-ex10_1.htm" TargetMode="External"/><Relationship Id="rId452" Type="http://schemas.openxmlformats.org/officeDocument/2006/relationships/hyperlink" Target="https://www.sec.gov/Archives/edgar/data/1537054/000095017022011631/gogo-ex10_1.htm" TargetMode="External"/><Relationship Id="rId453" Type="http://schemas.openxmlformats.org/officeDocument/2006/relationships/hyperlink" Target="https://www.sec.gov/Archives/edgar/data/1537054/000119312517157955/d377947dex10214.htm" TargetMode="External"/><Relationship Id="rId454" Type="http://schemas.openxmlformats.org/officeDocument/2006/relationships/hyperlink" Target="https://www.sec.gov/Archives/edgar/data/1537054/000119312517157955/d377947dex10215.htm" TargetMode="External"/><Relationship Id="rId455" Type="http://schemas.openxmlformats.org/officeDocument/2006/relationships/hyperlink" Target="https://www.sec.gov/Archives/edgar/data/1537054/000119312518152355/d544094dex10212.htm" TargetMode="External"/><Relationship Id="rId456" Type="http://schemas.openxmlformats.org/officeDocument/2006/relationships/hyperlink" Target="https://www.sec.gov/Archives/edgar/data/1537054/000119312520072797/d857662dex10210.htm" TargetMode="External"/><Relationship Id="rId457" Type="http://schemas.openxmlformats.org/officeDocument/2006/relationships/hyperlink" Target="https://www.sec.gov/Archives/edgar/data/1537054/000119312518152355/d544094dex10218.htm" TargetMode="External"/><Relationship Id="rId458" Type="http://schemas.openxmlformats.org/officeDocument/2006/relationships/hyperlink" Target="https://www.sec.gov/Archives/edgar/data/1537054/000119312519142871/d736492dex10220.htm" TargetMode="External"/><Relationship Id="rId459" Type="http://schemas.openxmlformats.org/officeDocument/2006/relationships/hyperlink" Target="https://www.sec.gov/Archives/edgar/data/1537054/000119312519142871/d736492dex10221.htm" TargetMode="External"/><Relationship Id="rId460" Type="http://schemas.openxmlformats.org/officeDocument/2006/relationships/hyperlink" Target="https://www.sec.gov/Archives/edgar/data/1537054/000119312519142871/d736492dex10222.htm" TargetMode="External"/><Relationship Id="rId461" Type="http://schemas.openxmlformats.org/officeDocument/2006/relationships/hyperlink" Target="https://www.sec.gov/Archives/edgar/data/1537054/000156459021024921/gogo-ex106_168.htm" TargetMode="External"/><Relationship Id="rId462" Type="http://schemas.openxmlformats.org/officeDocument/2006/relationships/hyperlink" Target="https://www.sec.gov/Archives/edgar/data/1537054/000156459021041278/gogo-ex105_124.htm" TargetMode="External"/><Relationship Id="rId463" Type="http://schemas.openxmlformats.org/officeDocument/2006/relationships/hyperlink" Target="https://www.sec.gov/Archives/edgar/data/1537054/000156459021041278/gogo-ex106_8.htm" TargetMode="External"/><Relationship Id="rId464" Type="http://schemas.openxmlformats.org/officeDocument/2006/relationships/hyperlink" Target="https://www.sec.gov/Archives/edgar/data/1537054/000156459021041278/gogo-ex107_125.htm" TargetMode="External"/><Relationship Id="rId465" Type="http://schemas.openxmlformats.org/officeDocument/2006/relationships/hyperlink" Target="https://www.sec.gov/Archives/edgar/data/1537054/000156459021041278/gogo-ex108_214.htm" TargetMode="External"/><Relationship Id="rId466" Type="http://schemas.openxmlformats.org/officeDocument/2006/relationships/hyperlink" Target="https://www.sec.gov/Archives/edgar/data/1537054/000095017022007618/gogo-ex10_21.htm" TargetMode="External"/><Relationship Id="rId467" Type="http://schemas.openxmlformats.org/officeDocument/2006/relationships/hyperlink" Target="https://www.sec.gov/Archives/edgar/data/1537054/000095017022007618/gogo-ex10_22.htm" TargetMode="External"/><Relationship Id="rId470" Type="http://schemas.openxmlformats.org/officeDocument/2006/relationships/hyperlink" Target="https://www.sec.gov/Archives/edgar/data/1537054/000095017022007618/gogo-ex10_23.htm" TargetMode="External"/><Relationship Id="rId471" Type="http://schemas.openxmlformats.org/officeDocument/2006/relationships/hyperlink" Target="https://www.sec.gov/Archives/edgar/data/1537054/000095017022007618/gogo-ex10_24.htm" TargetMode="External"/><Relationship Id="rId472" Type="http://schemas.openxmlformats.org/officeDocument/2006/relationships/hyperlink" Target="https://www.sec.gov/Archives/edgar/data/1537054/000095017022007618/gogo-ex10_25.htm" TargetMode="External"/><Relationship Id="rId473" Type="http://schemas.openxmlformats.org/officeDocument/2006/relationships/hyperlink" Target="https://www.sec.gov/Archives/edgar/data/1537054/000095017023002777/gogo-ex10_1.htm" TargetMode="External"/><Relationship Id="rId474" Type="http://schemas.openxmlformats.org/officeDocument/2006/relationships/hyperlink" Target="https://www.sec.gov/Archives/edgar/data/1537054/000095017023002777/gogo-ex10_2.htm" TargetMode="External"/><Relationship Id="rId475" Type="http://schemas.openxmlformats.org/officeDocument/2006/relationships/hyperlink" Target="https://www.sec.gov/Archives/edgar/data/1537054/000119312512125890/d267959dex1031.htm" TargetMode="External"/><Relationship Id="rId476" Type="http://schemas.openxmlformats.org/officeDocument/2006/relationships/hyperlink" Target="https://www.sec.gov/Archives/edgar/data/1537054/000119312512125890/d267959dex1032.htm" TargetMode="External"/><Relationship Id="rId477" Type="http://schemas.openxmlformats.org/officeDocument/2006/relationships/hyperlink" Target="https://www.sec.gov/Archives/edgar/data/1537054/000119312512125890/d267959dex1033.htm" TargetMode="External"/><Relationship Id="rId478" Type="http://schemas.openxmlformats.org/officeDocument/2006/relationships/hyperlink" Target="https://www.sec.gov/Archives/edgar/data/1537054/000119312513251036/d267959dex1034.htm" TargetMode="External"/><Relationship Id="rId479" Type="http://schemas.openxmlformats.org/officeDocument/2006/relationships/hyperlink" Target="https://www.sec.gov/Archives/edgar/data/1537054/000119312513251036/d267959dex1036.htm" TargetMode="External"/><Relationship Id="rId480" Type="http://schemas.openxmlformats.org/officeDocument/2006/relationships/hyperlink" Target="https://www.sec.gov/Archives/edgar/data/1537054/000119312513262303/d551124dex105.htm" TargetMode="External"/><Relationship Id="rId481" Type="http://schemas.openxmlformats.org/officeDocument/2006/relationships/hyperlink" Target="https://www.sec.gov/Archives/edgar/data/1537054/000119312514100126/d659569dex1052.htm" TargetMode="External"/><Relationship Id="rId482" Type="http://schemas.openxmlformats.org/officeDocument/2006/relationships/hyperlink" Target="https://www.sec.gov/Archives/edgar/data/1537054/000119312515069995/d851900dex1043.htm" TargetMode="External"/><Relationship Id="rId483" Type="http://schemas.openxmlformats.org/officeDocument/2006/relationships/hyperlink" Target="https://www.sec.gov/Archives/edgar/data/1537054/000119312515069995/d851900dex1044.htm" TargetMode="External"/><Relationship Id="rId484" Type="http://schemas.openxmlformats.org/officeDocument/2006/relationships/hyperlink" Target="https://www.sec.gov/Archives/edgar/data/1537054/000119312516671164/d211397dex1046.htm" TargetMode="External"/><Relationship Id="rId485" Type="http://schemas.openxmlformats.org/officeDocument/2006/relationships/hyperlink" Target="https://www.sec.gov/Archives/edgar/data/1537054/000119312516671164/d211397dex1047.htm" TargetMode="External"/><Relationship Id="rId486" Type="http://schemas.openxmlformats.org/officeDocument/2006/relationships/hyperlink" Target="https://www.sec.gov/Archives/edgar/data/1537054/000119312516671164/d211397dex1048.htm" TargetMode="External"/><Relationship Id="rId487" Type="http://schemas.openxmlformats.org/officeDocument/2006/relationships/hyperlink" Target="https://www.sec.gov/Archives/edgar/data/1537054/000119312516671164/d211397dex1049.htm" TargetMode="External"/><Relationship Id="rId488" Type="http://schemas.openxmlformats.org/officeDocument/2006/relationships/hyperlink" Target="https://www.sec.gov/Archives/edgar/data/1537054/000119312518136141/d513878ddef14a.htm#rom513878_64" TargetMode="External"/><Relationship Id="rId489" Type="http://schemas.openxmlformats.org/officeDocument/2006/relationships/hyperlink" Target="https://www.sec.gov/Archives/edgar/data/1537054/000095017022015043/gogo-ex10_41.htm" TargetMode="External"/><Relationship Id="rId490" Type="http://schemas.openxmlformats.org/officeDocument/2006/relationships/hyperlink" Target="https://www.sec.gov/Archives/edgar/data/1537054/000095017022021698/gogo-ex10_402.htm" TargetMode="External"/><Relationship Id="rId491" Type="http://schemas.openxmlformats.org/officeDocument/2006/relationships/hyperlink" Target="https://www.sec.gov/Archives/edgar/data/1537054/000119312516671164/d211397dex10410.htm" TargetMode="External"/><Relationship Id="rId492" Type="http://schemas.openxmlformats.org/officeDocument/2006/relationships/hyperlink" Target="https://www.sec.gov/Archives/edgar/data/1537054/000119312513261433/d551124dex107.htm" TargetMode="External"/><Relationship Id="rId493" Type="http://schemas.openxmlformats.org/officeDocument/2006/relationships/hyperlink" Target="https://www.sec.gov/Archives/edgar/data/1537054/000119312513251036/d267959dex1071.htm" TargetMode="External"/><Relationship Id="rId494" Type="http://schemas.openxmlformats.org/officeDocument/2006/relationships/hyperlink" Target="https://www.sec.gov/Archives/edgar/data/1537054/000119312513251036/d267959dex1072.htm" TargetMode="External"/><Relationship Id="rId497" Type="http://schemas.openxmlformats.org/officeDocument/2006/relationships/hyperlink" Target="https://www.sec.gov/Archives/edgar/data/1537054/000119312514100126/d659569dex10102.htm" TargetMode="External"/><Relationship Id="rId498" Type="http://schemas.openxmlformats.org/officeDocument/2006/relationships/hyperlink" Target="https://www.sec.gov/Archives/edgar/data/1537054/000119312514100126/d659569dex10103.htm" TargetMode="External"/><Relationship Id="rId499" Type="http://schemas.openxmlformats.org/officeDocument/2006/relationships/hyperlink" Target="https://www.sec.gov/Archives/edgar/data/1537054/000119312520072797/d857662dex1094.htm" TargetMode="External"/><Relationship Id="rId500" Type="http://schemas.openxmlformats.org/officeDocument/2006/relationships/hyperlink" Target="https://www.sec.gov/Archives/edgar/data/1537054/000156459020038939/gogo-ex1091_183.htm" TargetMode="External"/><Relationship Id="rId501" Type="http://schemas.openxmlformats.org/officeDocument/2006/relationships/hyperlink" Target="https://www.sec.gov/Archives/edgar/data/1537054/000156459020038939/gogo-ex1092_182.htm" TargetMode="External"/><Relationship Id="rId502" Type="http://schemas.openxmlformats.org/officeDocument/2006/relationships/hyperlink" Target="https://www.sec.gov/Archives/edgar/data/1537054/000119312521146480/d163699dex101.htm" TargetMode="External"/><Relationship Id="rId503" Type="http://schemas.openxmlformats.org/officeDocument/2006/relationships/hyperlink" Target="https://www.sec.gov/Archives/edgar/data/1537054/000119312521146480/d163699dex102.htm" TargetMode="External"/><Relationship Id="rId504" Type="http://schemas.openxmlformats.org/officeDocument/2006/relationships/hyperlink" Target="https://www.sec.gov/Archives/edgar/data/1537054/000119312521146480/d16369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2023-02-28T18:42:39Z</dcterms:created>
  <dcterms:modified xsi:type="dcterms:W3CDTF">2023-02-28T18:42:39Z</dcterms:modified>
</cp:coreProperties>
</file>