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GOGO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001-35975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27-1650905</w:t>
      </w:r>
    </w:p>
    <w:p>
      <w:pPr>
        <w:spacing w:after="0" w:line="24" w:lineRule="exact"/>
        <w:rPr>
          <w:sz w:val="24"/>
          <w:szCs w:val="24"/>
          <w:color w:val="auto"/>
        </w:rPr>
      </w:pPr>
    </w:p>
    <w:p>
      <w:pPr>
        <w:sectPr>
          <w:pgSz w:w="11900" w:h="16838" w:orient="portrait"/>
          <w:cols w:equalWidth="0" w:num="3">
            <w:col w:w="4504" w:space="720"/>
            <w:col w:w="2880" w:space="720"/>
            <w:col w:w="2200"/>
          </w:cols>
          <w:pgMar w:left="436" w:top="362"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111 North Canal St., Suite 1500</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Chicago, IL</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60606</w:t>
      </w:r>
    </w:p>
    <w:p>
      <w:pPr>
        <w:spacing w:after="0" w:line="42" w:lineRule="exact"/>
        <w:rPr>
          <w:sz w:val="24"/>
          <w:szCs w:val="24"/>
          <w:color w:val="auto"/>
        </w:rPr>
      </w:pPr>
    </w:p>
    <w:p>
      <w:pPr>
        <w:sectPr>
          <w:pgSz w:w="11900" w:h="16838" w:orient="portrait"/>
          <w:cols w:equalWidth="0" w:num="2">
            <w:col w:w="7404" w:space="720"/>
            <w:col w:w="2900"/>
          </w:cols>
          <w:pgMar w:left="436" w:top="362"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312-517-5000</w:t>
      </w:r>
    </w:p>
    <w:p>
      <w:pPr>
        <w:spacing w:after="0" w:line="16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GOGO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GOGO</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0" w:type="dxa"/>
            <w:vAlign w:val="bottom"/>
          </w:tcPr>
          <w:p>
            <w:pPr>
              <w:spacing w:after="0"/>
              <w:rPr>
                <w:sz w:val="1"/>
                <w:szCs w:val="1"/>
                <w:color w:val="auto"/>
              </w:rPr>
            </w:pPr>
          </w:p>
        </w:tc>
      </w:tr>
    </w:tbl>
    <w:p>
      <w:pPr>
        <w:spacing w:after="0" w:line="17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On November 18, 2020, Gogo Inc. (“Gogo”) announced that, based on significant progress in obtaining required governmental and regulatory approvals related to the previously announced sale of Gogo’s commercial aviation business (the “CA Sale”) to Intelsat Jackson Holdings S.A (“Intelsat”), including receiving all necessary approvals by the Federal Communications Commission, Gogo now expects to close the CA Sale in early December 2020. Closing of the CA Sale remains subject to the satisfaction of customary closing conditions set forth in the purchase and sale agreement, dated as of August 31, 2020, by and between Gogo and Intelsat, and the receipt of remaining governmental and regulatory approvals.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disclosures in this report include forward-looking statements within the meaning of the Private Securities Litigation Reform Act of 1995 that are based on management’s beliefs and assumptions and on information currently available to management. These forward-looking statements include, without limitation, statements regarding the satisfaction of all conditions precedent to and the timing of the close of the CA Sale. When used in this discussion, the words “anticipate,” “assume,” “believe,” “budget,” “continue,” “could,” “estimate,” “expect,” “intend,” “may,” “plan,” “potential,” “predict,” “project,” “should,” “will,” “future” and the negative of these or similar terms and phrases are intended to identify forward-looking statements in this report. 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Additional information concerning these and other factors can be found under the caption “Risk Factors” in our filings with the Securities and Exchange Commission, including in our quarterly report on Form 10-Q for the quarter ended September 30, 2020, as filed with the Securities and Exchange Commission on November 9, 2020. Any one of these factors or a combination of these factors could influence whether any forward-looking statements contained in this report ultimately prove to be accurate. Our forward-looking statements are not guarantees of future performance, and you should not place undue reliance on them. All forward-looking statements speak only as of the date made and we undertake no obligation to update or revise publicly any forward-looking statements, whether as a result of new information, future events or otherwise.</w:t>
      </w:r>
    </w:p>
    <w:p>
      <w:pPr>
        <w:sectPr>
          <w:pgSz w:w="11900" w:h="16838" w:orient="portrait"/>
          <w:cols w:equalWidth="0" w:num="1">
            <w:col w:w="11000"/>
          </w:cols>
          <w:pgMar w:left="440" w:top="293" w:right="4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GOGO INC.</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19685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Barry Rowan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November 18, 2020</w:t>
      </w:r>
    </w:p>
    <w:sectPr>
      <w:pgSz w:w="11900" w:h="16838" w:orient="portrait"/>
      <w:cols w:equalWidth="0" w:num="1">
        <w:col w:w="11000"/>
      </w:cols>
      <w:pgMar w:left="440" w:top="29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2020-11-19T05:14:07Z</dcterms:created>
  <dcterms:modified xsi:type="dcterms:W3CDTF">2020-11-19T05:14:07Z</dcterms:modified>
</cp:coreProperties>
</file>