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860" w:hanging="839"/>
        <w:spacing w:after="0"/>
        <w:tabs>
          <w:tab w:leader="none" w:pos="8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85"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1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9" w:lineRule="exact"/>
        <w:rPr>
          <w:sz w:val="24"/>
          <w:szCs w:val="24"/>
          <w:color w:val="auto"/>
        </w:rPr>
      </w:pPr>
    </w:p>
    <w:p>
      <w:pPr>
        <w:ind w:left="700" w:hanging="679"/>
        <w:spacing w:after="0"/>
        <w:tabs>
          <w:tab w:leader="none" w:pos="7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633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Gogo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279" w:right="419" w:bottom="1440" w:gutter="0" w:footer="0" w:header="0"/>
        </w:sectPr>
      </w:pPr>
    </w:p>
    <w:p>
      <w:pPr>
        <w:spacing w:after="0" w:line="120"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27-1650905</w:t>
      </w:r>
    </w:p>
    <w:p>
      <w:pPr>
        <w:spacing w:after="0" w:line="47" w:lineRule="exact"/>
        <w:rPr>
          <w:sz w:val="24"/>
          <w:szCs w:val="24"/>
          <w:color w:val="auto"/>
        </w:rPr>
      </w:pPr>
    </w:p>
    <w:p>
      <w:pPr>
        <w:sectPr>
          <w:pgSz w:w="11900" w:h="16838" w:orient="portrait"/>
          <w:cols w:equalWidth="0" w:num="2">
            <w:col w:w="7340" w:space="720"/>
            <w:col w:w="3100"/>
          </w:cols>
          <w:pgMar w:left="320" w:top="1279" w:right="41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64770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74" w:lineRule="exact"/>
        <w:rPr>
          <w:sz w:val="24"/>
          <w:szCs w:val="24"/>
          <w:color w:val="auto"/>
        </w:rPr>
      </w:pPr>
    </w:p>
    <w:p>
      <w:pPr>
        <w:sectPr>
          <w:pgSz w:w="11900" w:h="16838" w:orient="portrait"/>
          <w:cols w:equalWidth="0" w:num="2">
            <w:col w:w="7240" w:space="720"/>
            <w:col w:w="3200"/>
          </w:cols>
          <w:pgMar w:left="320" w:top="1279" w:right="4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105 Edgeview Dr., Suite 300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Broomfield, CO 80021</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Number (303) 301-3271</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64770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2540" w:type="dxa"/>
            <w:vAlign w:val="bottom"/>
          </w:tcPr>
          <w:p>
            <w:pPr>
              <w:spacing w:after="0"/>
              <w:rPr>
                <w:sz w:val="13"/>
                <w:szCs w:val="13"/>
                <w:color w:val="auto"/>
              </w:rPr>
            </w:pPr>
          </w:p>
        </w:tc>
        <w:tc>
          <w:tcPr>
            <w:tcW w:w="17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Trading Symbol</w:t>
            </w:r>
          </w:p>
        </w:tc>
        <w:tc>
          <w:tcPr>
            <w:tcW w:w="346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73"/>
        </w:trPr>
        <w:tc>
          <w:tcPr>
            <w:tcW w:w="422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7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8"/>
              </w:rPr>
              <w:t>GOGO</w:t>
            </w:r>
          </w:p>
        </w:tc>
        <w:tc>
          <w:tcPr>
            <w:tcW w:w="7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6"/>
        </w:trPr>
        <w:tc>
          <w:tcPr>
            <w:tcW w:w="4220" w:type="dxa"/>
            <w:vAlign w:val="bottom"/>
            <w:gridSpan w:val="3"/>
          </w:tcPr>
          <w:p>
            <w:pPr>
              <w:jc w:val="center"/>
              <w:ind w:right="1640"/>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8"/>
              </w:rPr>
              <w:t>GOGO</w:t>
            </w:r>
          </w:p>
        </w:tc>
        <w:tc>
          <w:tcPr>
            <w:tcW w:w="7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97" w:lineRule="exact"/>
        <w:rPr>
          <w:sz w:val="24"/>
          <w:szCs w:val="24"/>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12" w:lineRule="exact"/>
        <w:rPr>
          <w:sz w:val="24"/>
          <w:szCs w:val="24"/>
          <w:color w:val="auto"/>
        </w:rPr>
      </w:pPr>
    </w:p>
    <w:p>
      <w:pPr>
        <w:spacing w:after="0" w:line="161" w:lineRule="exact"/>
        <w:tabs>
          <w:tab w:leader="none" w:pos="860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2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left="520" w:right="2660"/>
        <w:spacing w:after="0" w:line="223"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2, 2024, 127,104,716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79" w:right="4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10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w:t>
            </w:r>
          </w:p>
        </w:tc>
        <w:tc>
          <w:tcPr>
            <w:tcW w:w="962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6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(Deficit)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tcBorders>
              <w:left w:val="single" w:sz="8" w:color="0000FF"/>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$1,855 and $2,091, respectively</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48,233</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69,298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64,138</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335,305</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96,042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98,129</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55,647</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70,552</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convertible note</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assets, net of allowances of $614 and $591, respectively</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206,223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216,638</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473,648</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808,953</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781,539</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586,274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587,501</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73,047</w:t>
            </w:r>
          </w:p>
        </w:tc>
        <w:tc>
          <w:tcPr>
            <w:tcW w:w="100" w:type="dxa"/>
            <w:vAlign w:val="bottom"/>
          </w:tcPr>
          <w:p>
            <w:pPr>
              <w:spacing w:after="0"/>
              <w:rPr>
                <w:sz w:val="20"/>
                <w:szCs w:val="20"/>
                <w:color w:val="auto"/>
              </w:rPr>
            </w:pPr>
          </w:p>
        </w:tc>
      </w:tr>
      <w:tr>
        <w:trPr>
          <w:trHeight w:val="243"/>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666,648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668,818</w:t>
            </w:r>
          </w:p>
        </w:tc>
        <w:tc>
          <w:tcPr>
            <w:tcW w:w="100" w:type="dxa"/>
            <w:vAlign w:val="bottom"/>
          </w:tcPr>
          <w:p>
            <w:pPr>
              <w:spacing w:after="0"/>
              <w:rPr>
                <w:sz w:val="20"/>
                <w:szCs w:val="20"/>
                <w:color w:val="auto"/>
              </w:rPr>
            </w:pPr>
          </w:p>
        </w:tc>
      </w:tr>
      <w:tr>
        <w:trPr>
          <w:trHeight w:val="236"/>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746,514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$0.0001 per share; 500,000,000 shares authorized at March 31, 2024 and</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138,253,311 and 137,632,284 shares issued at March 31, 2024 and December 31,</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respectively; and 128,227,127 and 128,462,343 shares outstanding at March 31, 2024 and</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1,404,217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1,402,003</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(173,357 )</w:t>
            </w: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(163,197 )</w:t>
            </w:r>
          </w:p>
        </w:tc>
      </w:tr>
      <w:tr>
        <w:trPr>
          <w:trHeight w:val="238"/>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(1,183,401 )</w:t>
            </w:r>
          </w:p>
        </w:tc>
        <w:tc>
          <w:tcPr>
            <w:tcW w:w="1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(1,213,891 )</w:t>
            </w: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62,439</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808,953</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781,539</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-5325110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-5325110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-4074795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-4074795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-2799080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-2799080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-2174240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-2174240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-1849120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-187960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4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104,322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98,597</w:t>
            </w:r>
          </w:p>
        </w:tc>
        <w:tc>
          <w:tcPr>
            <w:tcW w:w="100" w:type="dxa"/>
            <w:vAlign w:val="bottom"/>
          </w:tcPr>
          <w:p>
            <w:pPr>
              <w:spacing w:after="0"/>
              <w:rPr>
                <w:sz w:val="20"/>
                <w:szCs w:val="20"/>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66,669</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(2,048 )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(13,099 )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(6,737 )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20"/>
                <w:szCs w:val="20"/>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 per share: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FF0FC"/>
          </w:tcPr>
          <w:p>
            <w:pPr>
              <w:spacing w:after="0"/>
              <w:rPr>
                <w:sz w:val="21"/>
                <w:szCs w:val="21"/>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129,272</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132,441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133,602</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-3997960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-3997960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-2747645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-2422525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-1797685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-1155065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-1137920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 hedges: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Amount recognized in other comprehensive income</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(2,439 )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(675 )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(7,160 )</w:t>
            </w: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(7,085 )</w:t>
            </w: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30,490</w:t>
            </w:r>
          </w:p>
        </w:tc>
        <w:tc>
          <w:tcPr>
            <w:tcW w:w="26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asset disposals, abandonments and write-downs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(132 )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10,641</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5,041</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 in fair value of convertible note investment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(13,132 )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(1,017 )</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(6,111 )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(5,003 )</w:t>
            </w: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(5,904 )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(8,632 )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liabilities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(1,442 )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(9,620 )</w:t>
            </w: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(1,054 )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interest</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(86 )</w:t>
            </w:r>
          </w:p>
        </w:tc>
      </w:tr>
      <w:tr>
        <w:trPr>
          <w:trHeight w:val="169"/>
        </w:trPr>
        <w:tc>
          <w:tcPr>
            <w:tcW w:w="77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29,657</w:t>
            </w:r>
          </w:p>
        </w:tc>
        <w:tc>
          <w:tcPr>
            <w:tcW w:w="26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18,514</w:t>
            </w:r>
          </w:p>
        </w:tc>
        <w:tc>
          <w:tcPr>
            <w:tcW w:w="100" w:type="dxa"/>
            <w:vAlign w:val="bottom"/>
            <w:tcBorders>
              <w:top w:val="single" w:sz="8" w:color="CFF0FC"/>
            </w:tcBorders>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(1,451 )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(3,112 )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(2,720 )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(1,484 )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FCC Reimbursement Program for property, equipment and intangibles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interest rate caps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Redemptions of short-term investments</w:t>
            </w:r>
          </w:p>
        </w:tc>
        <w:tc>
          <w:tcPr>
            <w:tcW w:w="10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24,796</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(24,728 )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 of convertible note investment</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(5,000 )</w:t>
            </w:r>
          </w:p>
        </w:tc>
        <w:tc>
          <w:tcPr>
            <w:tcW w:w="3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(2,604 )</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00" w:type="dxa"/>
            <w:vAlign w:val="bottom"/>
            <w:shd w:val="clear" w:color="auto" w:fill="CFF0FC"/>
          </w:tcPr>
          <w:p>
            <w:pPr>
              <w:spacing w:after="0"/>
              <w:rPr>
                <w:sz w:val="14"/>
                <w:szCs w:val="14"/>
                <w:color w:val="auto"/>
              </w:rPr>
            </w:pPr>
          </w:p>
        </w:tc>
      </w:tr>
      <w:tr>
        <w:trPr>
          <w:trHeight w:val="16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Payments on term loan</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(1,813 )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(1,813 )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(10,137 )</w:t>
            </w:r>
          </w:p>
        </w:tc>
        <w:tc>
          <w:tcPr>
            <w:tcW w:w="3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Payments on financing leases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(1,343 )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(5,575 )</w:t>
            </w:r>
          </w:p>
        </w:tc>
      </w:tr>
      <w:tr>
        <w:trPr>
          <w:trHeight w:val="20"/>
        </w:trPr>
        <w:tc>
          <w:tcPr>
            <w:tcW w:w="7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(13,296 )</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(7,445 )</w:t>
            </w:r>
          </w:p>
        </w:tc>
      </w:tr>
      <w:tr>
        <w:trPr>
          <w:trHeight w:val="169"/>
        </w:trPr>
        <w:tc>
          <w:tcPr>
            <w:tcW w:w="7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FF0FC"/>
            </w:tcBorders>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in cash, cash equivalents and restricted cash</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13,784</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12,716</w:t>
            </w: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139,366</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150,880</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153,150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163,596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40" w:type="dxa"/>
            <w:vAlign w:val="bottom"/>
          </w:tcPr>
          <w:p>
            <w:pPr>
              <w:jc w:val="right"/>
              <w:ind w:right="8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153,150</w:t>
            </w:r>
          </w:p>
        </w:tc>
        <w:tc>
          <w:tcPr>
            <w:tcW w:w="260" w:type="dxa"/>
            <w:vAlign w:val="bottom"/>
          </w:tcPr>
          <w:p>
            <w:pPr>
              <w:spacing w:after="0"/>
              <w:rPr>
                <w:sz w:val="13"/>
                <w:szCs w:val="13"/>
                <w:color w:val="auto"/>
              </w:rPr>
            </w:pPr>
          </w:p>
        </w:tc>
        <w:tc>
          <w:tcPr>
            <w:tcW w:w="360" w:type="dxa"/>
            <w:vAlign w:val="bottom"/>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163,596</w:t>
            </w:r>
          </w:p>
        </w:tc>
        <w:tc>
          <w:tcPr>
            <w:tcW w:w="100" w:type="dxa"/>
            <w:vAlign w:val="bottom"/>
          </w:tcPr>
          <w:p>
            <w:pPr>
              <w:spacing w:after="0"/>
              <w:rPr>
                <w:sz w:val="13"/>
                <w:szCs w:val="13"/>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non-current restricted cash</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0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152,820</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163,266</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paid for interest</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14,207</w:t>
            </w:r>
          </w:p>
        </w:tc>
        <w:tc>
          <w:tcPr>
            <w:tcW w:w="26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15,014</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paid for taxes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9,973</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-3244215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-3244215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-2105660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-2105660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-1420495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-949960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-932815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-701675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March 31, 2024</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90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128,462,343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1,402,003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15,796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(1,213,891 )</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9,169,941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(163,197 )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(155 )</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(155 )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(675 )</w:t>
            </w:r>
          </w:p>
        </w:tc>
        <w:tc>
          <w:tcPr>
            <w:tcW w:w="14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(675 )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872,329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(2,706 )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(2,706 )</w:t>
            </w:r>
          </w:p>
        </w:tc>
        <w:tc>
          <w:tcPr>
            <w:tcW w:w="0" w:type="dxa"/>
            <w:vAlign w:val="bottom"/>
          </w:tcPr>
          <w:p>
            <w:pPr>
              <w:spacing w:after="0"/>
              <w:rPr>
                <w:sz w:val="1"/>
                <w:szCs w:val="1"/>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(1,138,681 )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1,138,681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(10,160 )</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(10,160 )</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128,227,127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1,404,217</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14,966</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(1,183,401 )</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10,308,622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(173,357 )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March 31, 2023</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90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127,840,813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1,385,933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30,128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(1,359,569 )</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(101,869 )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20,449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(7,160 )</w:t>
            </w:r>
          </w:p>
        </w:tc>
        <w:tc>
          <w:tcPr>
            <w:tcW w:w="14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(7,160 )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664,020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(5,037 )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(5,037 )</w:t>
            </w: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12,582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128,585,935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1,386,295</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23,043</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(1,339,120 )</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(88,143 )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-2262505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-2262505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-2262505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-2262505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-2262505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-2262505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-2262505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-113665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-113665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-113665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-113665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-113665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-113665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-113665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-113665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-1905</wp:posOffset>
            </wp:positionV>
            <wp:extent cx="5128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2889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the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-94615</wp:posOffset>
            </wp:positionV>
            <wp:extent cx="5128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28895"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Business – </w:t>
      </w:r>
      <w:r>
        <w:rPr>
          <w:rFonts w:ascii="Times New Roman" w:cs="Times New Roman" w:eastAsia="Times New Roman" w:hAnsi="Times New Roman"/>
          <w:sz w:val="18"/>
          <w:szCs w:val="18"/>
          <w:color w:val="auto"/>
        </w:rPr>
        <w:t>Gogo Inc. (“Gogo,” the “Company,” “we,” “us,” or “our”) is the world’s largest provider of broadband connectivity services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are currently developing our fourth ATG network – Gogo 5G – that we expect to commercially launch a few months later than the previously stated fourth quarter 2024 launch date, and we are working with our vendors to finalize the schedule. Simultaneous with the development of Gogo 5G, we are actively working with a subset of AVANCE customers and customers utilizing our legacy Gogo Biz ATG airborne system operating on our ground 3G and 4G networks to upgrade to an AVANCE system compatible with a new LTE network. We anticipate this subset of customers will see improved performance because of this network transition, which is expected to occur in early 2026. The cost for the transition to the new LTE network is partially being reimbursed through our participation in the Federal Communications Commission (“FCC”) Secure and Trusted Communications Networks Reimbursement Program (the “FCC Reimbursement Program”).</w:t>
      </w:r>
    </w:p>
    <w:p>
      <w:pPr>
        <w:spacing w:after="0" w:line="19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business aviation (“Gogo Galileo”). The service will use an electronically steered antenna, specifically designed to address a broad range of business aviation aircraft, operating on a low earth orbit (“LEO”) satellite network and is targeted for commercial launch in the fourth quarter of 2024. We believe that Gogo Galileo, in combination with, or as an alternative to, our ATG systems will allow us to increase our penetration of the North American heavy jet market and provide an upgrade path for our existing ATG customer base. In addition, we believe that Gogo Galileo will allow us to penetrate the business aviation market outside of North America, where only approximately 6% of business aviation aircraft are installed with in-flight connectivity systems.</w:t>
      </w:r>
    </w:p>
    <w:p>
      <w:pPr>
        <w:spacing w:after="0" w:line="7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and notes have been prepared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2023 as filed with the Securities and Exchange Commission (the “SEC”) on February 28, 2024 (the “2023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78"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results of operations and cash flows for the three-month period ended March 31, 2024 are not necessarily indicative of the results that may be expected for the fiscal year ending December 31, 2024.</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one class of common stock outstanding as of March 31, 2024 and December 31, 2023.</w:t>
      </w:r>
    </w:p>
    <w:p>
      <w:pPr>
        <w:spacing w:after="0" w:line="113"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As a result of our determination to participate in the FCC Reimbursement Program, we reassessed and shortened the estimated useful lives of affected network equipment to be consistent with our estimated date to complete the program. This change in accounting estimate was effective beginning the second quarter of 2023 and resulted in increased depreciation expense of $1.2 million for the three-month period ended March 31, 2024. Net income per basic share was unchanged, while net income per diluted share decreased by $0.01 for the three-month period ended March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21E1F"/>
        </w:rPr>
        <w:t>Recently Issued Accounting Pronouncements</w:t>
      </w:r>
    </w:p>
    <w:p>
      <w:pPr>
        <w:spacing w:after="0" w:line="121"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to improve reportable segment disclosure requirements, primarily through enhanced disclosures about significant segment expenses. This guidance is effective retrospectively for fiscal years beginning after December 15, 2023 and interim periods after December 15, 2024. Early adoption is permitted. We are currently evaluating the impact that this guidance will have upon our consolidated financial statements and related notes.</w:t>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to enhance the transparency and decision usefulness of income tax disclosures, most notably in the tax rate reconciliation and income taxes paid. This guidance is effective for annual periods beginning after December 15, 2024. Early adoption is permitted and the amendments should be applied on a prospective basis, with retrospective application permitted. We are currently evaluating the impact that this guidance will have upon our consolidated financial statements and related notes.</w:t>
      </w:r>
    </w:p>
    <w:p>
      <w:pPr>
        <w:spacing w:after="0" w:line="18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Basic and diluted earnings per share have been calculated using the weighted average number of common shares outstanding for the period. Diluted earnings per share was computed using the treasury stock method for stock-based compensation.</w:t>
      </w:r>
    </w:p>
    <w:p>
      <w:pPr>
        <w:spacing w:after="0" w:line="55"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diluted earnings per share calculations exclude the effect of stock options, deferred stock units and restricted stock units when the computation is anti-dilutive. For the three-month periods ended March 31, 2024 and 2023, the weighted average number of shares excluded from the computation was 2.8 million and 0.6 million, respectively.</w:t>
      </w:r>
    </w:p>
    <w:p>
      <w:pPr>
        <w:spacing w:after="0" w:line="69"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three-month periods ended March 31, 2024 and 2023 (</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45"/>
        </w:trPr>
        <w:tc>
          <w:tcPr>
            <w:tcW w:w="6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129,272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129,136</w:t>
            </w:r>
          </w:p>
        </w:tc>
        <w:tc>
          <w:tcPr>
            <w:tcW w:w="100" w:type="dxa"/>
            <w:vAlign w:val="bottom"/>
          </w:tcPr>
          <w:p>
            <w:pPr>
              <w:spacing w:after="0"/>
              <w:rPr>
                <w:sz w:val="20"/>
                <w:szCs w:val="20"/>
                <w:color w:val="auto"/>
              </w:rPr>
            </w:pPr>
          </w:p>
        </w:tc>
      </w:tr>
      <w:tr>
        <w:trPr>
          <w:trHeight w:val="278"/>
        </w:trPr>
        <w:tc>
          <w:tcPr>
            <w:tcW w:w="6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4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w:t>
            </w: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129,272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stock-based compensation</w:t>
            </w:r>
          </w:p>
        </w:tc>
        <w:tc>
          <w:tcPr>
            <w:tcW w:w="2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weighted average diluted shares outstanding</w:t>
            </w:r>
          </w:p>
        </w:tc>
        <w:tc>
          <w:tcPr>
            <w:tcW w:w="24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132,441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133,602</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4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-1095375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-1095375</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8460" w:firstLine="8"/>
        <w:spacing w:after="0" w:line="399" w:lineRule="auto"/>
        <w:tabs>
          <w:tab w:leader="none" w:pos="51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Remaining performance obligations</w:t>
      </w:r>
    </w:p>
    <w:p>
      <w:pPr>
        <w:spacing w:after="0" w:line="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2024, the aggregate amount of the transaction price in our contracts allocated to the remaining unsatisfied performance obligations (“RPO”) was approximately $292 million and excludes consideration from contracts that have an original duration of one year or less. Approximately $276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20% of our connectivity and entertainment service RPO within the next year, approximately 45% in one to five years and the remaining 35% in five to ten years. The remaining $16 million of the RPO represents future equipment revenue that is expected to be recognized primarily within the next three years as equipment is shipped.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7"/>
        </w:trPr>
        <w:tc>
          <w:tcPr>
            <w:tcW w:w="694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Connectivity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80,358</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77,246</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Entertainment and other</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ATG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Narrowband satellite</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20"/>
                <w:szCs w:val="20"/>
                <w:color w:val="auto"/>
              </w:rPr>
            </w:pPr>
          </w:p>
        </w:tc>
      </w:tr>
      <w:tr>
        <w:trPr>
          <w:trHeight w:val="278"/>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00" w:type="dxa"/>
            <w:vAlign w:val="bottom"/>
            <w:shd w:val="clear" w:color="auto" w:fill="CFF0FC"/>
          </w:tcPr>
          <w:p>
            <w:pPr>
              <w:spacing w:after="0"/>
              <w:rPr>
                <w:sz w:val="24"/>
                <w:szCs w:val="24"/>
                <w:color w:val="auto"/>
              </w:rPr>
            </w:pPr>
          </w:p>
        </w:tc>
      </w:tr>
      <w:tr>
        <w:trPr>
          <w:trHeight w:val="223"/>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owner/operator/service provider</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OEM and aftermarket dealer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00" w:type="dxa"/>
            <w:vAlign w:val="bottom"/>
          </w:tcPr>
          <w:p>
            <w:pPr>
              <w:spacing w:after="0"/>
              <w:rPr>
                <w:sz w:val="20"/>
                <w:szCs w:val="20"/>
                <w:color w:val="auto"/>
              </w:rPr>
            </w:pPr>
          </w:p>
        </w:tc>
      </w:tr>
      <w:tr>
        <w:trPr>
          <w:trHeight w:val="278"/>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104,322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-1643380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-1643380</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-675640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-658495</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-675640</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-658495</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$16.5 million and $16.6 million as of March 31, 2024 and December 31, 2023, respectively. Contract assets represent the aggregate amount of revenue recognized in excess of billings and recoverable contract costs primarily for certain sales programs.</w:t>
      </w:r>
    </w:p>
    <w:p>
      <w:pPr>
        <w:spacing w:after="0" w:line="69"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$2.2 million and $1.0 million as of March 31, 2024 and December 31, 2023, respectively. Deferred revenue includes, among other things, prepayments for equipment and subscription connectivity products.</w:t>
      </w:r>
    </w:p>
    <w:p>
      <w:pPr>
        <w:spacing w:after="0" w:line="15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Assistance</w:t>
      </w:r>
    </w:p>
    <w:p>
      <w:pPr>
        <w:spacing w:after="0" w:line="116"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FCC Reimbursement Program</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$132 million of the approved amount is currently allocated to the Company under the program. If Congress appropriates additional funds for this purpose, the allocations of the Company and other approved applicants will be increased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Program participants are subject to a number of conditions and requirements under the FCC’s rules including a requirement that they submit their first reimbursement request by July 17, 2023 and certify that they have developed a plan to permanently remove, replace and dispose of covered equipment or services within one year following the first reimbursement request. The rules permit</w:t>
      </w:r>
    </w:p>
    <w:p>
      <w:pPr>
        <w:sectPr>
          <w:pgSz w:w="11900" w:h="16838" w:orient="portrait"/>
          <w:cols w:equalWidth="0" w:num="1">
            <w:col w:w="11220"/>
          </w:cols>
          <w:pgMar w:left="320" w:top="764" w:right="35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participants to petition the FCC for one or more six-month extensions of the completion deadline. The Company, with the assistance of an advisor engaged to help administer the program, submitted and received its first reimbursement claim in July 2023. The Company’s original one year term to complete the program is set for July 21, 2024, however, based on discussions with our vendors supporting the program regarding lead times for network equipment, we plan to petition the FCC for multiple extensions, as outlined in our application for the FCC Reimbursement Program. On March 29, 2024 the Company was granted its first six-month extension by the FCC extending the program completion deadline to January 21, 2025.</w:t>
      </w:r>
    </w:p>
    <w:p>
      <w:pPr>
        <w:spacing w:after="0" w:line="74"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and December 31, 2023, we have recorded a $15.2 million and $18.3 million receivable from the FCC, respectively, which is included in Prepaid expenses and other current assets in our Unaudited Condensed Consolidated Balance Sheets.</w:t>
      </w:r>
    </w:p>
    <w:p>
      <w:pPr>
        <w:spacing w:after="0" w:line="55"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are the deductions to the carrying value of asset balances in our Unaudited Condensed Consolidated Balance Sheets as of March 31, 2024 and December 31, 2023 </w:t>
      </w:r>
      <w:r>
        <w:rPr>
          <w:rFonts w:ascii="Times New Roman" w:cs="Times New Roman" w:eastAsia="Times New Roman" w:hAnsi="Times New Roman"/>
          <w:sz w:val="18"/>
          <w:szCs w:val="18"/>
          <w:i w:val="1"/>
          <w:iCs w:val="1"/>
          <w:color w:val="auto"/>
        </w:rPr>
        <w:t>(in thousands):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5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0"/>
        </w:trPr>
        <w:tc>
          <w:tcPr>
            <w:tcW w:w="50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8"/>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(6,240 )   $</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(4,970 )</w:t>
            </w:r>
          </w:p>
        </w:tc>
      </w:tr>
      <w:tr>
        <w:trPr>
          <w:trHeight w:val="247"/>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Prepaids expenses and other current assets</w:t>
            </w:r>
          </w:p>
        </w:tc>
        <w:tc>
          <w:tcPr>
            <w:tcW w:w="1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(2,042 )</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(1,542 )</w:t>
            </w:r>
          </w:p>
        </w:tc>
      </w:tr>
      <w:tr>
        <w:trPr>
          <w:trHeight w:val="238"/>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(3,690 )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(2,094 )</w:t>
            </w:r>
          </w:p>
        </w:tc>
      </w:tr>
      <w:tr>
        <w:trPr>
          <w:trHeight w:val="247"/>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(651 )</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5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22"/>
                <w:szCs w:val="22"/>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(7,105 )</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(5,542 )</w:t>
            </w:r>
          </w:p>
        </w:tc>
      </w:tr>
    </w:tbl>
    <w:p>
      <w:pPr>
        <w:spacing w:after="0" w:line="103"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 xml:space="preserve">No amounts were recorded to Net income during the three-month period ended March 31, 2023. The following are the increases to Net income in our Unaudited Condensed Consolidated Statements of Operations for the three-month period ended March 31,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45"/>
        </w:trPr>
        <w:tc>
          <w:tcPr>
            <w:tcW w:w="6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40"/>
        </w:trPr>
        <w:tc>
          <w:tcPr>
            <w:tcW w:w="6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14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r>
      <w:tr>
        <w:trPr>
          <w:trHeight w:val="238"/>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20"/>
                <w:szCs w:val="20"/>
                <w:color w:val="auto"/>
              </w:rPr>
            </w:pP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FF0FC"/>
          </w:tcPr>
          <w:p>
            <w:pPr>
              <w:spacing w:after="0"/>
              <w:rPr>
                <w:sz w:val="21"/>
                <w:szCs w:val="21"/>
                <w:color w:val="auto"/>
              </w:rPr>
            </w:pPr>
          </w:p>
        </w:tc>
        <w:tc>
          <w:tcPr>
            <w:tcW w:w="2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r>
      <w:tr>
        <w:trPr>
          <w:trHeight w:val="247"/>
        </w:trPr>
        <w:tc>
          <w:tcPr>
            <w:tcW w:w="6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2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shd w:val="clear" w:color="auto" w:fill="CFF0FC"/>
          </w:tcPr>
          <w:p>
            <w:pPr>
              <w:spacing w:after="0"/>
              <w:rPr>
                <w:sz w:val="21"/>
                <w:szCs w:val="21"/>
                <w:color w:val="auto"/>
              </w:rPr>
            </w:pPr>
          </w:p>
        </w:tc>
      </w:tr>
      <w:tr>
        <w:trPr>
          <w:trHeight w:val="234"/>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Balance Sheet Accounts</w:t>
      </w:r>
    </w:p>
    <w:p>
      <w:pPr>
        <w:spacing w:after="0" w:line="121"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as of March 31,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34,692</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80" w:type="dxa"/>
            <w:vAlign w:val="bottom"/>
          </w:tcPr>
          <w:p>
            <w:pPr>
              <w:spacing w:after="0"/>
              <w:rPr>
                <w:sz w:val="20"/>
                <w:szCs w:val="20"/>
                <w:color w:val="auto"/>
              </w:rPr>
            </w:pPr>
          </w:p>
        </w:tc>
      </w:tr>
      <w:tr>
        <w:trPr>
          <w:trHeight w:val="260"/>
        </w:trPr>
        <w:tc>
          <w:tcPr>
            <w:tcW w:w="6180" w:type="dxa"/>
            <w:vAlign w:val="bottom"/>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Total inventory</w:t>
            </w:r>
            <w:r>
              <w:rPr>
                <w:rFonts w:ascii="Times New Roman" w:cs="Times New Roman" w:eastAsia="Times New Roman" w:hAnsi="Times New Roman"/>
                <w:sz w:val="24"/>
                <w:szCs w:val="24"/>
                <w:i w:val="1"/>
                <w:iCs w:val="1"/>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69,298</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w:t>
            </w:r>
          </w:p>
        </w:tc>
        <w:tc>
          <w:tcPr>
            <w:tcW w:w="80" w:type="dxa"/>
            <w:vAlign w:val="bottom"/>
            <w:shd w:val="clear" w:color="auto" w:fill="CFF0FC"/>
          </w:tcPr>
          <w:p>
            <w:pPr>
              <w:spacing w:after="0"/>
              <w:rPr>
                <w:sz w:val="22"/>
                <w:szCs w:val="22"/>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1" w:name="page12"/>
    <w:bookmarkEnd w:id="1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as of March 31,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 and receivable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FCC reimbursement receivable</w:t>
            </w:r>
            <w:r>
              <w:rPr>
                <w:rFonts w:ascii="Times New Roman" w:cs="Times New Roman" w:eastAsia="Times New Roman" w:hAnsi="Times New Roman"/>
                <w:sz w:val="24"/>
                <w:szCs w:val="24"/>
                <w:i w:val="1"/>
                <w:iCs w:val="1"/>
                <w:color w:val="auto"/>
                <w:vertAlign w:val="superscript"/>
              </w:rPr>
              <w:t>(1)</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4"/>
                <w:szCs w:val="24"/>
                <w:i w:val="1"/>
                <w:iCs w:val="1"/>
                <w:color w:val="auto"/>
                <w:vertAlign w:val="superscript"/>
              </w:rPr>
              <w:t>(1)</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inventories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63,782</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as of March 31,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Network equipment</w:t>
            </w:r>
            <w:r>
              <w:rPr>
                <w:rFonts w:ascii="Times New Roman" w:cs="Times New Roman" w:eastAsia="Times New Roman" w:hAnsi="Times New Roman"/>
                <w:sz w:val="24"/>
                <w:szCs w:val="24"/>
                <w:i w:val="1"/>
                <w:iCs w:val="1"/>
                <w:color w:val="auto"/>
                <w:vertAlign w:val="superscript"/>
              </w:rPr>
              <w:t>(1)</w:t>
            </w: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184,705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219,461</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(124,638 )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(121,332 )</w:t>
            </w:r>
          </w:p>
        </w:tc>
      </w:tr>
      <w:tr>
        <w:trPr>
          <w:trHeight w:val="236"/>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96,042</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98,129</w:t>
            </w:r>
          </w:p>
        </w:tc>
        <w:tc>
          <w:tcPr>
            <w:tcW w:w="80" w:type="dxa"/>
            <w:vAlign w:val="bottom"/>
            <w:tcBorders>
              <w:top w:val="single" w:sz="8" w:color="CFF0FC"/>
            </w:tcBorders>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-504825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as of March 31,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Contract assets, net of allowances of $614 and $591, respectively</w:t>
            </w:r>
            <w:r>
              <w:rPr>
                <w:rFonts w:ascii="Times New Roman" w:cs="Times New Roman" w:eastAsia="Times New Roman" w:hAnsi="Times New Roman"/>
                <w:sz w:val="24"/>
                <w:szCs w:val="24"/>
                <w:i w:val="1"/>
                <w:iCs w:val="1"/>
                <w:color w:val="auto"/>
                <w:vertAlign w:val="superscript"/>
              </w:rPr>
              <w:t>(1)</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80" w:type="dxa"/>
            <w:vAlign w:val="bottom"/>
          </w:tcPr>
          <w:p>
            <w:pPr>
              <w:spacing w:after="0"/>
              <w:rPr>
                <w:sz w:val="20"/>
                <w:szCs w:val="20"/>
                <w:color w:val="auto"/>
              </w:rPr>
            </w:pPr>
          </w:p>
        </w:tc>
      </w:tr>
      <w:tr>
        <w:trPr>
          <w:trHeight w:val="25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80" w:type="dxa"/>
            <w:vAlign w:val="bottom"/>
            <w:shd w:val="clear" w:color="auto" w:fill="CFF0FC"/>
          </w:tcPr>
          <w:p>
            <w:pPr>
              <w:spacing w:after="0"/>
              <w:rPr>
                <w:sz w:val="22"/>
                <w:szCs w:val="22"/>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as of March 31,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credit reserve</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Gogo Galileo development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Expenditures for research and development are charged to expense as incurred and totaled $9.2 million and $7.9 million, respectively, during the three-month periods ended March 31, 2024 and 2023. Research and development costs are reported as Engineering, design and development expenses in our Unaudited Condensed Consolidated Statements of Operations.</w:t>
      </w:r>
    </w:p>
    <w:p>
      <w:pPr>
        <w:sectPr>
          <w:pgSz w:w="11900" w:h="16838" w:orient="portrait"/>
          <w:cols w:equalWidth="0" w:num="1">
            <w:col w:w="11000"/>
          </w:cols>
          <w:pgMar w:left="320" w:top="764" w:right="579" w:bottom="1440" w:gutter="0" w:footer="0" w:header="0"/>
        </w:sectPr>
      </w:pPr>
    </w:p>
    <w:p>
      <w:pPr>
        <w:spacing w:after="0" w:line="1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64" w:right="57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2023 indicated no impairment. We also reevaluate the useful life of indefinite-lived intangible assets each reporting period to determine whether events and circumstances continue to support an indefinite useful life.</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both March 31, 2024 and December 31, 2023, our goodwill balance was $0.6 million.</w:t>
      </w:r>
    </w:p>
    <w:p>
      <w:pPr>
        <w:spacing w:after="0" w:line="11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intangible assets, other than goodwill, as of March 31, 2024 and December 31, 2023 were as follows (</w:t>
      </w:r>
      <w:r>
        <w:rPr>
          <w:rFonts w:ascii="Times New Roman" w:cs="Times New Roman" w:eastAsia="Times New Roman" w:hAnsi="Times New Roman"/>
          <w:sz w:val="18"/>
          <w:szCs w:val="18"/>
          <w:i w:val="1"/>
          <w:iCs w:val="1"/>
          <w:color w:val="auto"/>
        </w:rPr>
        <w:t>in thousands, except for weighted average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remaining useful life</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00" w:type="dxa"/>
            <w:vAlign w:val="bottom"/>
          </w:tcPr>
          <w:p>
            <w:pPr>
              <w:spacing w:after="0"/>
              <w:rPr>
                <w:sz w:val="20"/>
                <w:szCs w:val="20"/>
                <w:color w:val="auto"/>
              </w:rPr>
            </w:pPr>
          </w:p>
        </w:tc>
        <w:tc>
          <w:tcPr>
            <w:tcW w:w="3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05"/>
        </w:trPr>
        <w:tc>
          <w:tcPr>
            <w:tcW w:w="3720" w:type="dxa"/>
            <w:vAlign w:val="bottom"/>
          </w:tcPr>
          <w:p>
            <w:pPr>
              <w:spacing w:after="0"/>
              <w:rPr>
                <w:sz w:val="17"/>
                <w:szCs w:val="17"/>
                <w:color w:val="auto"/>
              </w:rPr>
            </w:pPr>
          </w:p>
        </w:tc>
        <w:tc>
          <w:tcPr>
            <w:tcW w:w="1280" w:type="dxa"/>
            <w:vAlign w:val="bottom"/>
            <w:gridSpan w:val="2"/>
          </w:tcPr>
          <w:p>
            <w:pPr>
              <w:jc w:val="center"/>
              <w:ind w:right="120"/>
              <w:spacing w:after="0" w:line="20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7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7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45"/>
        </w:trPr>
        <w:tc>
          <w:tcPr>
            <w:tcW w:w="372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4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1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r>
      <w:tr>
        <w:trPr>
          <w:trHeight w:val="23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$22,245</w:t>
            </w:r>
          </w:p>
        </w:tc>
      </w:tr>
      <w:tr>
        <w:trPr>
          <w:trHeight w:val="247"/>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83,459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22,744</w:t>
            </w:r>
          </w:p>
        </w:tc>
      </w:tr>
      <w:tr>
        <w:trPr>
          <w:trHeight w:val="247"/>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FCC Licenses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r>
      <w:tr>
        <w:trPr>
          <w:trHeight w:val="278"/>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$118,152</w:t>
            </w:r>
          </w:p>
        </w:tc>
        <w:tc>
          <w:tcPr>
            <w:tcW w:w="1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$(60,902)</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$57,250</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$115,742</w:t>
            </w: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-658495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-658495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-658495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-658495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-658495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$0.2 million and $0.6 million, respectively, for the three-month periods ended March 31, 2024 and 2023.</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the remainder of 2024, each of the next four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5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3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(period from April 1 to December 31)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r>
    </w:tbl>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a result of future investments and other factors.</w:t>
      </w:r>
    </w:p>
    <w:p>
      <w:pPr>
        <w:spacing w:after="0" w:line="22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Other Liabilities</w:t>
      </w:r>
    </w:p>
    <w:p>
      <w:pPr>
        <w:spacing w:after="0" w:line="11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as of March 31, 2024 and December 31, 2023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0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603,085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604,797</w:t>
            </w:r>
          </w:p>
        </w:tc>
        <w:tc>
          <w:tcPr>
            <w:tcW w:w="80" w:type="dxa"/>
            <w:vAlign w:val="bottom"/>
            <w:shd w:val="clear" w:color="auto" w:fill="CFF0FC"/>
          </w:tcPr>
          <w:p>
            <w:pPr>
              <w:spacing w:after="0"/>
              <w:rPr>
                <w:sz w:val="21"/>
                <w:szCs w:val="21"/>
                <w:color w:val="auto"/>
              </w:rPr>
            </w:pPr>
          </w:p>
        </w:tc>
      </w:tr>
      <w:tr>
        <w:trPr>
          <w:trHeight w:val="238"/>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(9,561 )</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(10,046 )</w:t>
            </w:r>
          </w:p>
        </w:tc>
      </w:tr>
      <w:tr>
        <w:trPr>
          <w:trHeight w:val="243"/>
        </w:trPr>
        <w:tc>
          <w:tcPr>
            <w:tcW w:w="6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(7,250 )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(7,250 )</w:t>
            </w:r>
          </w:p>
        </w:tc>
      </w:tr>
      <w:tr>
        <w:trPr>
          <w:trHeight w:val="236"/>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586,274</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587,501</w:t>
            </w:r>
          </w:p>
        </w:tc>
        <w:tc>
          <w:tcPr>
            <w:tcW w:w="80" w:type="dxa"/>
            <w:vAlign w:val="bottom"/>
            <w:tcBorders>
              <w:top w:val="single" w:sz="8" w:color="CFF0FC"/>
            </w:tcBorders>
          </w:tcPr>
          <w:p>
            <w:pPr>
              <w:spacing w:after="0"/>
              <w:rPr>
                <w:sz w:val="20"/>
                <w:szCs w:val="20"/>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-187960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“Original 2021 Credit Agreement,” and, as it may be amended, supplemented or otherwise modified from time</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to time,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w:t>
      </w:r>
    </w:p>
    <w:p>
      <w:pPr>
        <w:spacing w:after="0" w:line="7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69"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p>
    <w:p>
      <w:pPr>
        <w:spacing w:after="0" w:line="7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March 31, 2024, the fee for unused commitments under the Revolving Facility was 0.25% and the applicable margin was 3.25%.</w:t>
      </w:r>
    </w:p>
    <w:p>
      <w:pPr>
        <w:spacing w:after="0" w:line="79"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w:t>
      </w:r>
    </w:p>
    <w:p>
      <w:pPr>
        <w:spacing w:after="0" w:line="117" w:lineRule="exact"/>
        <w:rPr>
          <w:sz w:val="20"/>
          <w:szCs w:val="20"/>
          <w:color w:val="auto"/>
        </w:rPr>
      </w:pPr>
    </w:p>
    <w:p>
      <w:pPr>
        <w:ind w:left="1020" w:right="3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subject to reduction to 25% and 0% if specified senior secured first lien net leverage ratio targets are met.</w:t>
      </w:r>
    </w:p>
    <w:p>
      <w:pPr>
        <w:spacing w:after="0" w:line="5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78"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9"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The Revolving Facility is available for working capital and general corporate purposes of GIH and its subsidiaries and was undrawn as of March 31, 2024 and December 31, 2023.</w:t>
      </w:r>
    </w:p>
    <w:p>
      <w:pPr>
        <w:spacing w:after="0" w:line="55"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and December 31, 2023, the outstanding principal amount of the Term Loan Facility was $605.1 million and $606.9 million, respectively, the unaccreted debt discount was $2.0 million and $2.1 million, respectively, and the net carrying amount was $603.1 million and $604.8 million, respectively.</w:t>
      </w:r>
    </w:p>
    <w:p>
      <w:pPr>
        <w:spacing w:after="0" w:line="69"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We paid approximately $19.7 million of loan origination and financing costs related to the Facilities which are being accounted for as deferred financing costs on our Unaudited Condensed Consolidated Balance Sheets and are amortized over the terms of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Facilities. Total amortization expense was $0.6 million for both the three-month periods ended March 31, 2024 and 2023 and is included in interest expense in our Unaudited Condensed Consolidated Statements of Operations. As of March 31, 2024 and December 31, 2023, the balance of unamortized deferred financing costs related to the Facilities was $10.5 million and $11.1 million, respectively.</w:t>
      </w:r>
    </w:p>
    <w:p>
      <w:pPr>
        <w:spacing w:after="0" w:line="6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8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jc w:val="both"/>
        <w:ind w:right="400" w:firstLine="509"/>
        <w:spacing w:after="0" w:line="265"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6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 Committee of 0.26% increases beyond the applicable strike rate. The notional amounts of the interest rate caps periodically decrease over the life of the caps.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180" w:type="dxa"/>
            <w:vAlign w:val="bottom"/>
          </w:tcPr>
          <w:p>
            <w:pPr>
              <w:spacing w:after="0"/>
              <w:rPr>
                <w:sz w:val="21"/>
                <w:szCs w:val="21"/>
                <w:color w:val="auto"/>
              </w:rPr>
            </w:pPr>
          </w:p>
        </w:tc>
        <w:tc>
          <w:tcPr>
            <w:tcW w:w="1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End Date</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0" w:type="dxa"/>
            <w:vAlign w:val="bottom"/>
          </w:tcPr>
          <w:p>
            <w:pPr>
              <w:spacing w:after="0"/>
              <w:rPr>
                <w:sz w:val="21"/>
                <w:szCs w:val="21"/>
                <w:color w:val="auto"/>
              </w:rPr>
            </w:pP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Strike Rate</w:t>
            </w:r>
          </w:p>
        </w:tc>
        <w:tc>
          <w:tcPr>
            <w:tcW w:w="160" w:type="dxa"/>
            <w:vAlign w:val="bottom"/>
          </w:tcPr>
          <w:p>
            <w:pPr>
              <w:spacing w:after="0"/>
              <w:rPr>
                <w:sz w:val="21"/>
                <w:szCs w:val="2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7/31/2021</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7/31/2024</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-761365</wp:posOffset>
            </wp:positionV>
            <wp:extent cx="427291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-453390</wp:posOffset>
            </wp:positionV>
            <wp:extent cx="427291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-144780</wp:posOffset>
            </wp:positionV>
            <wp:extent cx="427291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72915" cy="154305"/>
                    </a:xfrm>
                    <a:prstGeom prst="rect">
                      <a:avLst/>
                    </a:prstGeom>
                    <a:noFill/>
                  </pic:spPr>
                </pic:pic>
              </a:graphicData>
            </a:graphic>
          </wp:anchor>
        </w:drawing>
      </w:r>
    </w:p>
    <w:p>
      <w:pPr>
        <w:spacing w:after="0" w:line="19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No gains or losses of our cash flow hedges were considered to be ineffective and reclassified from other comprehensive income (loss) to earnings for the three-month periods ended March 31, 2024 and 2023. We estimate that approximately $2.6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spacing w:after="0" w:line="81" w:lineRule="exact"/>
        <w:rPr>
          <w:sz w:val="20"/>
          <w:szCs w:val="20"/>
          <w:color w:val="auto"/>
        </w:rPr>
      </w:pPr>
    </w:p>
    <w:p>
      <w:pPr>
        <w:jc w:val="both"/>
        <w:ind w:right="240" w:firstLine="509"/>
        <w:spacing w:after="0" w:line="288" w:lineRule="auto"/>
        <w:rPr>
          <w:sz w:val="20"/>
          <w:szCs w:val="20"/>
          <w:color w:val="auto"/>
        </w:rPr>
      </w:pPr>
      <w:r>
        <w:rPr>
          <w:rFonts w:ascii="Times New Roman" w:cs="Times New Roman" w:eastAsia="Times New Roman" w:hAnsi="Times New Roman"/>
          <w:sz w:val="17"/>
          <w:szCs w:val="17"/>
          <w:color w:val="auto"/>
        </w:rPr>
        <w:t>For the three-month period ended March 31, 2024, we recorded a decrease in fair value on the interest rate caps of $1.5 million, net of tax of $0.2 million, and for the three-month period ended March 31, 2023, we recorded a decrease in fair value on the interest rate caps of $7.3 million, net of tax of $2.3 million. Increases and decreases in fair value on interest rate caps above exclude amortization of the purchase price paid for the interest rate caps.</w:t>
      </w:r>
    </w:p>
    <w:p>
      <w:pPr>
        <w:spacing w:after="0" w:line="5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Unaudited Condensed Consolidated Balance Sheets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0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shd w:val="clear" w:color="auto" w:fill="CFF0FC"/>
          </w:tcPr>
          <w:p>
            <w:pPr>
              <w:spacing w:after="0"/>
              <w:rPr>
                <w:sz w:val="21"/>
                <w:szCs w:val="2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Pr>
          <w:p>
            <w:pPr>
              <w:spacing w:after="0"/>
              <w:rPr>
                <w:sz w:val="20"/>
                <w:szCs w:val="20"/>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17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Costs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three-month periods ended March 31, 2024 and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2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90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132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3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the purchase price of interest rate caps</w:t>
            </w:r>
          </w:p>
        </w:tc>
        <w:tc>
          <w:tcPr>
            <w:tcW w:w="1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cap benefit</w:t>
            </w:r>
          </w:p>
        </w:tc>
        <w:tc>
          <w:tcPr>
            <w:tcW w:w="13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(6,405 )</w:t>
            </w:r>
          </w:p>
        </w:tc>
        <w:tc>
          <w:tcPr>
            <w:tcW w:w="44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(6,393 )</w:t>
            </w:r>
          </w:p>
        </w:tc>
      </w:tr>
      <w:tr>
        <w:trPr>
          <w:trHeight w:val="243"/>
        </w:trPr>
        <w:tc>
          <w:tcPr>
            <w:tcW w:w="6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1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1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1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r>
      <w:tr>
        <w:trPr>
          <w:trHeight w:val="276"/>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costs</w:t>
            </w:r>
          </w:p>
        </w:tc>
        <w:tc>
          <w:tcPr>
            <w:tcW w:w="1320" w:type="dxa"/>
            <w:vAlign w:val="bottom"/>
            <w:tcBorders>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3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-658495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114"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64" w:lineRule="exact"/>
        <w:rPr>
          <w:rFonts w:ascii="Times New Roman" w:cs="Times New Roman" w:eastAsia="Times New Roman" w:hAnsi="Times New Roman"/>
          <w:sz w:val="18"/>
          <w:szCs w:val="18"/>
          <w:color w:val="auto"/>
        </w:rPr>
      </w:pPr>
    </w:p>
    <w:p>
      <w:pPr>
        <w:ind w:left="500" w:right="60" w:firstLine="17"/>
        <w:spacing w:after="0" w:line="375" w:lineRule="auto"/>
        <w:tabs>
          <w:tab w:leader="none" w:pos="102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defined as unobservable inputs in which little or no market data exists, therefore requiring an entity to develop its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Note 9, “Derivative Instruments and Hedging Activities,” for fair value information relating to our interest rate caps.</w:t>
      </w:r>
    </w:p>
    <w:p>
      <w:pPr>
        <w:ind w:left="520"/>
        <w:spacing w:after="0"/>
        <w:rPr>
          <w:sz w:val="20"/>
          <w:szCs w:val="20"/>
          <w:color w:val="auto"/>
        </w:rPr>
      </w:pPr>
      <w:r>
        <w:rPr>
          <w:rFonts w:ascii="Times New Roman" w:cs="Times New Roman" w:eastAsia="Times New Roman" w:hAnsi="Times New Roman"/>
          <w:sz w:val="18"/>
          <w:szCs w:val="18"/>
          <w:i w:val="1"/>
          <w:iCs w:val="1"/>
          <w:color w:val="auto"/>
        </w:rPr>
        <w:t>Investment in Convertible Note: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February 26, 2024, Gogo invested $5 million in a convertible note offering (“Investment in Convertible Note”). The Investment in Convertible Note accrues interest at 5% per annum, payable upon maturity of the note or upon conversion, and matures two years after the date of issuance. We have elected to measure our Investment in Convertible Note using the fair value option and record changes in fair value, including accrued interest, in Other (income) expense, net on the Unaudited Condensed Consolidated Statements of Operations. The Company elected the fair value option for the Investment in Convertible Note to eliminate complexities of applying certain accounting models.</w:t>
      </w:r>
    </w:p>
    <w:p>
      <w:pPr>
        <w:spacing w:after="0" w:line="74"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fair value of the Investment in Convertible Note is measured using Level 3 (unobservable) inputs. The Company, with the assistance of a third-party valuation specialist, determined the fair value using a binomial lattice model. The significant assumptions used in the model include the yield, equity volatility, outstanding principal, remaining term, stated interest rate, risk-free interest rate</w:t>
      </w:r>
    </w:p>
    <w:p>
      <w:pPr>
        <w:sectPr>
          <w:pgSz w:w="11900" w:h="16838" w:orient="portrait"/>
          <w:cols w:equalWidth="0" w:num="1">
            <w:col w:w="11240"/>
          </w:cols>
          <w:pgMar w:left="320" w:top="764"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and the current publicly available stock price. The yield is estimated using similar security yields for companies with similar credit ratings. Equity volatility is estimated based on observed equity volatility for similar companies. The outstanding principal, remaining term and stated interest rate are all determined based on contractually defined terms and the risk-free interest rate is determined by reference to the U.S. Treasury yield curve in effect at the time of measurement for time periods approximately equal to the remaining time to maturity. Subsequent to March 31, 2024, the Company observed a significant decrease in the publicly available stock price of the issuer. Should the decrease be sustained, the fair value of the Investment in Convertible Note could be materially and negatively impacted.</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reconciliation of beginning and ending balances of the Investment in Convertible Note as of March 31,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87"/>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69"/>
        </w:trPr>
        <w:tc>
          <w:tcPr>
            <w:tcW w:w="60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4"/>
                <w:szCs w:val="14"/>
                <w:color w:val="auto"/>
              </w:rPr>
            </w:pPr>
          </w:p>
        </w:tc>
      </w:tr>
      <w:tr>
        <w:trPr>
          <w:trHeight w:val="23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2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r>
      <w:tr>
        <w:trPr>
          <w:trHeight w:val="243"/>
        </w:trPr>
        <w:tc>
          <w:tcPr>
            <w:tcW w:w="6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tcBorders>
              <w:bottom w:val="single" w:sz="8" w:color="auto"/>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80" w:type="dxa"/>
            <w:vAlign w:val="bottom"/>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6195695</wp:posOffset>
            </wp:positionH>
            <wp:positionV relativeFrom="paragraph">
              <wp:posOffset>-187960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2024 and December 31, 2023, our only financial asset and liability disclosed but not measured at fair value is the Term Loan Facility, which is reflected on the Unaudited Condensed Consolidated Balance Sheets at cost. The fair value measurement is classified as Level 2 within the fair value hierarchy since it is based on quoted market prices of our instrument in markets that are not active. We estimated the fair value of the Term Loan Facility by calculating the upfront cash payment a market participant would require to assume this obligation. The upfront cash payment used in the calculation of fair value on our March 31, 2024 Unaudited Condensed Consolidated Balance Sheets, excluding any issuance costs, is the amount that a market participant would be willing to lend at such date to an entity with a credit rating similar to ours and that would allow such an entity to achieve sufficient cash inflows to cover the scheduled cash outflows under the Term Loan Facility.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March 31,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8"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Pr>
          <w:p>
            <w:pPr>
              <w:spacing w:after="0"/>
              <w:rPr>
                <w:sz w:val="20"/>
                <w:szCs w:val="20"/>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2"/>
              </w:rPr>
              <w:t xml:space="preserve">Fair Value </w:t>
            </w:r>
            <w:r>
              <w:rPr>
                <w:rFonts w:ascii="Times New Roman" w:cs="Times New Roman" w:eastAsia="Times New Roman" w:hAnsi="Times New Roman"/>
                <w:sz w:val="24"/>
                <w:szCs w:val="24"/>
                <w:b w:val="1"/>
                <w:bCs w:val="1"/>
                <w:i w:val="1"/>
                <w:iCs w:val="1"/>
                <w:color w:val="auto"/>
                <w:w w:val="92"/>
                <w:vertAlign w:val="superscript"/>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1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4"/>
                <w:szCs w:val="24"/>
                <w:b w:val="1"/>
                <w:bCs w:val="1"/>
                <w:i w:val="1"/>
                <w:iCs w:val="1"/>
                <w:color w:val="auto"/>
                <w:vertAlign w:val="superscript"/>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40" w:type="dxa"/>
            <w:vAlign w:val="bottom"/>
          </w:tcPr>
          <w:p>
            <w:pPr>
              <w:spacing w:after="0"/>
              <w:rPr>
                <w:sz w:val="21"/>
                <w:szCs w:val="21"/>
                <w:color w:val="auto"/>
              </w:rPr>
            </w:pPr>
          </w:p>
        </w:tc>
        <w:tc>
          <w:tcPr>
            <w:tcW w:w="1180" w:type="dxa"/>
            <w:vAlign w:val="bottom"/>
            <w:tcBorders>
              <w:bottom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line="236" w:lineRule="exact"/>
              <w:rPr>
                <w:sz w:val="20"/>
                <w:szCs w:val="20"/>
                <w:color w:val="auto"/>
              </w:rPr>
            </w:pPr>
            <w:r>
              <w:rPr>
                <w:rFonts w:ascii="Times New Roman" w:cs="Times New Roman" w:eastAsia="Times New Roman" w:hAnsi="Times New Roman"/>
                <w:sz w:val="18"/>
                <w:szCs w:val="18"/>
                <w:color w:val="auto"/>
              </w:rPr>
              <w:t xml:space="preserve">603,085 </w:t>
            </w:r>
            <w:r>
              <w:rPr>
                <w:rFonts w:ascii="Times New Roman" w:cs="Times New Roman" w:eastAsia="Times New Roman" w:hAnsi="Times New Roman"/>
                <w:sz w:val="24"/>
                <w:szCs w:val="24"/>
                <w:i w:val="1"/>
                <w:iCs w:val="1"/>
                <w:color w:val="auto"/>
                <w:vertAlign w:val="superscript"/>
              </w:rPr>
              <w:t>(2)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line="236" w:lineRule="exact"/>
              <w:rPr>
                <w:sz w:val="20"/>
                <w:szCs w:val="20"/>
                <w:color w:val="auto"/>
              </w:rPr>
            </w:pPr>
            <w:r>
              <w:rPr>
                <w:rFonts w:ascii="Times New Roman" w:cs="Times New Roman" w:eastAsia="Times New Roman" w:hAnsi="Times New Roman"/>
                <w:sz w:val="18"/>
                <w:szCs w:val="18"/>
                <w:color w:val="auto"/>
              </w:rPr>
              <w:t xml:space="preserve">604,797 </w:t>
            </w:r>
            <w:r>
              <w:rPr>
                <w:rFonts w:ascii="Times New Roman" w:cs="Times New Roman" w:eastAsia="Times New Roman" w:hAnsi="Times New Roman"/>
                <w:sz w:val="24"/>
                <w:szCs w:val="24"/>
                <w:i w:val="1"/>
                <w:iCs w:val="1"/>
                <w:color w:val="auto"/>
                <w:vertAlign w:val="superscript"/>
              </w:rPr>
              <w:t>(2)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27" w:lineRule="exact"/>
        <w:rPr>
          <w:rFonts w:ascii="Times New Roman" w:cs="Times New Roman" w:eastAsia="Times New Roman" w:hAnsi="Times New Roman"/>
          <w:sz w:val="18"/>
          <w:szCs w:val="18"/>
          <w:i w:val="1"/>
          <w:iCs w:val="1"/>
          <w:color w:val="auto"/>
        </w:rPr>
      </w:pPr>
    </w:p>
    <w:p>
      <w:pPr>
        <w:ind w:left="520" w:right="60" w:hanging="512"/>
        <w:spacing w:after="0" w:line="260" w:lineRule="auto"/>
        <w:tabs>
          <w:tab w:leader="none" w:pos="5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Term Loan Facility reflects the unaccreted debt discount of $2.0 million and $2.1 million as of March 31, 2024 and December 31, 2023, respectively. See Note 8, “Long-Term Debt and Other Liabilities,” for further information.</w:t>
      </w:r>
    </w:p>
    <w:p>
      <w:pPr>
        <w:spacing w:after="0" w:line="17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401(k) Plan</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 </w:t>
      </w:r>
      <w:r>
        <w:rPr>
          <w:rFonts w:ascii="Times New Roman" w:cs="Times New Roman" w:eastAsia="Times New Roman" w:hAnsi="Times New Roman"/>
          <w:sz w:val="18"/>
          <w:szCs w:val="18"/>
          <w:color w:val="auto"/>
        </w:rPr>
        <w:t>As of March 31, 2024, we maintained the Second Amended and Restated Gogo Inc. 2016 Omnibus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“2016 Omnibus Plan”). The 2016 Omnibus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12, “Stock-Based Compensation and 401(k) Plan,” in our 2023 10-K for further information regarding these plans. The majority of our equity grants are awarded on an annual basis.</w:t>
      </w:r>
    </w:p>
    <w:p>
      <w:pPr>
        <w:spacing w:after="0" w:line="76"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For the three-month period ended March 31, 2024, no options to purchase shares of common stock were granted, options to purchase 31,136 shares of common stock were exercised, no options to purchase shares of common stock were forfeited and 13,053 options to purchase shares of common stock expired.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For the three-month period ended March 31, 2024, 30,908 RSUs were granted, 1,017,609 RSUs vested and 13,436 RSUs were forfeited. The fair value of the RSUs granted during the three-month period ended March 31, 2024 was approximately $0.3 million, which will generally be recognized over a period of four years.</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For the three-month period ended March 31, 2024, 49,256 deferred stock units were granted, none vested and 169,683 were settled. The fair value of the deferred stock units granted during the three-month period ended March 31, 2024 was approximately $0.4 million, which will generally be recognized over a period of one year.</w:t>
      </w:r>
    </w:p>
    <w:p>
      <w:pPr>
        <w:spacing w:after="0" w:line="69"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jc w:val="both"/>
        <w:ind w:right="5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401(k) Plan — </w:t>
      </w:r>
      <w:r>
        <w:rPr>
          <w:rFonts w:ascii="Times New Roman" w:cs="Times New Roman" w:eastAsia="Times New Roman" w:hAnsi="Times New Roman"/>
          <w:sz w:val="18"/>
          <w:szCs w:val="18"/>
          <w:color w:val="auto"/>
        </w:rPr>
        <w:t>Under our 401(k) plan, all employees who are eligible to participate are entitled to make tax-deferred contributions,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Service limitations. We match 100% of the employee’s first 4% of contributions made, subject to annual limitations. Our matching contributions were $0.6 million and $0.5 million, respectively, during the three-month periods ended March 31, 2024 and 2023.</w:t>
      </w:r>
    </w:p>
    <w:p>
      <w:pPr>
        <w:spacing w:after="0" w:line="170"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effective income tax rates for the three-month periods ended March 31, 2024 and 2023 were 26.4% and 17.7%, respectively. For the three-month period ended March 31, 2024, our effective income tax rate was higher than the U.S. federal statutory rate of 21% primarily due to state income taxes, nondeductible officer’s compensation, and stock-based compensation, partially offset by tax benefits related to domestic research and development tax credits. For the three-month period ended March 31, 2023, our effective income tax rate was lower than the U.S. federal statutory rate of 21% primarily due to a partial release of the valuation allowance on certain of our deferred income tax assets, tax benefits related to domestic research and development tax credits and stock-based compensation, partially offset by state income taxes.</w:t>
      </w:r>
    </w:p>
    <w:p>
      <w:pPr>
        <w:spacing w:after="0" w:line="78"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certain state credits, foreign net operating losses and capital loss carryforwards as it is more likely than not as of March 31, 2024 that these deferred tax assets will not be realized.</w:t>
      </w:r>
    </w:p>
    <w:p>
      <w:pPr>
        <w:spacing w:after="0" w:line="78"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and many states and Canada. With few exceptions, as of March 31, 2024 we are no longer subject to U.S. federal, state, local or foreign examinations by tax authorities for years before 2020.</w:t>
      </w:r>
    </w:p>
    <w:p>
      <w:pPr>
        <w:spacing w:after="0" w:line="55"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three-month periods ended March 31, 2024 and 2023. As of March 31, 2024 and December 31, 2023, we did not have a liability recorded for interest or potential penalties.</w:t>
      </w:r>
    </w:p>
    <w:p>
      <w:pPr>
        <w:spacing w:after="0" w:line="173"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and Financing Leases — </w:t>
      </w:r>
      <w:r>
        <w:rPr>
          <w:rFonts w:ascii="Times New Roman" w:cs="Times New Roman" w:eastAsia="Times New Roman" w:hAnsi="Times New Roman"/>
          <w:sz w:val="18"/>
          <w:szCs w:val="18"/>
          <w:color w:val="auto"/>
        </w:rPr>
        <w:t>We determine whether a contract contains a lease at contract inception. Lease liabilities are calculated using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 As of March 31, 2024, there were no significant leases which had not commenced.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8" w:name="page19"/>
    <w:bookmarkEnd w:id="1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2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9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60" w:type="dxa"/>
            <w:vAlign w:val="bottom"/>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7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3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76"/>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360" w:type="dxa"/>
            <w:vAlign w:val="bottom"/>
            <w:tcBorders>
              <w:bottom w:val="single" w:sz="8" w:color="auto"/>
            </w:tcBorders>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3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Other information regarding our leases is as follows </w:t>
      </w:r>
      <w:r>
        <w:rPr>
          <w:rFonts w:ascii="Times New Roman" w:cs="Times New Roman" w:eastAsia="Times New Roman" w:hAnsi="Times New Roman"/>
          <w:sz w:val="18"/>
          <w:szCs w:val="18"/>
          <w:i w:val="1"/>
          <w:iCs w:val="1"/>
          <w:color w:val="auto"/>
        </w:rPr>
        <w:t>(in thousands, except lease terms and discount rates)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2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financing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used in financing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leases obtained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 years</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year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6.8 %</w:t>
            </w: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9.0 %</w:t>
            </w:r>
          </w:p>
        </w:tc>
        <w:tc>
          <w:tcPr>
            <w:tcW w:w="2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337"/>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March 31,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6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40" w:type="dxa"/>
            <w:vAlign w:val="bottom"/>
          </w:tcPr>
          <w:p>
            <w:pPr>
              <w:spacing w:after="0"/>
              <w:rPr>
                <w:sz w:val="24"/>
                <w:szCs w:val="24"/>
                <w:color w:val="auto"/>
              </w:rPr>
            </w:pPr>
          </w:p>
        </w:tc>
        <w:tc>
          <w:tcPr>
            <w:tcW w:w="14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0" w:type="dxa"/>
            <w:vAlign w:val="bottom"/>
          </w:tcPr>
          <w:p>
            <w:pPr>
              <w:spacing w:after="0"/>
              <w:rPr>
                <w:sz w:val="1"/>
                <w:szCs w:val="1"/>
                <w:color w:val="auto"/>
              </w:rPr>
            </w:pPr>
          </w:p>
        </w:tc>
      </w:tr>
      <w:tr>
        <w:trPr>
          <w:trHeight w:val="207"/>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Pr>
          <w:p>
            <w:pPr>
              <w:spacing w:after="0"/>
              <w:rPr>
                <w:sz w:val="21"/>
                <w:szCs w:val="21"/>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40" w:type="dxa"/>
            <w:vAlign w:val="bottom"/>
          </w:tcPr>
          <w:p>
            <w:pPr>
              <w:spacing w:after="0"/>
              <w:rPr>
                <w:sz w:val="21"/>
                <w:szCs w:val="21"/>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(period from April 1 to December 31)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102,737</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(20,274 )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82,463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March 31, 2024</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82,463</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-3047365</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-829945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-812800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62" w:lineRule="exact"/>
        <w:rPr>
          <w:sz w:val="20"/>
          <w:szCs w:val="20"/>
          <w:color w:val="auto"/>
        </w:rPr>
      </w:pPr>
    </w:p>
    <w:p>
      <w:pPr>
        <w:jc w:val="both"/>
        <w:ind w:right="1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brought suit against Gogo Inc. and its subsidiary Gogo Business Aviation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in the U.S. District Court for the District of Delaware (the “Court”) alleging that Gogo 5G infringes four patents owned by the plaintiff. On February 21, 2023, the plaintiff amended its complaint to allege that Gogo 5G infringes two</w:t>
      </w:r>
    </w:p>
    <w:p>
      <w:pPr>
        <w:sectPr>
          <w:pgSz w:w="11900" w:h="16838" w:orient="portrait"/>
          <w:cols w:equalWidth="0" w:num="1">
            <w:col w:w="11300"/>
          </w:cols>
          <w:pgMar w:left="320" w:top="764" w:right="279" w:bottom="1153" w:gutter="0" w:footer="0" w:header="0"/>
        </w:sectPr>
      </w:pP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153"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 patents recently issued to the plaintiff. The suit seeks an unspecified amount of compensatory damages as well as treble damages for alleged willful infringement and reimbursement of plaintiff's costs, disbursements and attorneys' fees. Under a schedule agreed upon by the parties, fact discovery and claim construction proceedings will be substantially completed by early-to-mid 2024, and expert discovery by mid 2024, with dispositive motions to follow. A trial date has been scheduled for April 14, 2025. Also on February 28, 2022, the plaintiff filed a motion (the “PI Motion”) requesting that the Court preliminarily enjoin the Company from making, using, offering to sell or selling the Gogo 5G system. On September 26, 2022, the Court issued an order denying the PI Motion. The plaintiff has appealed the denial to the U.S. Court of Appeals for the Federal Circuit. On January 31, 2024, the U.S. Court of Appeals for the Federal Circuit affirmed the decision of the Court to deny the PI Motion. We intend to continue to vigorously defend our position in the infringement suit and defend against any further appeal of the PI Motion decision. The outcomes of the appeal and the underlying litigation are inherently uncertain. No amounts have been accrued for any potential losses under this matter, as we cannot reasonably predict the outcome of the litigation or any potential losses.</w:t>
      </w:r>
    </w:p>
    <w:p>
      <w:pPr>
        <w:spacing w:after="0" w:line="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At this time, no schedule has been adopted for Gogo's counterclaims.</w:t>
      </w:r>
    </w:p>
    <w:p>
      <w:pPr>
        <w:spacing w:after="0" w:line="7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78"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1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(675 )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(830 )</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8"/>
        </w:trPr>
        <w:tc>
          <w:tcPr>
            <w:tcW w:w="114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363"/>
        </w:trPr>
        <w:tc>
          <w:tcPr>
            <w:tcW w:w="1140" w:type="dxa"/>
            <w:vAlign w:val="bottom"/>
          </w:tcPr>
          <w:p>
            <w:pPr>
              <w:spacing w:after="0"/>
              <w:rPr>
                <w:sz w:val="24"/>
                <w:szCs w:val="24"/>
                <w:color w:val="auto"/>
              </w:rPr>
            </w:pPr>
          </w:p>
        </w:tc>
        <w:tc>
          <w:tcPr>
            <w:tcW w:w="53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(2,439 )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(2,364 )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(7,160 )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(7,085 )</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8"/>
        </w:trPr>
        <w:tc>
          <w:tcPr>
            <w:tcW w:w="114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24,193</w:t>
            </w:r>
          </w:p>
        </w:tc>
        <w:tc>
          <w:tcPr>
            <w:tcW w:w="2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23,043</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0"/>
        </w:trPr>
        <w:tc>
          <w:tcPr>
            <w:tcW w:w="1140" w:type="dxa"/>
            <w:vAlign w:val="bottom"/>
          </w:tcPr>
          <w:p>
            <w:pPr>
              <w:spacing w:after="0"/>
              <w:rPr>
                <w:sz w:val="24"/>
                <w:szCs w:val="24"/>
                <w:color w:val="auto"/>
              </w:rPr>
            </w:pPr>
          </w:p>
        </w:tc>
        <w:tc>
          <w:tcPr>
            <w:tcW w:w="5300" w:type="dxa"/>
            <w:vAlign w:val="bottom"/>
            <w:tcBorders>
              <w:top w:val="single" w:sz="8" w:color="CFF0FC"/>
            </w:tcBorders>
          </w:tcPr>
          <w:p>
            <w:pPr>
              <w:ind w:left="44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-2662555</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-2662555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-2662555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-2336800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-2319655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-2336800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-2319655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-2336800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-2319655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-1257935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-1257935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-1257935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-932815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-915670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-932815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-915670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-932815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-915670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7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revenue from the provision of our connectivity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Gogo 5G, Gogo Galileo or other next generation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outside of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outbreaks of contagious diseases, and the measures implemented to combat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supply chain and logistics issues and increasing inflation;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or pursue strategic opportunities;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components and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3MHz of ATG spectrum in the United States and obtain rights to additional spectrum if needed;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open-source software;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 or material defects or errors in our software;</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interruptions or delays, technology failures, equipment damage or system disruptions or failures, including any arising from cyber-attacks;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products and services;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participation in the Federal Communications Commission (“FCC”) Reimbursement Program;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foreign ownership limitations;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anti-corruption and anti-money laundering laws;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 and legal, regulatory or market responses to it;</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limitations and restrictions in the agreements governing our current and future indebtedness and our ability to service our indebtedness;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21" w:name="page22"/>
    <w:bookmarkEnd w:id="21"/>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 and</w:t>
      </w:r>
    </w:p>
    <w:p>
      <w:pPr>
        <w:spacing w:after="0" w:line="116" w:lineRule="exact"/>
        <w:rPr>
          <w:rFonts w:ascii="Times New Roman" w:cs="Times New Roman" w:eastAsia="Times New Roman" w:hAnsi="Times New Roman"/>
          <w:sz w:val="18"/>
          <w:szCs w:val="18"/>
          <w:color w:val="auto"/>
        </w:rPr>
      </w:pPr>
    </w:p>
    <w:p>
      <w:pPr>
        <w:jc w:val="both"/>
        <w:ind w:left="1020" w:right="200" w:hanging="503"/>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“Risk Factors” in our Annual Report on Form 10-K for the year ended December 31, 2023, as filed with the Securities and Exchange Commission (the “SEC”) on February 28, 2024 (the “2023 10-K”) and in Item 1A of this Quarterly Report on Form 10-Q.</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spacing w:after="0" w:line="7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2023 10-K and in Item 1A and “Special Note Regarding Forward-Looking Statements” in this Quarterly Report on Form 10-Q. Our actual results may differ materially from those contained in or implied by any forward-looking statements.</w:t>
      </w:r>
    </w:p>
    <w:p>
      <w:pPr>
        <w:spacing w:after="0" w:line="72"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Gogo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are currently developing our fourth ATG network – Gogo 5G – that we expect to commercially launch a few months later than the previously stated fourth quarter 2024 launch date, and we are working with our vendors to finalize the schedule. Simultaneous with the development of Gogo 5G, we are actively working with a subset of AVANCE customers and customers utilizing our legacy Gogo Biz ATG airborne system operating on our ground 3G and 4G networks to upgrade to an AVANCE system compatible with a new LTE network. We anticipate this subset of customers will see improved performance because of this network transition, which is expected to occur in early 2026. The cost for the transition to the new LTE network is partially being reimbursed through our participation in the FCC Reimbursement Program.</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all models of business aircraft (“Gogo Galileo”). The service will use an electronically steered antenna (“ESA”), specifically designed to address a broad range of business aviation aircraft, operating on a low earth orbit (“LEO”) satellite network and is targeted for commercial launch in the fourth quarter of 2024.</w:t>
      </w:r>
    </w:p>
    <w:p>
      <w:pPr>
        <w:spacing w:after="0" w:line="7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jc w:val="both"/>
        <w:ind w:right="420" w:firstLine="509"/>
        <w:spacing w:after="0" w:line="265"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9" w:lineRule="exact"/>
        <w:rPr>
          <w:sz w:val="20"/>
          <w:szCs w:val="20"/>
          <w:color w:val="auto"/>
        </w:rPr>
      </w:pPr>
    </w:p>
    <w:p>
      <w:pPr>
        <w:ind w:left="1020" w:right="16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implementation of, and our ability to implement on a timely basis, our technology roadmap, including upgrades to and installation of the ATG technologies we currently offer, Gogo 5G, Gogo Galileo, LTE and any other next generation or other new technology;</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chipset, and other equipment developers and providers or satellite network providers, some of which are single-source;</w:t>
      </w:r>
    </w:p>
    <w:p>
      <w:pPr>
        <w:spacing w:after="0" w:line="69"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network and operations as technology and user expectations change;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23" w:name="page24"/>
    <w:bookmarkEnd w:id="23"/>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aircraft in service in our markets, including consolidations or changes in fleet size by one or more of our large-fleet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in the aviation industry and installations of our equipment driven by, among other things, labor shortages;</w:t>
      </w:r>
    </w:p>
    <w:p>
      <w:pPr>
        <w:spacing w:after="0" w:line="116" w:lineRule="exact"/>
        <w:rPr>
          <w:rFonts w:ascii="Times New Roman" w:cs="Times New Roman" w:eastAsia="Times New Roman" w:hAnsi="Times New Roman"/>
          <w:sz w:val="18"/>
          <w:szCs w:val="18"/>
          <w:color w:val="auto"/>
        </w:rPr>
      </w:pPr>
    </w:p>
    <w:p>
      <w:pPr>
        <w:ind w:left="1020" w:right="54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expand our service offerings and manage our network; and</w:t>
      </w:r>
    </w:p>
    <w:p>
      <w:pPr>
        <w:spacing w:after="0" w:line="69"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our business or the business of our customers and suppliers globally, including changes that impact the design of our equipment and our ability to obtain required certifications for our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84"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ATG AVANCE</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Gogo Biz</w:t>
            </w:r>
          </w:p>
        </w:tc>
        <w:tc>
          <w:tcPr>
            <w:tcW w:w="9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ATG</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connectivity service revenue per aircraft online</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sold</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9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Average equipment revenue per unit sold (in thousands)</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1"/>
                <w:szCs w:val="21"/>
                <w:color w:val="auto"/>
              </w:rPr>
            </w:pPr>
          </w:p>
        </w:tc>
      </w:tr>
      <w:tr>
        <w:trPr>
          <w:trHeight w:val="234"/>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-1697990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-1697990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0" w:lineRule="exact"/>
        <w:rPr>
          <w:sz w:val="20"/>
          <w:szCs w:val="20"/>
          <w:color w:val="auto"/>
        </w:rPr>
      </w:pPr>
    </w:p>
    <w:p>
      <w:pPr>
        <w:ind w:left="1020" w:right="140" w:hanging="503"/>
        <w:spacing w:after="0" w:line="28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ATG AVANCE aircraft online. </w:t>
      </w:r>
      <w:r>
        <w:rPr>
          <w:rFonts w:ascii="Times New Roman" w:cs="Times New Roman" w:eastAsia="Times New Roman" w:hAnsi="Times New Roman"/>
          <w:sz w:val="18"/>
          <w:szCs w:val="18"/>
          <w:color w:val="auto"/>
        </w:rPr>
        <w:t>We define ATG AVANCE aircraft online as the total number of business aircraft equipped with our AVANCE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L5 or L3 system for which we provide ATG services as of the last day of each period presented.</w:t>
      </w:r>
    </w:p>
    <w:p>
      <w:pPr>
        <w:spacing w:after="0" w:line="5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Gogo Biz aircraft online. </w:t>
      </w:r>
      <w:r>
        <w:rPr>
          <w:rFonts w:ascii="Times New Roman" w:cs="Times New Roman" w:eastAsia="Times New Roman" w:hAnsi="Times New Roman"/>
          <w:sz w:val="18"/>
          <w:szCs w:val="18"/>
          <w:color w:val="auto"/>
        </w:rPr>
        <w:t>We define Gogo Biz aircraft online as the total number of business aircraft not equipped with our AVANCE L5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L3 system for which we provide ATG services as of the last day of each period presented. This number excludes commercial aircraft operated by Intelsat’s airline customers receiving ATG service.</w:t>
      </w:r>
    </w:p>
    <w:p>
      <w:pPr>
        <w:spacing w:after="0" w:line="64" w:lineRule="exact"/>
        <w:rPr>
          <w:rFonts w:ascii="Times New Roman" w:cs="Times New Roman" w:eastAsia="Times New Roman" w:hAnsi="Times New Roman"/>
          <w:sz w:val="18"/>
          <w:szCs w:val="18"/>
          <w:color w:val="auto"/>
        </w:rPr>
      </w:pPr>
    </w:p>
    <w:p>
      <w:pPr>
        <w:ind w:left="1020" w:right="400" w:hanging="503"/>
        <w:spacing w:after="0" w:line="28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Narrowband satellite aircraft online</w:t>
      </w:r>
      <w:r>
        <w:rPr>
          <w:rFonts w:ascii="Times New Roman" w:cs="Times New Roman" w:eastAsia="Times New Roman" w:hAnsi="Times New Roman"/>
          <w:sz w:val="18"/>
          <w:szCs w:val="18"/>
          <w:color w:val="auto"/>
        </w:rPr>
        <w:t>. We define narrowband satellite aircraft online as the total number of business aircraft for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narrowband satellite services as of the last day of each period presented.</w:t>
      </w:r>
    </w:p>
    <w:p>
      <w:pPr>
        <w:spacing w:after="0" w:line="51"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w:t>
      </w:r>
      <w:r>
        <w:rPr>
          <w:rFonts w:ascii="Times New Roman" w:cs="Times New Roman" w:eastAsia="Times New Roman" w:hAnsi="Times New Roman"/>
          <w:sz w:val="18"/>
          <w:szCs w:val="18"/>
          <w:color w:val="auto"/>
        </w:rPr>
        <w:t>We define average monthly connectivity service revenue per ATG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4" w:name="page25"/>
    <w:bookmarkEnd w:id="24"/>
    <w:p>
      <w:pPr>
        <w:ind w:left="1020" w:right="4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monthly connectivity service revenue per narrowband satellite aircraft online</w:t>
      </w:r>
      <w:r>
        <w:rPr>
          <w:rFonts w:ascii="Times New Roman" w:cs="Times New Roman" w:eastAsia="Times New Roman" w:hAnsi="Times New Roman"/>
          <w:sz w:val="18"/>
          <w:szCs w:val="18"/>
          <w:color w:val="auto"/>
        </w:rPr>
        <w:t>. We define average monthly connectivity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per narrowband 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spacing w:after="0" w:line="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Units sold</w:t>
      </w:r>
      <w:r>
        <w:rPr>
          <w:rFonts w:ascii="Times New Roman" w:cs="Times New Roman" w:eastAsia="Times New Roman" w:hAnsi="Times New Roman"/>
          <w:sz w:val="18"/>
          <w:szCs w:val="18"/>
          <w:color w:val="auto"/>
        </w:rPr>
        <w:t>. We define units sold as the number of ATG or narrowband satellite units for which we recognized revenue during the period.</w:t>
      </w:r>
    </w:p>
    <w:p>
      <w:pPr>
        <w:spacing w:after="0" w:line="116" w:lineRule="exact"/>
        <w:rPr>
          <w:rFonts w:ascii="Times New Roman" w:cs="Times New Roman" w:eastAsia="Times New Roman" w:hAnsi="Times New Roman"/>
          <w:sz w:val="18"/>
          <w:szCs w:val="18"/>
          <w:color w:val="auto"/>
        </w:rPr>
      </w:pPr>
    </w:p>
    <w:p>
      <w:pPr>
        <w:ind w:left="1020" w:right="40" w:hanging="503"/>
        <w:spacing w:after="0" w:line="28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equipment revenue per ATG unit sold. </w:t>
      </w:r>
      <w:r>
        <w:rPr>
          <w:rFonts w:ascii="Times New Roman" w:cs="Times New Roman" w:eastAsia="Times New Roman" w:hAnsi="Times New Roman"/>
          <w:sz w:val="18"/>
          <w:szCs w:val="18"/>
          <w:color w:val="auto"/>
        </w:rPr>
        <w:t>We define average equipment revenue per ATG unit sold as the aggregate equipment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all ATG units sold during the period, divided by the number of ATG units sold.</w:t>
      </w:r>
    </w:p>
    <w:p>
      <w:pPr>
        <w:spacing w:after="0" w:line="51" w:lineRule="exact"/>
        <w:rPr>
          <w:rFonts w:ascii="Times New Roman" w:cs="Times New Roman" w:eastAsia="Times New Roman" w:hAnsi="Times New Roman"/>
          <w:sz w:val="18"/>
          <w:szCs w:val="18"/>
          <w:color w:val="auto"/>
        </w:rPr>
      </w:pPr>
    </w:p>
    <w:p>
      <w:pPr>
        <w:ind w:left="1020" w:right="180" w:hanging="503"/>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equipment revenue per narrowband satellite unit sold</w:t>
      </w:r>
      <w:r>
        <w:rPr>
          <w:rFonts w:ascii="Times New Roman" w:cs="Times New Roman" w:eastAsia="Times New Roman" w:hAnsi="Times New Roman"/>
          <w:sz w:val="18"/>
          <w:szCs w:val="18"/>
          <w:color w:val="auto"/>
        </w:rPr>
        <w:t>. We define average equipment revenue per narrowband satellite unit sold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aggregate equipment revenue earned from all narrowband satellite units sold during the period, divided by the number of narrowband satellite units sold.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21"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key components of Unaudited Condensed Consolidated Statements of Operations as described in “Management’s Discussion and Analysis of Financial Condition and Results of Operations” (“MD&amp;A”) in our 2023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81"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MD&amp;A in our 2023 10-K.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“Basis of Presentation,” to our Unaudited Condensed Consolidated Financials Statements for additional information.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0"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35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25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104,322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98,597</w:t>
            </w:r>
          </w:p>
        </w:tc>
        <w:tc>
          <w:tcPr>
            <w:tcW w:w="100" w:type="dxa"/>
            <w:vAlign w:val="bottom"/>
          </w:tcPr>
          <w:p>
            <w:pPr>
              <w:spacing w:after="0"/>
              <w:rPr>
                <w:sz w:val="20"/>
                <w:szCs w:val="20"/>
                <w:color w:val="auto"/>
              </w:rPr>
            </w:pPr>
          </w:p>
        </w:tc>
      </w:tr>
      <w:tr>
        <w:trPr>
          <w:trHeight w:val="238"/>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2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25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5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66,669</w:t>
            </w:r>
          </w:p>
        </w:tc>
        <w:tc>
          <w:tcPr>
            <w:tcW w:w="100" w:type="dxa"/>
            <w:vAlign w:val="bottom"/>
          </w:tcPr>
          <w:p>
            <w:pPr>
              <w:spacing w:after="0"/>
              <w:rPr>
                <w:sz w:val="20"/>
                <w:szCs w:val="20"/>
                <w:color w:val="auto"/>
              </w:rPr>
            </w:pPr>
          </w:p>
        </w:tc>
      </w:tr>
      <w:tr>
        <w:trPr>
          <w:trHeight w:val="236"/>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5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(2,048 )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(1,916 )</w:t>
            </w: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Pr>
          <w:p>
            <w:pPr>
              <w:spacing w:after="0"/>
              <w:rPr>
                <w:sz w:val="20"/>
                <w:szCs w:val="20"/>
                <w:color w:val="auto"/>
              </w:rPr>
            </w:pPr>
          </w:p>
        </w:tc>
      </w:tr>
      <w:tr>
        <w:trPr>
          <w:trHeight w:val="243"/>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(13,099 )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(6,737 )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20"/>
                <w:szCs w:val="20"/>
                <w:color w:val="auto"/>
              </w:rPr>
            </w:pPr>
          </w:p>
        </w:tc>
      </w:tr>
      <w:tr>
        <w:trPr>
          <w:trHeight w:val="238"/>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5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20"/>
                <w:szCs w:val="20"/>
                <w:color w:val="auto"/>
              </w:rPr>
            </w:pPr>
          </w:p>
        </w:tc>
      </w:tr>
      <w:tr>
        <w:trPr>
          <w:trHeight w:val="278"/>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5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2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shd w:val="clear" w:color="auto" w:fill="CFF0FC"/>
          </w:tcPr>
          <w:p>
            <w:pPr>
              <w:spacing w:after="0"/>
              <w:rPr>
                <w:sz w:val="24"/>
                <w:szCs w:val="24"/>
                <w:color w:val="auto"/>
              </w:rPr>
            </w:pPr>
          </w:p>
        </w:tc>
      </w:tr>
      <w:tr>
        <w:trPr>
          <w:trHeight w:val="630"/>
        </w:trPr>
        <w:tc>
          <w:tcPr>
            <w:tcW w:w="518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5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-3775075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-3775075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-2525395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-2199640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-1574800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-932815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-915670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Revenue and percent change for the three-month periods ended March 31, 2024 and 2023 were as follows </w:t>
      </w:r>
      <w:r>
        <w:rPr>
          <w:rFonts w:ascii="Times New Roman" w:cs="Times New Roman" w:eastAsia="Times New Roman" w:hAnsi="Times New Roman"/>
          <w:sz w:val="18"/>
          <w:szCs w:val="18"/>
          <w:i w:val="1"/>
          <w:iCs w:val="1"/>
          <w:color w:val="auto"/>
        </w:rPr>
        <w:t>(in thousands, except for percent change)</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revenue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2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740" w:type="dxa"/>
            <w:vAlign w:val="bottom"/>
            <w:vMerge w:val="continue"/>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104,322</w:t>
            </w:r>
          </w:p>
        </w:tc>
        <w:tc>
          <w:tcPr>
            <w:tcW w:w="3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98,597</w:t>
            </w:r>
          </w:p>
        </w:tc>
        <w:tc>
          <w:tcPr>
            <w:tcW w:w="2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Total revenue increased to $104.3 million for the three-month period ended March 31, 2024 as compared with $98.6 million for the prior-year period, due to an increase in service revenue and equipment revenue.</w:t>
      </w:r>
    </w:p>
    <w:p>
      <w:pPr>
        <w:spacing w:after="0" w:line="55"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Service revenue increased to $81.7 million for the three-month period ended March 31, 2024, as compared with $78.5 million for the prior-year period, due to increases in ATG aircraft online.</w:t>
      </w:r>
    </w:p>
    <w:p>
      <w:pPr>
        <w:spacing w:after="0" w:line="55"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Equipment revenue increased to $22.6 million for the three-month period ended March 31, 2024, as compared with $20.1 million for the prior-year period, due to an increase in the number of ATG units sold, with 258 units sold during the three-month period ended March 31, 2024 as compared with 223 units sold during the prior-year period.</w:t>
      </w:r>
    </w:p>
    <w:p>
      <w:pPr>
        <w:spacing w:after="0" w:line="69" w:lineRule="exact"/>
        <w:rPr>
          <w:sz w:val="20"/>
          <w:szCs w:val="20"/>
          <w:color w:val="auto"/>
        </w:rPr>
      </w:pPr>
    </w:p>
    <w:p>
      <w:pPr>
        <w:jc w:val="both"/>
        <w:ind w:right="260" w:firstLine="509"/>
        <w:spacing w:after="0" w:line="312" w:lineRule="auto"/>
        <w:rPr>
          <w:sz w:val="20"/>
          <w:szCs w:val="20"/>
          <w:color w:val="auto"/>
        </w:rPr>
      </w:pPr>
      <w:r>
        <w:rPr>
          <w:rFonts w:ascii="Times New Roman" w:cs="Times New Roman" w:eastAsia="Times New Roman" w:hAnsi="Times New Roman"/>
          <w:sz w:val="17"/>
          <w:szCs w:val="17"/>
          <w:color w:val="auto"/>
        </w:rPr>
        <w:t>We expect service revenue to increase in the future as additional aircraft come online, including the expected impact of the launch of Gogo 5G and Gogo Galileo. We expect equipment revenue to increase in the future driven by additional sales of ATG units including Gogo 5G, and Gogo Galileo units.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300" w:firstLine="509"/>
        <w:spacing w:after="0" w:line="283" w:lineRule="auto"/>
        <w:rPr>
          <w:sz w:val="20"/>
          <w:szCs w:val="20"/>
          <w:color w:val="auto"/>
        </w:rPr>
      </w:pPr>
      <w:r>
        <w:rPr>
          <w:rFonts w:ascii="Times New Roman" w:cs="Times New Roman" w:eastAsia="Times New Roman" w:hAnsi="Times New Roman"/>
          <w:sz w:val="18"/>
          <w:szCs w:val="18"/>
          <w:color w:val="auto"/>
        </w:rPr>
        <w:t xml:space="preserve">Cost of revenue and percent change for the three-month periods ended March 31, 2024 and 2023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Cost of service revenue increased 6% to $17.9 million for the three-month period ended March 31, 2024, as compared with $16.8 million for the prior-year period due to an increase in ATG network costs .</w:t>
      </w:r>
    </w:p>
    <w:p>
      <w:pPr>
        <w:spacing w:after="0" w:line="55"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expect cost of service revenue to increase over time, due to service revenue growth and increasing network costs, including those for Gogo 5G, Gogo Galileo, and increased data center costs.</w:t>
      </w:r>
    </w:p>
    <w:p>
      <w:pPr>
        <w:spacing w:after="0" w:line="55"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Cost of equipment revenue decreased 13% to $15.8 million for the three-month period ended March 31, 2024 as compared with $18.1 million for the prior-year period due to non-reimbursable costs related to the FCC Reimbursement Program in the prior year.</w:t>
      </w:r>
    </w:p>
    <w:p>
      <w:pPr>
        <w:spacing w:after="0" w:line="55"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We expect that our cost of equipment revenue will increase with growth in ATG units sold, including Gogo 5G, and Gogo Galileo units, following the launch of those products. Additionally, we expect to incur additional costs associated with the FCC Reimbursement Program which we expect to be partially offset by the reimbursements from the FCC.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Engineering, design and development expenses increased 17% to $9.2 million for the three-month period ended March 31, 2024, as compared with $7.9 million for the prior-year period due to Gogo Galileo development costs.</w:t>
      </w:r>
    </w:p>
    <w:p>
      <w:pPr>
        <w:spacing w:after="0" w:line="55"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We expect engineering, design and development expenses as a percentage of service revenue to increase in 2024, driven by Gogo Galileo development costs and Gogo 5G program spend, and decrease thereafter as the programs are completed and the level of investment decreases and revenue increases.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Sales and marketing expenses increased 20% to $8.3 million for the three-month period ended March 31, 2024, as compared with $6.9 million for the prior-year period due to personnel costs.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sales and marketing expenses as a percentage of service revenue to remain relatively flat in the future.</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2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increased 3% to $14.7 million for the three-month period ended March 31, 2024, as compared with $14.2 million for the prior-year period.</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general and administrative expenses as a percentage of service revenue to decrease over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100" w:firstLine="509"/>
        <w:spacing w:after="0" w:line="288" w:lineRule="auto"/>
        <w:rPr>
          <w:sz w:val="20"/>
          <w:szCs w:val="20"/>
          <w:color w:val="auto"/>
        </w:rPr>
      </w:pPr>
      <w:r>
        <w:rPr>
          <w:rFonts w:ascii="Times New Roman" w:cs="Times New Roman" w:eastAsia="Times New Roman" w:hAnsi="Times New Roman"/>
          <w:sz w:val="17"/>
          <w:szCs w:val="17"/>
          <w:color w:val="auto"/>
        </w:rPr>
        <w:t>Depreciation and amortization expense increased 38% to $3.8 million for three-month period ended March 31, 2024, as compared with $2.8 million for the prior-year period, due to accelerated depreciation expense for certain network equipment related to the FCC Reimbursement Program. See Note 1, “Basis of Presentation,” to our Unaudited Condensed Consolidated Financial Statements for additional information on the accelerated depreciation expense.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depreciation and amortization expense will increase in the future as we launch our Gogo 5G network.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Other expense (income) and percent change for the three-month periods ended March 31, 2024 and 2023 were as follows </w:t>
      </w:r>
      <w:r>
        <w:rPr>
          <w:rFonts w:ascii="Times New Roman" w:cs="Times New Roman" w:eastAsia="Times New Roman" w:hAnsi="Times New Roman"/>
          <w:sz w:val="18"/>
          <w:szCs w:val="18"/>
          <w:i w:val="1"/>
          <w:iCs w:val="1"/>
          <w:color w:val="auto"/>
        </w:rPr>
        <w:t>(in thousands,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 change)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39"/>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gridSpan w:val="5"/>
          </w:tcPr>
          <w:p>
            <w:pPr>
              <w:jc w:val="right"/>
              <w:ind w:right="1000"/>
              <w:spacing w:after="0" w:line="13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15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(2,048 )</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(1,916 )</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52"/>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(13,099 )</w:t>
            </w: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(6,737 )</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-156845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-156845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5715</wp:posOffset>
            </wp:positionV>
            <wp:extent cx="286004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60040" cy="2540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207"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Total other (income) expense changed to $6.7 million of income for the three-month period ended March 31, 2024 as compared with $7.1 million of expense for the prior-year period, due to an unrealized holding gain on the Investment in Convertible Note.</w:t>
      </w:r>
    </w:p>
    <w:p>
      <w:pPr>
        <w:spacing w:after="0" w:line="55"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We expect our interest expense to fluctuate in the future based on changes in the variable rates associated with the Facilities, partially offset by the impact of the interest rate caps. We expect these fluctuations to be impacted by the decrease in the hedge benefit as our hedge notional amount decreases and the strike rate increases. See Note 8, “Long-Term Debt and Other Liabilities,” to our Unaudited Condensed Consolidated Financial Statements for additional information. Subsequent to March 31, 2024, the Company observed a significant decrease in the publicly available stock price related to the Investment in Convertible Note. Should the decrease be sustained, the fair value of the Investment in Convertible Note could be materially and negatively impacted.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effective income tax rate for the three-month period ended March 31, 2024 was 26.4%, as compared to 17.7% for the prior-year period. For the three-month period ended March 31, 2024, our income tax provision was $10.9 million due to pre-tax income. For the three-month period ended March 31, 2023, our income tax provision was $4.4 million, due to pre-tax income. See Note 13, “Income Tax,” to our Unaudited Condensed Consolidated Financial Statements for additional information.</w:t>
      </w:r>
    </w:p>
    <w:p>
      <w:pPr>
        <w:spacing w:after="0" w:line="74" w:lineRule="exact"/>
        <w:rPr>
          <w:sz w:val="20"/>
          <w:szCs w:val="20"/>
          <w:color w:val="auto"/>
        </w:rPr>
      </w:pPr>
    </w:p>
    <w:p>
      <w:pPr>
        <w:jc w:val="both"/>
        <w:ind w:right="140" w:firstLine="509"/>
        <w:spacing w:after="0" w:line="281" w:lineRule="auto"/>
        <w:rPr>
          <w:sz w:val="20"/>
          <w:szCs w:val="20"/>
          <w:color w:val="auto"/>
        </w:rPr>
      </w:pPr>
      <w:r>
        <w:rPr>
          <w:rFonts w:ascii="Times New Roman" w:cs="Times New Roman" w:eastAsia="Times New Roman" w:hAnsi="Times New Roman"/>
          <w:sz w:val="18"/>
          <w:szCs w:val="18"/>
          <w:color w:val="auto"/>
        </w:rPr>
        <w:t>We expect our income tax provision to increase in the long term as we continue to generate positive pre-tax income. We expect cash tax payments to be immaterial for an extended period of time, subject to the availability of our net operating loss carryforward amounts.</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Definition and Reconciliation of Non-GAAP Measures</w:t>
      </w:r>
    </w:p>
    <w:p>
      <w:pPr>
        <w:spacing w:after="0" w:line="119"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attributable to common stock before interest expense, interest income, income taxes and depreciation and amortization expense.</w:t>
      </w:r>
    </w:p>
    <w:p>
      <w:pPr>
        <w:spacing w:after="0" w:line="5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represents EBITDA adjusted for (i) stock-based compensation expense and (ii) change in fair value of Investment in Convertible Note.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7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from Adjusted EBITDA the changes in fair value of Investment in Convertible Note because this activity is not related to our operating performance.</w:t>
      </w:r>
    </w:p>
    <w:p>
      <w:pPr>
        <w:spacing w:after="0" w:line="55"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69" w:lineRule="exact"/>
        <w:rPr>
          <w:sz w:val="20"/>
          <w:szCs w:val="20"/>
          <w:color w:val="auto"/>
        </w:rPr>
      </w:pPr>
    </w:p>
    <w:p>
      <w:pPr>
        <w:ind w:right="200" w:firstLine="562"/>
        <w:spacing w:after="0" w:line="276" w:lineRule="auto"/>
        <w:rPr>
          <w:sz w:val="20"/>
          <w:szCs w:val="20"/>
          <w:color w:val="auto"/>
        </w:rPr>
      </w:pPr>
      <w:r>
        <w:rPr>
          <w:rFonts w:ascii="Times New Roman" w:cs="Times New Roman" w:eastAsia="Times New Roman" w:hAnsi="Times New Roman"/>
          <w:sz w:val="17"/>
          <w:szCs w:val="17"/>
          <w:u w:val="single" w:color="auto"/>
          <w:color w:val="auto"/>
        </w:rPr>
        <w:t>Free Cash Flow</w:t>
      </w:r>
      <w:r>
        <w:rPr>
          <w:rFonts w:ascii="Times New Roman" w:cs="Times New Roman" w:eastAsia="Times New Roman" w:hAnsi="Times New Roman"/>
          <w:sz w:val="17"/>
          <w:szCs w:val="17"/>
          <w:color w:val="auto"/>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 (GAAP)</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(1,916 )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convertible note investment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(13,132 )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 (GAAP)</w:t>
            </w: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(4,596 )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FCC Reimbursement Program for property, equipment and intangibles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interest rate caps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-1301115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Material limitations of Non-GAAP measures</w:t>
      </w:r>
    </w:p>
    <w:p>
      <w:pPr>
        <w:spacing w:after="0" w:line="119"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unrealized holding gains or losses on investments in convertible notes;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our or related industries may calculate these measures differently from the way we do, their usefulness as comparative measures may be limited.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58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8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(2,604 )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(13,296 )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(7,445 )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0"/>
                <w:szCs w:val="20"/>
                <w:color w:val="auto"/>
              </w:rPr>
            </w:pPr>
          </w:p>
        </w:tc>
      </w:tr>
      <w:tr>
        <w:trPr>
          <w:trHeight w:val="24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8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150,880</w:t>
            </w:r>
          </w:p>
        </w:tc>
        <w:tc>
          <w:tcPr>
            <w:tcW w:w="8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153,150</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163,596</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163,596</w:t>
            </w:r>
          </w:p>
        </w:tc>
        <w:tc>
          <w:tcPr>
            <w:tcW w:w="80" w:type="dxa"/>
            <w:vAlign w:val="bottom"/>
            <w:shd w:val="clear" w:color="auto" w:fill="CFF0FC"/>
          </w:tcPr>
          <w:p>
            <w:pPr>
              <w:spacing w:after="0"/>
              <w:rPr>
                <w:sz w:val="21"/>
                <w:szCs w:val="2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152,820</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-675640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-658495</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-675640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-658495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capital markets will be sufficient to meet the cash requirements of our business, including capital expenditure requirements, debt maturities and share repurchases, if any, for at least the next twelve months and thereafter for the foreseeable future.</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as amended, in accordance with applicable securities laws and other restrictions, including Rule 10b-18 under the Securities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During the three-month period ended March 31, 2024, we repurchased an aggregate 1.1 million shares of our common stock for $10.1 million.</w:t>
      </w:r>
    </w:p>
    <w:p>
      <w:pPr>
        <w:spacing w:after="0" w:line="8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As detailed in Note 8, “Long-Term Debt and Other Liabilities,”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w:t>
      </w:r>
    </w:p>
    <w:p>
      <w:pPr>
        <w:spacing w:after="0" w:line="6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SOFR rate, plus a credit spread adjustment recommended by the Alternative Reference Rates Committee.</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69"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term SOFR rate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31" w:name="page32"/>
    <w:bookmarkEnd w:id="31"/>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March 31, 2024, the fee for unused commitments under the Revolving Facility was 0.25% and the applicable margin was 3.25%.</w:t>
      </w:r>
    </w:p>
    <w:p>
      <w:pPr>
        <w:spacing w:after="0" w:line="79"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w:t>
      </w:r>
    </w:p>
    <w:p>
      <w:pPr>
        <w:spacing w:after="0" w:line="55"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74"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74"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March 31, 2024 and December 31, 2023.</w:t>
      </w:r>
    </w:p>
    <w:p>
      <w:pPr>
        <w:spacing w:after="0" w:line="74"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For additional information on the 2021 Credit Agreement, see Note 8, “Long-Term Debt and Other Liabilities,” to our Unaudited Condensed Consolidated Financial Statements.</w:t>
      </w:r>
    </w:p>
    <w:p>
      <w:pPr>
        <w:spacing w:after="0" w:line="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Committees of 0.26% increases beyond the applicable strike rate. The termination date of the cap agreements is July 31, 2027. The notional amounts of the interest rate caps periodically decrease over the life of the caps with the first reduction of $125.0 million having occurred on July 31, 2023. The aggregate notional amount of the interest rate caps as of March 31, 2024 is $525.0 million.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78"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For additional information on the interest rate caps, see Note 9, “Derivative Instruments and Hedging Activities,” to our Unaudited Condensed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80" w:type="dxa"/>
            <w:vAlign w:val="bottom"/>
            <w:shd w:val="clear" w:color="auto" w:fill="CFF0FC"/>
          </w:tcPr>
          <w:p>
            <w:pPr>
              <w:spacing w:after="0"/>
              <w:rPr>
                <w:sz w:val="20"/>
                <w:szCs w:val="20"/>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(8,381 )</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(15,112 )</w:t>
            </w:r>
          </w:p>
        </w:tc>
      </w:tr>
      <w:tr>
        <w:trPr>
          <w:trHeight w:val="236"/>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8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-187960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1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For the three-month period ended March 31, 2024, net cash provided by operating activities was $29.7 million as compared with $18.5 million in the prior-year period. The principal contributors to the year-over-year change in operating cash flows were:</w:t>
      </w:r>
    </w:p>
    <w:p>
      <w:pPr>
        <w:spacing w:after="0" w:line="55"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improvement in net income and non-cash charges and credits, as noted above under “Results of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$6.7 million improvement in cash flows related to operating assets and liabilities resulting from:</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increase in cash flows due to the following:</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liabilities due to the timing of payments related to personnel costs;</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payable due to the timing of payments; and</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prepaid expenses and other current assets related to the FCC Reimbursement Program.</w:t>
      </w:r>
    </w:p>
    <w:p>
      <w:pPr>
        <w:spacing w:after="0" w:line="117" w:lineRule="exact"/>
        <w:rPr>
          <w:sz w:val="20"/>
          <w:szCs w:val="20"/>
          <w:color w:val="auto"/>
        </w:rPr>
      </w:pPr>
    </w:p>
    <w:p>
      <w:pPr>
        <w:ind w:left="1540" w:hanging="513"/>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cash flows due to changes in accounts receivable due to the timing of collections.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was $2.6 million for the three-month period ended March 31, 2024, due to $4.2 million of capital expenditures noted below and a $5.0 million convertible note investment, partially offset by $6.5 million of proceeds from interest rate caps and an immaterial amount of proceeds received from the FCC Reimbursement Program associated with the reimbursement of capital expenditures.</w:t>
      </w:r>
    </w:p>
    <w:p>
      <w:pPr>
        <w:spacing w:after="0" w:line="69" w:lineRule="exact"/>
        <w:rPr>
          <w:sz w:val="20"/>
          <w:szCs w:val="20"/>
          <w:color w:val="auto"/>
        </w:rPr>
      </w:pPr>
    </w:p>
    <w:p>
      <w:pPr>
        <w:ind w:right="480" w:firstLine="509"/>
        <w:spacing w:after="0" w:line="312" w:lineRule="auto"/>
        <w:rPr>
          <w:sz w:val="20"/>
          <w:szCs w:val="20"/>
          <w:color w:val="auto"/>
        </w:rPr>
      </w:pPr>
      <w:r>
        <w:rPr>
          <w:rFonts w:ascii="Times New Roman" w:cs="Times New Roman" w:eastAsia="Times New Roman" w:hAnsi="Times New Roman"/>
          <w:sz w:val="17"/>
          <w:szCs w:val="17"/>
          <w:color w:val="auto"/>
        </w:rPr>
        <w:t>Cash provided by investing activities was $1.6 million for the three-month period ended March 31, 2023, due to $6.1 million of proceeds from interest rate caps and $0.1 million of net proceeds from short-term investments, partially offset by $4.6 million of capital expenditures noted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for the three-month period ended March 31, 2024 was $13.3 million due to share repurchases, principal payments on the Term Loan Facility and stock-based compensation activities.</w:t>
      </w:r>
    </w:p>
    <w:p>
      <w:pPr>
        <w:spacing w:after="0" w:line="55"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for the three-month period ended March 31, 2023 was $7.4 million, due to stock-based compensation activities and principal payments on the Term Loan Facility.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780" w:firstLine="509"/>
        <w:spacing w:after="0" w:line="281" w:lineRule="auto"/>
        <w:rPr>
          <w:sz w:val="20"/>
          <w:szCs w:val="20"/>
          <w:color w:val="auto"/>
        </w:rPr>
      </w:pPr>
      <w:r>
        <w:rPr>
          <w:rFonts w:ascii="Times New Roman" w:cs="Times New Roman" w:eastAsia="Times New Roman" w:hAnsi="Times New Roman"/>
          <w:sz w:val="18"/>
          <w:szCs w:val="18"/>
          <w:color w:val="auto"/>
        </w:rPr>
        <w:t>Our operations require capital expenditures associated with our ATG network, data centers and regulatory licenses. We capitalize software development costs related to network technology solutions. We also capitalize costs related to the build out of our office locations.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 expenditures for the three-month periods ended March 31, 2024 and 2023 were $4.2 million and $4.6 million, respectively.</w:t>
      </w:r>
    </w:p>
    <w:p>
      <w:pPr>
        <w:spacing w:after="0" w:line="117"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We expect that our capital expenditures will increase in the near term due to Gogo 5G and the build out of the LTE network related to the FCC Reimbursement Program. This increase may be partially offset by reimbursements from the FCC. We expect that our capital expenditures will decrease starting in 2026 as these programs are completed.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Contractual Commitments: </w:t>
      </w:r>
      <w:r>
        <w:rPr>
          <w:rFonts w:ascii="Times New Roman" w:cs="Times New Roman" w:eastAsia="Times New Roman" w:hAnsi="Times New Roman"/>
          <w:sz w:val="17"/>
          <w:szCs w:val="17"/>
          <w:color w:val="auto"/>
        </w:rPr>
        <w:t>We have agreements with various vendors under which we have remaining commitments to purchase hardware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components and development services. Such commitments will become payable as we receive the hardware components or as development services are provided. See Note 15, “Commitments and Contingencies,” to our Unaudited Condensed Consolidated Financial Statements for additional information.</w:t>
      </w:r>
    </w:p>
    <w:p>
      <w:pPr>
        <w:spacing w:after="0" w:line="49"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14, “Leases,” to our Unaudited Condensed Consolidated Financial Statements for additional information.</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96" w:right="5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March 31, 2024 and December 31, 2023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spacing w:after="0" w:line="79" w:lineRule="exact"/>
        <w:rPr>
          <w:sz w:val="20"/>
          <w:szCs w:val="20"/>
          <w:color w:val="auto"/>
        </w:rPr>
      </w:pPr>
    </w:p>
    <w:p>
      <w:pPr>
        <w:jc w:val="both"/>
        <w:ind w:right="520" w:firstLine="509"/>
        <w:spacing w:after="0" w:line="265"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the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March 31, 2024,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notional amount of outstanding debt associated with interest rate cap agreements as of March 31, 2024 was $525.0 million. Based on our March 31, 2024 outstanding variable rate debt balance, a hypothetical one percentage point change in the applicable interest rate would impact our annual interest expense by approximately $2.0 million for the next twelve-month period, which includes the impact of our interest rate caps at a strike rate of 0.75% and the $175 million reduction in the notional amount and an increase of the strike rate to 1.25% that will occur on July 31, 2024. Excluding the impact of our interest rate caps, a hypothetical one percentage point change in the applicable interest rate would impact our annual interest expense by approximately $6.1 million for the next twelve-month period.</w:t>
      </w:r>
    </w:p>
    <w:p>
      <w:pPr>
        <w:spacing w:after="0" w:line="78"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three-month periods ended March 31, 2024 and 2023 by immaterial amounts.</w:t>
      </w:r>
    </w:p>
    <w:p>
      <w:pPr>
        <w:spacing w:after="0" w:line="67"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affected by inflation in the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17"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March 31, 2024. Based upon this evaluation, our Chief Executive Officer and the Chief Financial Officer have concluded that our disclosure controls and procedures were effective as of March 31, 2024.</w:t>
      </w:r>
    </w:p>
    <w:p>
      <w:pPr>
        <w:spacing w:after="0" w:line="74"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See Note 15, “Commitments and Contingencies,” to our Unaudited Condensed Consolidated Financial Statements for a discussion of litigation matters.</w:t>
      </w:r>
    </w:p>
    <w:p>
      <w:pPr>
        <w:spacing w:after="0" w:line="5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18"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3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“Item 1A. Risk Factors” of our 2023 10-K includes a discussion of our risk factors. The information presented below updates, and should be read in conjunction with, the risk factors and information disclosed in our 2023 10-K. Except as set forth below, there have been no material changes to the risk factors previously disclosed in our 2023 10-K.</w:t>
      </w:r>
    </w:p>
    <w:p>
      <w:pPr>
        <w:spacing w:after="0" w:line="6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delayed in deploying Gogo 5G, and may be unsuccessful or further delayed in developing and deploying this or other next generation technologies.</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currently developing a next generation ATG network using 5G technology, unlicensed spectrum, and licensed spectrum. Gogo 5G will be capable of working with different spectrum and supporting different next generation technologies. As previously disclosed, we are delayed in our commercial, nationwide launch of Gogo 5G due to a design error in a non-5G component of our chip, which was designed by a third-party subcontractor of our 5G solution provider. We currently expect the launch of Gogo 5G to occur a few months later than the previously stated fourth quarter of 2024, and are working with our vendors to finalize the schedule.</w:t>
      </w:r>
    </w:p>
    <w:p>
      <w:pPr>
        <w:spacing w:after="0" w:line="74"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There can be no assurance that, during the current delay of our 5G launch, our customers will not seek alternative technologies of competitors. The launch of 5G may, depending on the impact of delays, launch closely in time or shortly after the launch of Gogo Galileo service, which could impede our marketing and sales efforts with respect to either offering, due to possible customer confusion among the offerings or lack of sufficient customer focus on either one during launch. Additionally, while we expect to launch Gogo 5G a few months later than the previously stated fourth quarter of 2024, we cannot assure you that the 5G launch or our launch of other next generation technologies will in fact occur in sufficient time to meet growing user expectations regarding the in-flight connectivity experience and to effectively compete in the business aviation market. The ongoing delay and any future delays could also decrease customer confidence, including from current or prospective customers, in our offerings, and negatively impact our financial position.</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Gogo 5G or any other next generation technology fails to perform as expected, our ability to meet users’ expectations regarding our systems' performance and to effectively compete in our market may be impaired and our business, financial condition and results of operations may be materially adversely affected. Factors heightening the risk of future delays in our 5G network or other next generation technologies, or a failure of such technologies to perform once commercialized, include: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and their ability to continue as a going concern with adequate access to capital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1140" w:right="8120" w:hanging="758"/>
        <w:spacing w:after="0" w:line="375" w:lineRule="auto"/>
        <w:tabs>
          <w:tab w:leader="none" w:pos="76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ind w:left="1140" w:right="6320" w:hanging="758"/>
        <w:spacing w:after="0" w:line="375" w:lineRule="auto"/>
        <w:tabs>
          <w:tab w:leader="none" w:pos="76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Not applicable.</w:t>
      </w:r>
    </w:p>
    <w:p>
      <w:pPr>
        <w:ind w:left="760" w:hanging="378"/>
        <w:spacing w:after="0"/>
        <w:tabs>
          <w:tab w:leader="none" w:pos="7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jc w:val="both"/>
        <w:ind w:left="760" w:firstLine="374"/>
        <w:spacing w:after="0" w:line="255"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purchases of common stock during the three-month period ended March 31, 2024.</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2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220" w:type="dxa"/>
            <w:vAlign w:val="bottom"/>
          </w:tcPr>
          <w:p>
            <w:pPr>
              <w:spacing w:after="0"/>
              <w:rPr>
                <w:sz w:val="12"/>
                <w:szCs w:val="12"/>
                <w:color w:val="auto"/>
              </w:rPr>
            </w:pPr>
          </w:p>
        </w:tc>
        <w:tc>
          <w:tcPr>
            <w:tcW w:w="15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21"/>
        </w:trPr>
        <w:tc>
          <w:tcPr>
            <w:tcW w:w="3320" w:type="dxa"/>
            <w:vAlign w:val="bottom"/>
            <w:vMerge w:val="restart"/>
          </w:tcPr>
          <w:p>
            <w:pPr>
              <w:ind w:left="14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ind w:right="221"/>
              <w:spacing w:after="0"/>
              <w:rPr>
                <w:sz w:val="20"/>
                <w:szCs w:val="20"/>
                <w:color w:val="auto"/>
              </w:rPr>
            </w:pPr>
            <w:r>
              <w:rPr>
                <w:rFonts w:ascii="Times New Roman" w:cs="Times New Roman" w:eastAsia="Times New Roman" w:hAnsi="Times New Roman"/>
                <w:sz w:val="10"/>
                <w:szCs w:val="10"/>
                <w:b w:val="1"/>
                <w:bCs w:val="1"/>
                <w:color w:val="auto"/>
              </w:rPr>
              <w:t>(1)</w:t>
            </w:r>
          </w:p>
        </w:tc>
        <w:tc>
          <w:tcPr>
            <w:tcW w:w="180" w:type="dxa"/>
            <w:vAlign w:val="bottom"/>
          </w:tcPr>
          <w:p>
            <w:pPr>
              <w:spacing w:after="0"/>
              <w:rPr>
                <w:sz w:val="10"/>
                <w:szCs w:val="10"/>
                <w:color w:val="auto"/>
              </w:rPr>
            </w:pPr>
          </w:p>
        </w:tc>
        <w:tc>
          <w:tcPr>
            <w:tcW w:w="1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27"/>
        </w:trPr>
        <w:tc>
          <w:tcPr>
            <w:tcW w:w="332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566,418</w:t>
            </w:r>
          </w:p>
        </w:tc>
        <w:tc>
          <w:tcPr>
            <w:tcW w:w="5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566,418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February 1-29,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572,263</w:t>
            </w:r>
          </w:p>
        </w:tc>
        <w:tc>
          <w:tcPr>
            <w:tcW w:w="5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ind w:left="7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Average price paid per share includes transaction costs associated with the repurchases.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right="860" w:firstLine="509"/>
        <w:spacing w:after="0" w:line="281"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officers adopted, modified or terminated a “Rule 10b5-1 trading arrangement” or “non-Rule 10b5-1 trading arrangement” as such terms are defined in Item 408 of Regulation S-K.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98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98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4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Amended and Restated Employment Agreement, dated March 27, 2024, between Gogo Inc. and Oakleigh Thorne (incorporated by</w:t>
              </w:r>
            </w:hyperlink>
          </w:p>
        </w:tc>
        <w:tc>
          <w:tcPr>
            <w:tcW w:w="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8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reference to Exhibit 10.1 to Form 8-K filed on April 2, 2024 (File No. 001-35975))</w:t>
              </w:r>
            </w:hyperlink>
          </w:p>
        </w:tc>
        <w:tc>
          <w:tcPr>
            <w:tcW w:w="20" w:type="dxa"/>
            <w:vAlign w:val="bottom"/>
            <w:tcBorders>
              <w:bottom w:val="single" w:sz="8" w:color="0000EE"/>
            </w:tcBorders>
          </w:tcPr>
          <w:p>
            <w:pPr>
              <w:spacing w:after="0"/>
              <w:rPr>
                <w:sz w:val="17"/>
                <w:szCs w:val="17"/>
                <w:color w:val="auto"/>
              </w:rPr>
            </w:pPr>
          </w:p>
        </w:tc>
        <w:tc>
          <w:tcPr>
            <w:tcW w:w="3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Amendment No. 2, dated December 13, 2023, to the Employment Agreement between Gogo Business Aviation LLC and Karen Jackson</w:t>
            </w:r>
          </w:p>
        </w:tc>
        <w:tc>
          <w:tcPr>
            <w:tcW w:w="0" w:type="dxa"/>
            <w:vAlign w:val="bottom"/>
          </w:tcPr>
          <w:p>
            <w:pPr>
              <w:spacing w:after="0"/>
              <w:rPr>
                <w:sz w:val="1"/>
                <w:szCs w:val="1"/>
                <w:color w:val="auto"/>
              </w:rPr>
            </w:pPr>
          </w:p>
        </w:tc>
      </w:tr>
      <w:tr>
        <w:trPr>
          <w:trHeight w:val="20"/>
        </w:trPr>
        <w:tc>
          <w:tcPr>
            <w:tcW w:w="1140" w:type="dxa"/>
            <w:vAlign w:val="bottom"/>
            <w:vMerge w:val="restart"/>
          </w:tcPr>
          <w:p>
            <w:pPr>
              <w:jc w:val="right"/>
              <w:ind w:right="374"/>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3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76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Exchange Act Rules 13a-14(a) and 15d-14(a), as adopted pursuant to Section 302 of</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76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tcPr>
          <w:p>
            <w:pPr>
              <w:spacing w:after="0"/>
              <w:rPr>
                <w:sz w:val="24"/>
                <w:szCs w:val="24"/>
                <w:color w:val="auto"/>
              </w:rPr>
            </w:pPr>
          </w:p>
        </w:tc>
        <w:tc>
          <w:tcPr>
            <w:tcW w:w="99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32.2 *</w:t>
            </w: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84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60" w:hanging="821"/>
        <w:spacing w:after="0"/>
        <w:tabs>
          <w:tab w:leader="none" w:pos="12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4" w:lineRule="exact"/>
        <w:rPr>
          <w:rFonts w:ascii="Times New Roman" w:cs="Times New Roman" w:eastAsia="Times New Roman" w:hAnsi="Times New Roman"/>
          <w:sz w:val="18"/>
          <w:szCs w:val="18"/>
          <w:color w:val="auto"/>
        </w:rPr>
      </w:pPr>
    </w:p>
    <w:p>
      <w:pPr>
        <w:ind w:right="4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Gogo Inc.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AMENDMENT NUMBER TWO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EMPLOYMENT AGREEMENT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Amendment Number Two to Amended and Restated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between Gogo Business Aviation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Karen Jackson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December 13, 2023.</w:t>
      </w:r>
    </w:p>
    <w:p>
      <w:pPr>
        <w:spacing w:after="0" w:line="4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Executive have heretofore entered into an Amended and Restated Employment Agreement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February 10, 2020, as amended by Amendment Number One thereto dated as of March 25, 2022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have heretofore entered into a number of waiver letters that deferred both the mutual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deadline and the automatic end date of the Transition Term, in each case as set forth in Section 8(g) of the Agreement; and</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desire to amend the Agreement to reflect their mutual agreement to extend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Transition Term and confirm that Executive’s employment with the Company shall end as of April 1, 2024.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pursuant to Section 17 of the Agreement, the Agreement is hereby amended as follows, effective as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13, 2023:</w:t>
      </w:r>
    </w:p>
    <w:p>
      <w:pPr>
        <w:spacing w:after="0" w:line="74" w:lineRule="exact"/>
        <w:rPr>
          <w:sz w:val="20"/>
          <w:szCs w:val="20"/>
          <w:color w:val="auto"/>
        </w:rPr>
      </w:pPr>
    </w:p>
    <w:p>
      <w:pPr>
        <w:ind w:left="980" w:hanging="418"/>
        <w:spacing w:after="0"/>
        <w:tabs>
          <w:tab w:leader="none" w:pos="9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8(g) of the Agreement is hereby deleted in its entirety and is replaced with the following:</w:t>
      </w:r>
    </w:p>
    <w:p>
      <w:pPr>
        <w:spacing w:after="0" w:line="93" w:lineRule="exact"/>
        <w:rPr>
          <w:rFonts w:ascii="Times New Roman" w:cs="Times New Roman" w:eastAsia="Times New Roman" w:hAnsi="Times New Roman"/>
          <w:sz w:val="22"/>
          <w:szCs w:val="22"/>
          <w:color w:val="auto"/>
        </w:rPr>
      </w:pPr>
    </w:p>
    <w:p>
      <w:pPr>
        <w:jc w:val="both"/>
        <w:ind w:right="20" w:firstLine="1505"/>
        <w:spacing w:after="0" w:line="246" w:lineRule="auto"/>
        <w:tabs>
          <w:tab w:leader="none" w:pos="1823"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Term</w:t>
      </w:r>
      <w:r>
        <w:rPr>
          <w:rFonts w:ascii="Times New Roman" w:cs="Times New Roman" w:eastAsia="Times New Roman" w:hAnsi="Times New Roman"/>
          <w:sz w:val="22"/>
          <w:szCs w:val="22"/>
          <w:color w:val="auto"/>
        </w:rPr>
        <w:t>. The Company and Executive agree that, as of April 1, 2024,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the Company shall automatically end;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Executive has remained continuously employed with the Company from the date hereof through such date (the “</w:t>
      </w:r>
      <w:r>
        <w:rPr>
          <w:rFonts w:ascii="Times New Roman" w:cs="Times New Roman" w:eastAsia="Times New Roman" w:hAnsi="Times New Roman"/>
          <w:sz w:val="22"/>
          <w:szCs w:val="22"/>
          <w:b w:val="1"/>
          <w:bCs w:val="1"/>
          <w:i w:val="1"/>
          <w:iCs w:val="1"/>
          <w:color w:val="auto"/>
        </w:rPr>
        <w:t>Transition Term</w:t>
      </w:r>
      <w:r>
        <w:rPr>
          <w:rFonts w:ascii="Times New Roman" w:cs="Times New Roman" w:eastAsia="Times New Roman" w:hAnsi="Times New Roman"/>
          <w:sz w:val="22"/>
          <w:szCs w:val="22"/>
          <w:color w:val="auto"/>
        </w:rPr>
        <w:t>”).</w:t>
      </w:r>
    </w:p>
    <w:p>
      <w:pPr>
        <w:spacing w:after="0" w:line="62" w:lineRule="exact"/>
        <w:rPr>
          <w:rFonts w:ascii="Times New Roman" w:cs="Times New Roman" w:eastAsia="Times New Roman" w:hAnsi="Times New Roman"/>
          <w:sz w:val="22"/>
          <w:szCs w:val="22"/>
          <w:b w:val="1"/>
          <w:bCs w:val="1"/>
          <w:color w:val="auto"/>
        </w:rPr>
      </w:pPr>
    </w:p>
    <w:p>
      <w:pPr>
        <w:ind w:left="1020" w:hanging="458"/>
        <w:spacing w:after="0"/>
        <w:tabs>
          <w:tab w:leader="none" w:pos="10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by this Amendment, the Agreement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1094105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instrument to be executed by its duly authorized officer and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executed this instrument as of this 13 day of December, 2023.</w:t>
      </w:r>
    </w:p>
    <w:p>
      <w:pPr>
        <w:spacing w:after="0" w:line="3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Gogo Business Aviation LLC</w:t>
      </w:r>
    </w:p>
    <w:p>
      <w:pPr>
        <w:spacing w:after="0" w:line="200" w:lineRule="exact"/>
        <w:rPr>
          <w:sz w:val="20"/>
          <w:szCs w:val="20"/>
          <w:color w:val="auto"/>
        </w:rPr>
      </w:pP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By: /s/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-13970</wp:posOffset>
            </wp:positionV>
            <wp:extent cx="14116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spacing w:after="0" w:line="7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Name: Oakleigh Thorne</w:t>
      </w:r>
    </w:p>
    <w:p>
      <w:pPr>
        <w:spacing w:after="0" w:line="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u w:val="single" w:color="auto"/>
          <w:color w:val="auto"/>
        </w:rPr>
        <w:t>/s/Karen Jackson</w:t>
      </w:r>
      <w:r>
        <w:rPr>
          <w:rFonts w:ascii="Times New Roman" w:cs="Times New Roman" w:eastAsia="Times New Roman" w:hAnsi="Times New Roman"/>
          <w:sz w:val="22"/>
          <w:szCs w:val="22"/>
          <w:color w:val="auto"/>
        </w:rPr>
        <w:t>_________</w:t>
      </w:r>
    </w:p>
    <w:p>
      <w:pPr>
        <w:spacing w:after="0" w:line="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Karen Jackson</w:t>
      </w:r>
    </w:p>
    <w:p>
      <w:pPr>
        <w:spacing w:after="0" w:line="9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786130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Oakleigh Thorne, certify that:</w:t>
      </w:r>
    </w:p>
    <w:p>
      <w:pPr>
        <w:spacing w:after="0" w:line="80"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2"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60" w:hanging="512"/>
        <w:spacing w:after="0" w:line="265" w:lineRule="auto"/>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Times New Roman" w:cs="Times New Roman" w:eastAsia="Times New Roman" w:hAnsi="Times New Roman"/>
          <w:sz w:val="18"/>
          <w:szCs w:val="18"/>
          <w:color w:val="auto"/>
        </w:rPr>
      </w:pPr>
    </w:p>
    <w:p>
      <w:pPr>
        <w:ind w:left="1020" w:right="500" w:hanging="479"/>
        <w:spacing w:after="0" w:line="297" w:lineRule="auto"/>
        <w:tabs>
          <w:tab w:leader="none" w:pos="89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40" w:hanging="479"/>
        <w:spacing w:after="0" w:line="281" w:lineRule="auto"/>
        <w:tabs>
          <w:tab w:leader="none" w:pos="8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479"/>
        <w:spacing w:after="0" w:line="281" w:lineRule="auto"/>
        <w:tabs>
          <w:tab w:leader="none" w:pos="8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91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Jessica G. Betjemann, certify that:</w:t>
      </w:r>
    </w:p>
    <w:p>
      <w:pPr>
        <w:spacing w:after="0" w:line="80"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2"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60" w:hanging="512"/>
        <w:spacing w:after="0" w:line="265"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Times New Roman" w:cs="Times New Roman" w:eastAsia="Times New Roman" w:hAnsi="Times New Roman"/>
          <w:sz w:val="18"/>
          <w:szCs w:val="18"/>
          <w:color w:val="auto"/>
        </w:rPr>
      </w:pPr>
    </w:p>
    <w:p>
      <w:pPr>
        <w:ind w:left="1020" w:right="500" w:hanging="479"/>
        <w:spacing w:after="0" w:line="297" w:lineRule="auto"/>
        <w:tabs>
          <w:tab w:leader="none" w:pos="89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40" w:hanging="479"/>
        <w:spacing w:after="0" w:line="281" w:lineRule="auto"/>
        <w:tabs>
          <w:tab w:leader="none" w:pos="8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479"/>
        <w:spacing w:after="0" w:line="281" w:lineRule="auto"/>
        <w:tabs>
          <w:tab w:leader="none" w:pos="8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7,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 Oakleigh Thorne, Chief Executive Officer and Chair of the Board of Gogo Inc. (the “Company”), do hereby certify, pursuant to 18 U.S.C. Section 1350, as adopted pursuant to Section 906 of the Sarbanes-Oxley Act of 2002, that to the best of my knowledge:</w:t>
      </w:r>
    </w:p>
    <w:p>
      <w:pPr>
        <w:spacing w:after="0" w:line="163" w:lineRule="exact"/>
        <w:rPr>
          <w:sz w:val="20"/>
          <w:szCs w:val="20"/>
          <w:color w:val="auto"/>
        </w:rPr>
      </w:pPr>
    </w:p>
    <w:p>
      <w:pPr>
        <w:ind w:left="760" w:right="2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2024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91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G. Betjemann, Executive Vice President and Chief Financial Officer of Gogo Inc.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06" w:lineRule="exact"/>
        <w:rPr>
          <w:sz w:val="20"/>
          <w:szCs w:val="20"/>
          <w:color w:val="auto"/>
        </w:rPr>
      </w:pPr>
    </w:p>
    <w:p>
      <w:pPr>
        <w:ind w:left="760" w:right="20" w:hanging="378"/>
        <w:spacing w:after="0" w:line="28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2024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20" w:right="120" w:firstLine="362"/>
        <w:spacing w:after="0" w:line="539" w:lineRule="auto"/>
        <w:tabs>
          <w:tab w:leader="none" w:pos="7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7, 2024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6"/>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decimal"/>
      <w:start w:val="8"/>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9"/>
    </w:lvl>
  </w:abstractNum>
  <w:abstractNum w:abstractNumId="12">
    <w:nsid w:val="B03E0C6"/>
    <w:multiLevelType w:val="hybridMultilevel"/>
    <w:lvl w:ilvl="0">
      <w:lvlJc w:val="left"/>
      <w:lvlText w:val="%1."/>
      <w:numFmt w:val="decimal"/>
      <w:start w:val="10"/>
    </w:lvl>
  </w:abstractNum>
  <w:abstractNum w:abstractNumId="13">
    <w:nsid w:val="189A769B"/>
    <w:multiLevelType w:val="hybridMultilevel"/>
    <w:lvl w:ilvl="0">
      <w:lvlJc w:val="left"/>
      <w:lvlText w:val="%1."/>
      <w:numFmt w:val="decimal"/>
      <w:start w:val="11"/>
    </w:lvl>
    <w:lvl w:ilvl="1">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2"/>
    </w:lvl>
  </w:abstractNum>
  <w:abstractNum w:abstractNumId="16">
    <w:nsid w:val="2CA88611"/>
    <w:multiLevelType w:val="hybridMultilevel"/>
    <w:lvl w:ilvl="0">
      <w:lvlJc w:val="left"/>
      <w:lvlText w:val="%1."/>
      <w:numFmt w:val="decimal"/>
      <w:start w:val="13"/>
    </w:lvl>
  </w:abstractNum>
  <w:abstractNum w:abstractNumId="17">
    <w:nsid w:val="836C40E"/>
    <w:multiLevelType w:val="hybridMultilevel"/>
    <w:lvl w:ilvl="0">
      <w:lvlJc w:val="left"/>
      <w:lvlText w:val="%1."/>
      <w:numFmt w:val="decimal"/>
      <w:start w:val="14"/>
    </w:lvl>
  </w:abstractNum>
  <w:abstractNum w:abstractNumId="18">
    <w:nsid w:val="2901D82"/>
    <w:multiLevelType w:val="hybridMultilevel"/>
    <w:lvl w:ilvl="0">
      <w:lvlJc w:val="left"/>
      <w:lvlText w:val="%1."/>
      <w:numFmt w:val="decimal"/>
      <w:start w:val="15"/>
    </w:lvl>
  </w:abstractNum>
  <w:abstractNum w:abstractNumId="19">
    <w:nsid w:val="3A95F874"/>
    <w:multiLevelType w:val="hybridMultilevel"/>
    <w:lvl w:ilvl="0">
      <w:lvlJc w:val="left"/>
      <w:lvlText w:val="%1."/>
      <w:numFmt w:val="decimal"/>
      <w:start w:val="16"/>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lvl w:ilvl="1">
      <w:lvlJc w:val="left"/>
      <w:lvlText w:val="▪"/>
      <w:numFmt w:val="bullet"/>
      <w:start w:val="1"/>
    </w:lvl>
  </w:abstractNum>
  <w:abstractNum w:abstractNumId="29">
    <w:nsid w:val="419AC241"/>
    <w:multiLevelType w:val="hybridMultilevel"/>
    <w:lvl w:ilvl="0">
      <w:lvlJc w:val="left"/>
      <w:lvlText w:val="o"/>
      <w:numFmt w:val="bullet"/>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
      <w:numFmt w:val="bullet"/>
      <w:start w:val="1"/>
    </w:lvl>
    <w:lvl w:ilvl="1">
      <w:lvlJc w:val="left"/>
      <w:lvlText w:val="%2"/>
      <w:numFmt w:val="decimal"/>
      <w:start w:val="104"/>
    </w:lvl>
  </w:abstractNum>
  <w:abstractNum w:abstractNumId="34">
    <w:nsid w:val="77465F01"/>
    <w:multiLevelType w:val="hybridMultilevel"/>
    <w:lvl w:ilvl="0">
      <w:lvlJc w:val="left"/>
      <w:lvlText w:val="%1."/>
      <w:numFmt w:val="decimal"/>
      <w:start w:val="1"/>
    </w:lvl>
    <w:lvl w:ilvl="1">
      <w:lvlJc w:val="left"/>
      <w:lvlText w:val="(%2)"/>
      <w:numFmt w:val="lowerLetter"/>
      <w:start w:val="7"/>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45" Type="http://schemas.openxmlformats.org/officeDocument/2006/relationships/hyperlink" Target="https://www.sec.gov/ix?doc=/Archives/edgar/data/1537054/000095017024040124/gogo-202404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2024-05-07T15:21:47Z</dcterms:created>
  <dcterms:modified xsi:type="dcterms:W3CDTF">2024-05-07T15:21:47Z</dcterms:modified>
</cp:coreProperties>
</file>