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5" w:lineRule="exact"/>
        <w:rPr>
          <w:sz w:val="24"/>
          <w:szCs w:val="24"/>
          <w:color w:val="auto"/>
        </w:rPr>
      </w:pPr>
    </w:p>
    <w:p>
      <w:pPr>
        <w:ind w:left="860" w:hanging="839"/>
        <w:spacing w:after="0"/>
        <w:tabs>
          <w:tab w:leader="none" w:pos="860" w:val="left"/>
        </w:tabs>
        <w:numPr>
          <w:ilvl w:val="0"/>
          <w:numId w:val="1"/>
        </w:numPr>
        <w:rPr>
          <w:rFonts w:ascii="MS PGothic" w:cs="MS PGothic" w:eastAsia="MS PGothic" w:hAnsi="MS PGothic"/>
          <w:sz w:val="34"/>
          <w:szCs w:val="34"/>
          <w:color w:val="auto"/>
          <w:highlight w:val="black"/>
          <w:vertAlign w:val="superscript"/>
        </w:rPr>
      </w:pPr>
      <w:r>
        <w:rPr>
          <w:rFonts w:ascii="Arial" w:cs="Arial" w:eastAsia="Arial" w:hAnsi="Arial"/>
          <w:sz w:val="17"/>
          <w:szCs w:val="17"/>
          <w:b w:val="1"/>
          <w:bCs w:val="1"/>
          <w:color w:val="auto"/>
        </w:rPr>
        <w:t>QUARTERLY REPORT PURSUANT TO SECTION 13 OR 15(d) OF THE SECURITIES EXCHANGE ACT OF 1934.</w:t>
      </w:r>
    </w:p>
    <w:p>
      <w:pPr>
        <w:spacing w:after="0" w:line="47" w:lineRule="exact"/>
        <w:rPr>
          <w:sz w:val="24"/>
          <w:szCs w:val="24"/>
          <w:color w:val="auto"/>
        </w:rPr>
      </w:pPr>
    </w:p>
    <w:p>
      <w:pPr>
        <w:ind w:left="860"/>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700" w:hanging="679"/>
        <w:spacing w:after="0" w:line="189" w:lineRule="auto"/>
        <w:tabs>
          <w:tab w:leader="none" w:pos="70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48" w:lineRule="exact"/>
        <w:rPr>
          <w:sz w:val="24"/>
          <w:szCs w:val="24"/>
          <w:color w:val="auto"/>
        </w:rPr>
      </w:pPr>
    </w:p>
    <w:p>
      <w:pPr>
        <w:ind w:left="70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Gogo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409" w:right="399" w:bottom="1440" w:gutter="0" w:footer="0" w:header="0"/>
        </w:sectPr>
      </w:pPr>
    </w:p>
    <w:p>
      <w:pPr>
        <w:spacing w:after="0" w:line="111"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27-1650905</w:t>
      </w:r>
    </w:p>
    <w:p>
      <w:pPr>
        <w:spacing w:after="0" w:line="50" w:lineRule="exact"/>
        <w:rPr>
          <w:sz w:val="24"/>
          <w:szCs w:val="24"/>
          <w:color w:val="auto"/>
        </w:rPr>
      </w:pPr>
    </w:p>
    <w:p>
      <w:pPr>
        <w:sectPr>
          <w:pgSz w:w="11900" w:h="16838" w:orient="portrait"/>
          <w:cols w:equalWidth="0" w:num="2">
            <w:col w:w="7340" w:space="720"/>
            <w:col w:w="3120"/>
          </w:cols>
          <w:pgMar w:left="320" w:top="409" w:right="399" w:bottom="1440" w:gutter="0" w:footer="0" w:header="0"/>
          <w:type w:val="continuous"/>
        </w:sectPr>
      </w:pPr>
    </w:p>
    <w:p>
      <w:pPr>
        <w:jc w:val="center"/>
        <w:ind w:right="1720"/>
        <w:spacing w:after="0"/>
        <w:rPr>
          <w:sz w:val="20"/>
          <w:szCs w:val="20"/>
          <w:color w:val="auto"/>
        </w:rPr>
      </w:pPr>
      <w:r>
        <w:rPr>
          <w:rFonts w:ascii="Arial" w:cs="Arial" w:eastAsia="Arial" w:hAnsi="Arial"/>
          <w:sz w:val="14"/>
          <w:szCs w:val="14"/>
          <w:color w:val="auto"/>
        </w:rPr>
        <w:t>(State or other jurisdiction of</w:t>
      </w:r>
    </w:p>
    <w:p>
      <w:pPr>
        <w:spacing w:after="0" w:line="8" w:lineRule="exact"/>
        <w:rPr>
          <w:sz w:val="24"/>
          <w:szCs w:val="24"/>
          <w:color w:val="auto"/>
        </w:rPr>
      </w:pPr>
    </w:p>
    <w:p>
      <w:pPr>
        <w:jc w:val="center"/>
        <w:ind w:right="17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7240" w:space="720"/>
            <w:col w:w="3220"/>
          </w:cols>
          <w:pgMar w:left="320" w:top="409" w:right="39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111 North Canal St., Suite 1400</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Chicago, IL 60606</w:t>
      </w:r>
    </w:p>
    <w:p>
      <w:pPr>
        <w:jc w:val="center"/>
        <w:ind w:right="-59"/>
        <w:spacing w:after="0"/>
        <w:rPr>
          <w:sz w:val="20"/>
          <w:szCs w:val="20"/>
          <w:color w:val="auto"/>
        </w:rPr>
      </w:pPr>
      <w:r>
        <w:rPr>
          <w:rFonts w:ascii="Arial" w:cs="Arial" w:eastAsia="Arial" w:hAnsi="Arial"/>
          <w:sz w:val="14"/>
          <w:szCs w:val="14"/>
          <w:color w:val="auto"/>
        </w:rPr>
        <w:t>(Address of principal executive offices)</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Number (303) 301-3271</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3"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320" w:type="dxa"/>
            <w:vAlign w:val="bottom"/>
            <w:gridSpan w:val="2"/>
          </w:tcPr>
          <w:p>
            <w:pPr>
              <w:jc w:val="center"/>
              <w:ind w:right="2560"/>
              <w:spacing w:after="0"/>
              <w:rPr>
                <w:sz w:val="20"/>
                <w:szCs w:val="20"/>
                <w:color w:val="auto"/>
              </w:rPr>
            </w:pPr>
            <w:r>
              <w:rPr>
                <w:rFonts w:ascii="Arial" w:cs="Arial" w:eastAsia="Arial" w:hAnsi="Arial"/>
                <w:sz w:val="14"/>
                <w:szCs w:val="14"/>
                <w:color w:val="auto"/>
                <w:w w:val="93"/>
              </w:rPr>
              <w:t>Title of Class</w:t>
            </w:r>
          </w:p>
        </w:tc>
        <w:tc>
          <w:tcPr>
            <w:tcW w:w="1720" w:type="dxa"/>
            <w:vAlign w:val="bottom"/>
            <w:gridSpan w:val="2"/>
          </w:tcPr>
          <w:p>
            <w:pPr>
              <w:jc w:val="center"/>
              <w:ind w:right="800"/>
              <w:spacing w:after="0"/>
              <w:rPr>
                <w:sz w:val="20"/>
                <w:szCs w:val="20"/>
                <w:color w:val="auto"/>
              </w:rPr>
            </w:pPr>
            <w:r>
              <w:rPr>
                <w:rFonts w:ascii="Arial" w:cs="Arial" w:eastAsia="Arial" w:hAnsi="Arial"/>
                <w:sz w:val="14"/>
                <w:szCs w:val="14"/>
                <w:color w:val="auto"/>
                <w:w w:val="93"/>
              </w:rPr>
              <w:t>Trading Symbol</w:t>
            </w:r>
          </w:p>
        </w:tc>
        <w:tc>
          <w:tcPr>
            <w:tcW w:w="3480" w:type="dxa"/>
            <w:vAlign w:val="bottom"/>
            <w:gridSpan w:val="2"/>
          </w:tcPr>
          <w:p>
            <w:pPr>
              <w:jc w:val="center"/>
              <w:ind w:left="728"/>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4220" w:type="dxa"/>
            <w:vAlign w:val="bottom"/>
            <w:gridSpan w:val="3"/>
          </w:tcPr>
          <w:p>
            <w:pPr>
              <w:jc w:val="center"/>
              <w:ind w:right="1680"/>
              <w:spacing w:after="0"/>
              <w:rPr>
                <w:sz w:val="20"/>
                <w:szCs w:val="20"/>
                <w:color w:val="auto"/>
              </w:rPr>
            </w:pPr>
            <w:r>
              <w:rPr>
                <w:rFonts w:ascii="Arial" w:cs="Arial" w:eastAsia="Arial" w:hAnsi="Arial"/>
                <w:sz w:val="14"/>
                <w:szCs w:val="14"/>
                <w:color w:val="auto"/>
                <w:w w:val="91"/>
              </w:rPr>
              <w:t>Common stock, par value $0.0001 per share</w:t>
            </w:r>
          </w:p>
        </w:tc>
        <w:tc>
          <w:tcPr>
            <w:tcW w:w="1720" w:type="dxa"/>
            <w:vAlign w:val="bottom"/>
            <w:gridSpan w:val="2"/>
          </w:tcPr>
          <w:p>
            <w:pPr>
              <w:jc w:val="center"/>
              <w:ind w:right="800"/>
              <w:spacing w:after="0"/>
              <w:rPr>
                <w:sz w:val="20"/>
                <w:szCs w:val="20"/>
                <w:color w:val="auto"/>
              </w:rPr>
            </w:pPr>
            <w:r>
              <w:rPr>
                <w:rFonts w:ascii="Arial" w:cs="Arial" w:eastAsia="Arial" w:hAnsi="Arial"/>
                <w:sz w:val="14"/>
                <w:szCs w:val="14"/>
                <w:color w:val="auto"/>
                <w:w w:val="91"/>
              </w:rPr>
              <w:t>GOGO</w:t>
            </w:r>
          </w:p>
        </w:tc>
        <w:tc>
          <w:tcPr>
            <w:tcW w:w="8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189"/>
        </w:trPr>
        <w:tc>
          <w:tcPr>
            <w:tcW w:w="4220" w:type="dxa"/>
            <w:vAlign w:val="bottom"/>
            <w:gridSpan w:val="3"/>
          </w:tcPr>
          <w:p>
            <w:pPr>
              <w:jc w:val="center"/>
              <w:ind w:right="1660"/>
              <w:spacing w:after="0"/>
              <w:rPr>
                <w:sz w:val="20"/>
                <w:szCs w:val="20"/>
                <w:color w:val="auto"/>
              </w:rPr>
            </w:pPr>
            <w:r>
              <w:rPr>
                <w:rFonts w:ascii="Arial" w:cs="Arial" w:eastAsia="Arial" w:hAnsi="Arial"/>
                <w:sz w:val="14"/>
                <w:szCs w:val="14"/>
                <w:color w:val="auto"/>
                <w:w w:val="92"/>
              </w:rPr>
              <w:t>Preferred Stock Purchase Rights</w:t>
            </w:r>
          </w:p>
        </w:tc>
        <w:tc>
          <w:tcPr>
            <w:tcW w:w="1720" w:type="dxa"/>
            <w:vAlign w:val="bottom"/>
            <w:gridSpan w:val="2"/>
          </w:tcPr>
          <w:p>
            <w:pPr>
              <w:jc w:val="center"/>
              <w:ind w:right="780"/>
              <w:spacing w:after="0"/>
              <w:rPr>
                <w:sz w:val="20"/>
                <w:szCs w:val="20"/>
                <w:color w:val="auto"/>
              </w:rPr>
            </w:pPr>
            <w:r>
              <w:rPr>
                <w:rFonts w:ascii="Arial" w:cs="Arial" w:eastAsia="Arial" w:hAnsi="Arial"/>
                <w:sz w:val="14"/>
                <w:szCs w:val="14"/>
                <w:color w:val="auto"/>
                <w:w w:val="96"/>
              </w:rPr>
              <w:t>GOGO</w:t>
            </w:r>
          </w:p>
        </w:tc>
        <w:tc>
          <w:tcPr>
            <w:tcW w:w="80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r>
    </w:tbl>
    <w:p>
      <w:pPr>
        <w:spacing w:after="0" w:line="115" w:lineRule="exact"/>
        <w:rPr>
          <w:sz w:val="24"/>
          <w:szCs w:val="24"/>
          <w:color w:val="auto"/>
        </w:rPr>
      </w:pPr>
    </w:p>
    <w:p>
      <w:pPr>
        <w:ind w:right="60" w:firstLine="509"/>
        <w:spacing w:after="0" w:line="24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5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9" w:lineRule="exact"/>
        <w:rPr>
          <w:sz w:val="24"/>
          <w:szCs w:val="24"/>
          <w:color w:val="auto"/>
        </w:rPr>
      </w:pPr>
    </w:p>
    <w:p>
      <w:pPr>
        <w:spacing w:after="0" w:line="161" w:lineRule="exact"/>
        <w:tabs>
          <w:tab w:leader="none" w:pos="8620" w:val="left"/>
          <w:tab w:leader="none" w:pos="9220" w:val="left"/>
        </w:tabs>
        <w:rPr>
          <w:sz w:val="20"/>
          <w:szCs w:val="20"/>
          <w:color w:val="auto"/>
        </w:rPr>
      </w:pPr>
      <w:r>
        <w:rPr>
          <w:rFonts w:ascii="Arial" w:cs="Arial" w:eastAsia="Arial" w:hAnsi="Arial"/>
          <w:sz w:val="14"/>
          <w:szCs w:val="14"/>
          <w:color w:val="auto"/>
        </w:rPr>
        <w:t>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ind w:right="100" w:firstLine="509"/>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58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20" w:right="282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29, 2021, 109,953,885 shares of $0.0001 par value common stock were outstanding.</w:t>
      </w:r>
    </w:p>
    <w:p>
      <w:pPr>
        <w:spacing w:after="0" w:line="200" w:lineRule="exact"/>
        <w:rPr>
          <w:sz w:val="24"/>
          <w:szCs w:val="24"/>
          <w:color w:val="auto"/>
        </w:rPr>
      </w:pP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9" w:right="3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Gogo Inc.</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Page</w:t>
            </w:r>
          </w:p>
        </w:tc>
      </w:tr>
      <w:tr>
        <w:trPr>
          <w:trHeight w:val="203"/>
        </w:trPr>
        <w:tc>
          <w:tcPr>
            <w:tcW w:w="1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Part I.</w:t>
            </w:r>
          </w:p>
        </w:tc>
        <w:tc>
          <w:tcPr>
            <w:tcW w:w="9500" w:type="dxa"/>
            <w:vAlign w:val="bottom"/>
            <w:gridSpan w:val="15"/>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56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0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0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Condensed 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0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Condensed Consolidated Statements of Comprehensive Income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0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0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Unaudited Condensed Consolidated Statements of Stockholders’ Equity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0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Management’s Discussion and Analysis of Financial Condition and Results of Operations</w:t>
              </w:r>
            </w:hyperlink>
          </w:p>
        </w:tc>
        <w:tc>
          <w:tcPr>
            <w:tcW w:w="3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1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80" w:type="dxa"/>
            <w:vAlign w:val="bottom"/>
            <w:tcBorders>
              <w:left w:val="single" w:sz="8" w:color="0000FF"/>
            </w:tcBorders>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9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gridSpan w:val="15"/>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Other Information</w:t>
              </w:r>
            </w:hyperlink>
          </w:p>
        </w:tc>
        <w:tc>
          <w:tcPr>
            <w:tcW w:w="5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00" w:type="dxa"/>
            <w:vAlign w:val="bottom"/>
            <w:gridSpan w:val="1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2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7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0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00" w:type="dxa"/>
            <w:vAlign w:val="bottom"/>
            <w:gridSpan w:val="15"/>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6"/>
        </w:trPr>
        <w:tc>
          <w:tcPr>
            <w:tcW w:w="1160" w:type="dxa"/>
            <w:vAlign w:val="bottom"/>
            <w:gridSpan w:val="2"/>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133,233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435,345</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$711 and $1,044, respectively</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40,354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39,833</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36,921</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21"/>
                <w:szCs w:val="21"/>
                <w:color w:val="auto"/>
              </w:rPr>
            </w:pPr>
          </w:p>
        </w:tc>
      </w:tr>
      <w:tr>
        <w:trPr>
          <w:trHeight w:val="250"/>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240,472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63,493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48,162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52,693</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Other non-current assets, net of allowances of $431 and $375, respectively</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24,757</w:t>
            </w: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FF0FC"/>
            </w:tcBorders>
          </w:tcPr>
          <w:p>
            <w:pPr>
              <w:spacing w:after="0"/>
              <w:rPr>
                <w:sz w:val="21"/>
                <w:szCs w:val="21"/>
                <w:color w:val="auto"/>
              </w:rPr>
            </w:pPr>
          </w:p>
        </w:tc>
      </w:tr>
      <w:tr>
        <w:trPr>
          <w:trHeight w:val="243"/>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202,733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443,205</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673,588</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94,816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83,009</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341,000</w:t>
            </w:r>
          </w:p>
        </w:tc>
        <w:tc>
          <w:tcPr>
            <w:tcW w:w="100" w:type="dxa"/>
            <w:vAlign w:val="bottom"/>
          </w:tcPr>
          <w:p>
            <w:pPr>
              <w:spacing w:after="0"/>
              <w:rPr>
                <w:sz w:val="21"/>
                <w:szCs w:val="21"/>
                <w:color w:val="auto"/>
              </w:rPr>
            </w:pPr>
          </w:p>
        </w:tc>
      </w:tr>
      <w:tr>
        <w:trPr>
          <w:trHeight w:val="250"/>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220,395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438,135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695,894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827,968</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77,774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38,018</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783,047</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876,567</w:t>
            </w:r>
          </w:p>
        </w:tc>
        <w:tc>
          <w:tcPr>
            <w:tcW w:w="100" w:type="dxa"/>
            <w:vAlign w:val="bottom"/>
          </w:tcPr>
          <w:p>
            <w:pPr>
              <w:spacing w:after="0"/>
              <w:rPr>
                <w:sz w:val="21"/>
                <w:szCs w:val="21"/>
                <w:color w:val="auto"/>
              </w:rPr>
            </w:pPr>
          </w:p>
        </w:tc>
      </w:tr>
      <w:tr>
        <w:trPr>
          <w:trHeight w:val="250"/>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1,003,442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1,314,702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Common stock, par value $0.0001 per share; 500,000,000 shares authorized at September 30, 2021</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and December 31, 2020; 116,541,881 and 91,086,191 shares issued at September 30, 2021 and</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December 31, 2020, respectively; and 109,926,367 and 85,990,499 shares outstanding at September</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30, 2021 and December 31, 2020, respectively</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1,240,231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1,088,590</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(1,339 )</w:t>
            </w: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(1,013 )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Treasury stock, at cost</w:t>
            </w: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(128,803 )</w:t>
            </w:r>
          </w:p>
        </w:tc>
        <w:tc>
          <w:tcPr>
            <w:tcW w:w="2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(98,857 )</w:t>
            </w: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(1,670,337 )</w:t>
            </w: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(1,629,843 )</w:t>
            </w:r>
          </w:p>
        </w:tc>
      </w:tr>
      <w:tr>
        <w:trPr>
          <w:trHeight w:val="20"/>
        </w:trPr>
        <w:tc>
          <w:tcPr>
            <w:tcW w:w="7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b w:val="1"/>
                <w:bCs w:val="1"/>
                <w:color w:val="auto"/>
              </w:rPr>
              <w:t>Total stockholders’ deficit</w:t>
            </w: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(560,237 )</w:t>
            </w:r>
          </w:p>
        </w:tc>
        <w:tc>
          <w:tcPr>
            <w:tcW w:w="2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(641,114 )</w:t>
            </w:r>
          </w:p>
        </w:tc>
      </w:tr>
      <w:tr>
        <w:trPr>
          <w:trHeight w:val="2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673,588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-5122545</wp:posOffset>
            </wp:positionV>
            <wp:extent cx="180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-5122545</wp:posOffset>
            </wp:positionV>
            <wp:extent cx="5969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-4315460</wp:posOffset>
            </wp:positionV>
            <wp:extent cx="20574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-4315460</wp:posOffset>
            </wp:positionV>
            <wp:extent cx="8509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-2790825</wp:posOffset>
            </wp:positionV>
            <wp:extent cx="1803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-2790825</wp:posOffset>
            </wp:positionV>
            <wp:extent cx="596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-2131060</wp:posOffset>
            </wp:positionV>
            <wp:extent cx="180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-2131060</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-1788160</wp:posOffset>
            </wp:positionV>
            <wp:extent cx="180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-1788160</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-365125</wp:posOffset>
            </wp:positionV>
            <wp:extent cx="180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1803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803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5"/>
                <w:szCs w:val="15"/>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r>
      <w:tr>
        <w:trPr>
          <w:trHeight w:val="196"/>
        </w:trPr>
        <w:tc>
          <w:tcPr>
            <w:tcW w:w="57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66,204</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53,324</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190,326</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155,083</w:t>
            </w:r>
          </w:p>
        </w:tc>
        <w:tc>
          <w:tcPr>
            <w:tcW w:w="100" w:type="dxa"/>
            <w:vAlign w:val="bottom"/>
          </w:tcPr>
          <w:p>
            <w:pPr>
              <w:spacing w:after="0"/>
              <w:rPr>
                <w:sz w:val="21"/>
                <w:szCs w:val="21"/>
                <w:color w:val="auto"/>
              </w:rPr>
            </w:pPr>
          </w:p>
        </w:tc>
      </w:tr>
      <w:tr>
        <w:trPr>
          <w:trHeight w:val="257"/>
        </w:trPr>
        <w:tc>
          <w:tcPr>
            <w:tcW w:w="5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Equipment revenue</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20,968</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53,090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72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87,172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243,416</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192,084</w:t>
            </w:r>
          </w:p>
        </w:tc>
        <w:tc>
          <w:tcPr>
            <w:tcW w:w="100" w:type="dxa"/>
            <w:vAlign w:val="bottom"/>
          </w:tcPr>
          <w:p>
            <w:pPr>
              <w:spacing w:after="0"/>
              <w:rPr>
                <w:sz w:val="21"/>
                <w:szCs w:val="21"/>
                <w:color w:val="auto"/>
              </w:rPr>
            </w:pPr>
          </w:p>
        </w:tc>
      </w:tr>
      <w:tr>
        <w:trPr>
          <w:trHeight w:val="257"/>
        </w:trPr>
        <w:tc>
          <w:tcPr>
            <w:tcW w:w="57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service revenue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Cost of equipment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12,368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31,582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24,036</w:t>
            </w: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Engineering, design and development</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4,510</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17,992</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14,093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15,250</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36,378</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r>
      <w:tr>
        <w:trPr>
          <w:trHeight w:val="250"/>
        </w:trPr>
        <w:tc>
          <w:tcPr>
            <w:tcW w:w="5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44,305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155,117</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60,655</w:t>
            </w:r>
          </w:p>
        </w:tc>
        <w:tc>
          <w:tcPr>
            <w:tcW w:w="100" w:type="dxa"/>
            <w:vAlign w:val="bottom"/>
          </w:tcPr>
          <w:p>
            <w:pPr>
              <w:spacing w:after="0"/>
              <w:rPr>
                <w:sz w:val="21"/>
                <w:szCs w:val="21"/>
                <w:color w:val="auto"/>
              </w:rPr>
            </w:pPr>
          </w:p>
        </w:tc>
      </w:tr>
      <w:tr>
        <w:trPr>
          <w:trHeight w:val="257"/>
        </w:trPr>
        <w:tc>
          <w:tcPr>
            <w:tcW w:w="57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(36 )</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(145 )</w:t>
            </w: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(689 )</w:t>
            </w: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31,199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56,577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93,595</w:t>
            </w: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 and settlement of convertible notes</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83,961</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r>
      <w:tr>
        <w:trPr>
          <w:trHeight w:val="250"/>
        </w:trPr>
        <w:tc>
          <w:tcPr>
            <w:tcW w:w="5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other expense</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140,404</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5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r>
      <w:tr>
        <w:trPr>
          <w:trHeight w:val="257"/>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(8,955 )</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(52,105 )</w:t>
            </w: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(32,263 )</w:t>
            </w: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(65 )</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19,730</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(8,890 )</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(52,548 )</w:t>
            </w: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(32,479 )</w:t>
            </w: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(8,771 )</w:t>
            </w: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(71,234 )</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(13,426 )</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(218,402 )</w:t>
            </w:r>
          </w:p>
        </w:tc>
      </w:tr>
      <w:tr>
        <w:trPr>
          <w:trHeight w:val="20"/>
        </w:trPr>
        <w:tc>
          <w:tcPr>
            <w:tcW w:w="5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10,959</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(80,124 )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(65,974 )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(250,881 )</w:t>
            </w:r>
          </w:p>
        </w:tc>
      </w:tr>
      <w:tr>
        <w:trPr>
          <w:trHeight w:val="244"/>
        </w:trPr>
        <w:tc>
          <w:tcPr>
            <w:tcW w:w="572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attributable to common stock per share - basic:</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(0.11 )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(0.52 )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(0.40 )</w:t>
            </w:r>
          </w:p>
        </w:tc>
      </w:tr>
      <w:tr>
        <w:trPr>
          <w:trHeight w:val="256"/>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(0.08 )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(0.86 )</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(0.13 )</w:t>
            </w: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(2.67 )</w:t>
            </w:r>
          </w:p>
        </w:tc>
      </w:tr>
      <w:tr>
        <w:trPr>
          <w:trHeight w:val="20"/>
        </w:trPr>
        <w:tc>
          <w:tcPr>
            <w:tcW w:w="5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common stock per share - 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(0.97 )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(0.65 )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(3.07 )</w:t>
            </w: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7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w w:val="98"/>
              </w:rPr>
              <w:t>Net income (loss) attributable to common stock per share - diluted:</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(0.40 )</w:t>
            </w:r>
          </w:p>
        </w:tc>
      </w:tr>
      <w:tr>
        <w:trPr>
          <w:trHeight w:val="250"/>
        </w:trPr>
        <w:tc>
          <w:tcPr>
            <w:tcW w:w="572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(0.86 )</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(0.13 )</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(2.67 )</w:t>
            </w:r>
          </w:p>
        </w:tc>
      </w:tr>
      <w:tr>
        <w:trPr>
          <w:trHeight w:val="20"/>
        </w:trPr>
        <w:tc>
          <w:tcPr>
            <w:tcW w:w="5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9"/>
              </w:rPr>
              <w:t>Net income (loss) attributable to common stock per share - diluted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(0.97 )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(0.65 )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(3.07 )</w:t>
            </w:r>
          </w:p>
        </w:tc>
      </w:tr>
      <w:tr>
        <w:trPr>
          <w:trHeight w:val="244"/>
        </w:trPr>
        <w:tc>
          <w:tcPr>
            <w:tcW w:w="572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number of shares</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101,189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81,892</w:t>
            </w:r>
          </w:p>
        </w:tc>
        <w:tc>
          <w:tcPr>
            <w:tcW w:w="10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133,160</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82,707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101,189</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-6408420</wp:posOffset>
            </wp:positionV>
            <wp:extent cx="1543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-6408420</wp:posOffset>
            </wp:positionV>
            <wp:extent cx="1543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-6408420</wp:posOffset>
            </wp:positionV>
            <wp:extent cx="1371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-6408420</wp:posOffset>
            </wp:positionV>
            <wp:extent cx="5969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-4754245</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-4754245</wp:posOffset>
            </wp:positionV>
            <wp:extent cx="1543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-4754245</wp:posOffset>
            </wp:positionV>
            <wp:extent cx="1371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-4754245</wp:posOffset>
            </wp:positionV>
            <wp:extent cx="596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-3425190</wp:posOffset>
            </wp:positionV>
            <wp:extent cx="1543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-3425190</wp:posOffset>
            </wp:positionV>
            <wp:extent cx="1543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-3425190</wp:posOffset>
            </wp:positionV>
            <wp:extent cx="1371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-3425190</wp:posOffset>
            </wp:positionV>
            <wp:extent cx="5969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-2425065</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-2407920</wp:posOffset>
            </wp:positionV>
            <wp:extent cx="154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-2425065</wp:posOffset>
            </wp:positionV>
            <wp:extent cx="154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-2407920</wp:posOffset>
            </wp:positionV>
            <wp:extent cx="154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-2425065</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-2407920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-2425065</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-2407920</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-1744980</wp:posOffset>
            </wp:positionV>
            <wp:extent cx="1543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-1744980</wp:posOffset>
            </wp:positionV>
            <wp:extent cx="1543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-1744980</wp:posOffset>
            </wp:positionV>
            <wp:extent cx="1371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-1744980</wp:posOffset>
            </wp:positionV>
            <wp:extent cx="596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-727710</wp:posOffset>
            </wp:positionV>
            <wp:extent cx="154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-711200</wp:posOffset>
            </wp:positionV>
            <wp:extent cx="1543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-727710</wp:posOffset>
            </wp:positionV>
            <wp:extent cx="154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-711200</wp:posOffset>
            </wp:positionV>
            <wp:extent cx="1543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-727710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-711200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-727710</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-711200</wp:posOffset>
            </wp:positionV>
            <wp:extent cx="59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154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1543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154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1543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5"/>
                <w:szCs w:val="15"/>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r>
      <w:tr>
        <w:trPr>
          <w:trHeight w:val="196"/>
        </w:trPr>
        <w:tc>
          <w:tcPr>
            <w:tcW w:w="57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(80,124 )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(65,974 )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(250,881 )</w:t>
            </w: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(32 )</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(2,067 )</w:t>
            </w:r>
          </w:p>
        </w:tc>
      </w:tr>
      <w:tr>
        <w:trPr>
          <w:trHeight w:val="250"/>
        </w:trPr>
        <w:tc>
          <w:tcPr>
            <w:tcW w:w="5700" w:type="dxa"/>
            <w:vAlign w:val="bottom"/>
          </w:tcPr>
          <w:p>
            <w:pPr>
              <w:ind w:left="380"/>
              <w:spacing w:after="0"/>
              <w:rPr>
                <w:sz w:val="20"/>
                <w:szCs w:val="20"/>
                <w:color w:val="auto"/>
              </w:rPr>
            </w:pPr>
            <w:r>
              <w:rPr>
                <w:rFonts w:ascii="Arial" w:cs="Arial" w:eastAsia="Arial" w:hAnsi="Arial"/>
                <w:sz w:val="18"/>
                <w:szCs w:val="18"/>
                <w:color w:val="auto"/>
              </w:rPr>
              <w:t>Cash flow hedges: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unrealized loss</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(432 )</w:t>
            </w: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700" w:type="dxa"/>
            <w:vAlign w:val="bottom"/>
          </w:tcPr>
          <w:p>
            <w:pPr>
              <w:ind w:left="560"/>
              <w:spacing w:after="0"/>
              <w:rPr>
                <w:sz w:val="20"/>
                <w:szCs w:val="20"/>
                <w:color w:val="auto"/>
              </w:rPr>
            </w:pPr>
            <w:r>
              <w:rPr>
                <w:rFonts w:ascii="Arial" w:cs="Arial" w:eastAsia="Arial" w:hAnsi="Arial"/>
                <w:sz w:val="18"/>
                <w:szCs w:val="18"/>
                <w:color w:val="auto"/>
              </w:rPr>
              <w:t>Amount realized and reclassified to earnings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0"/>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fair value of cash flow hedges</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(2 )</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(432 )</w:t>
            </w: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(326 )</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(2,067 )</w:t>
            </w:r>
          </w:p>
        </w:tc>
      </w:tr>
      <w:tr>
        <w:trPr>
          <w:trHeight w:val="20"/>
        </w:trPr>
        <w:tc>
          <w:tcPr>
            <w:tcW w:w="5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w:t>
            </w:r>
          </w:p>
        </w:tc>
        <w:tc>
          <w:tcPr>
            <w:tcW w:w="24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(79,589 )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(66,300 )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(252,948 )</w:t>
            </w: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-365125</wp:posOffset>
            </wp:positionV>
            <wp:extent cx="1543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-365125</wp:posOffset>
            </wp:positionV>
            <wp:extent cx="1543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-365125</wp:posOffset>
            </wp:positionV>
            <wp:extent cx="13716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1543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54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154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154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For the Nine Months</w:t>
      </w:r>
    </w:p>
    <w:p>
      <w:pPr>
        <w:spacing w:after="0" w:line="25"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17145</wp:posOffset>
            </wp:positionV>
            <wp:extent cx="22034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 from continuing operations: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b w:val="1"/>
                <w:bCs w:val="1"/>
                <w:color w:val="auto"/>
              </w:rPr>
              <w:t>Net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(52,548 )</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(32,479 )</w:t>
            </w: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cash provided by operating activities: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11,824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10,117</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Loss on asset disposals, abandonments and write-downs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Provision for expected credit losses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1,048</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income taxes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10,144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8,283</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financing costs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4,355</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Accretion and amortization of debt discount and premium</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10,311</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Losses on extinguishment of debt and settlement of convertible notes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83,961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(520 )</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8,619</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(1,850 )</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(26,794 )</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1,487</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560"/>
              <w:spacing w:after="0"/>
              <w:rPr>
                <w:sz w:val="20"/>
                <w:szCs w:val="20"/>
                <w:color w:val="auto"/>
              </w:rPr>
            </w:pPr>
            <w:r>
              <w:rPr>
                <w:rFonts w:ascii="Arial" w:cs="Arial" w:eastAsia="Arial" w:hAnsi="Arial"/>
                <w:sz w:val="14"/>
                <w:szCs w:val="14"/>
                <w:color w:val="auto"/>
              </w:rPr>
              <w:t>Contract assets</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(4,689 )</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(7,581 )</w:t>
            </w:r>
          </w:p>
        </w:tc>
      </w:tr>
      <w:tr>
        <w:trPr>
          <w:trHeight w:val="209"/>
        </w:trPr>
        <w:tc>
          <w:tcPr>
            <w:tcW w:w="76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560"/>
              <w:spacing w:after="0"/>
              <w:rPr>
                <w:sz w:val="20"/>
                <w:szCs w:val="20"/>
                <w:color w:val="auto"/>
              </w:rPr>
            </w:pPr>
            <w:r>
              <w:rPr>
                <w:rFonts w:ascii="Arial" w:cs="Arial" w:eastAsia="Arial" w:hAnsi="Arial"/>
                <w:sz w:val="14"/>
                <w:szCs w:val="14"/>
                <w:color w:val="auto"/>
              </w:rPr>
              <w:t>Accrued liabilities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16,245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(12,193 )</w:t>
            </w:r>
          </w:p>
        </w:tc>
      </w:tr>
      <w:tr>
        <w:trPr>
          <w:trHeight w:val="209"/>
        </w:trPr>
        <w:tc>
          <w:tcPr>
            <w:tcW w:w="76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Deferred revenue</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(849 )</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560"/>
              <w:spacing w:after="0"/>
              <w:rPr>
                <w:sz w:val="20"/>
                <w:szCs w:val="20"/>
                <w:color w:val="auto"/>
              </w:rPr>
            </w:pPr>
            <w:r>
              <w:rPr>
                <w:rFonts w:ascii="Arial" w:cs="Arial" w:eastAsia="Arial" w:hAnsi="Arial"/>
                <w:sz w:val="14"/>
                <w:szCs w:val="14"/>
                <w:color w:val="auto"/>
              </w:rPr>
              <w:t>Accrued interest</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(7,034 )</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26,379</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Other non-current assets and liabilities</w:t>
            </w:r>
          </w:p>
        </w:tc>
        <w:tc>
          <w:tcPr>
            <w:tcW w:w="9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1,647</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operating activities from continuing operations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36,355</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20,315</w:t>
            </w:r>
          </w:p>
        </w:tc>
        <w:tc>
          <w:tcPr>
            <w:tcW w:w="80" w:type="dxa"/>
            <w:vAlign w:val="bottom"/>
          </w:tcPr>
          <w:p>
            <w:pPr>
              <w:spacing w:after="0"/>
              <w:rPr>
                <w:sz w:val="17"/>
                <w:szCs w:val="17"/>
                <w:color w:val="auto"/>
              </w:rPr>
            </w:pPr>
          </w:p>
        </w:tc>
      </w:tr>
      <w:tr>
        <w:trPr>
          <w:trHeight w:val="202"/>
        </w:trPr>
        <w:tc>
          <w:tcPr>
            <w:tcW w:w="7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 from continuing operations: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Proceeds from sale of property and equipment</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9"/>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(2,833 )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(448 )</w:t>
            </w: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Acquisition of intangible assets—capitalized software</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(1,171 )</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(5,915 )</w:t>
            </w:r>
          </w:p>
        </w:tc>
      </w:tr>
      <w:tr>
        <w:trPr>
          <w:trHeight w:val="203"/>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 of interest rate cap</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(8,629 )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740"/>
              <w:spacing w:after="0"/>
              <w:rPr>
                <w:sz w:val="20"/>
                <w:szCs w:val="20"/>
                <w:color w:val="auto"/>
              </w:rPr>
            </w:pPr>
            <w:r>
              <w:rPr>
                <w:rFonts w:ascii="Arial" w:cs="Arial" w:eastAsia="Arial" w:hAnsi="Arial"/>
                <w:sz w:val="14"/>
                <w:szCs w:val="14"/>
                <w:b w:val="1"/>
                <w:bCs w:val="1"/>
                <w:color w:val="auto"/>
              </w:rPr>
              <w:t>Net cash used in investing activities from continuing operations</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(11,633 )</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(6,363 )</w:t>
            </w:r>
          </w:p>
        </w:tc>
      </w:tr>
      <w:tr>
        <w:trPr>
          <w:trHeight w:val="202"/>
        </w:trPr>
        <w:tc>
          <w:tcPr>
            <w:tcW w:w="76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 from continuing operations: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Proceeds from credit facility draw</w:t>
            </w:r>
          </w:p>
        </w:tc>
        <w:tc>
          <w:tcPr>
            <w:tcW w:w="9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26,000</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Repayments of amounts drawn from credit facility</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(6,000 )</w:t>
            </w: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Repurchase of convertible notes</w:t>
            </w:r>
          </w:p>
        </w:tc>
        <w:tc>
          <w:tcPr>
            <w:tcW w:w="9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(2,498 )</w:t>
            </w: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Redemption of senior secured notes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2"/>
              </w:rPr>
              <w:t>(1,023,146 )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Proceeds from term loan, net of discount</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721,375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Payments on term loan</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(1,813 )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Payment of debt issuance costs</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(20,251 )</w:t>
            </w:r>
          </w:p>
        </w:tc>
        <w:tc>
          <w:tcPr>
            <w:tcW w:w="3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Payments on financing leases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(33 )</w:t>
            </w: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Stock-based compensation activity</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(2,234 )</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(1,428 )</w:t>
            </w:r>
          </w:p>
        </w:tc>
      </w:tr>
      <w:tr>
        <w:trPr>
          <w:trHeight w:val="20"/>
        </w:trPr>
        <w:tc>
          <w:tcPr>
            <w:tcW w:w="7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740"/>
              <w:spacing w:after="0"/>
              <w:rPr>
                <w:sz w:val="20"/>
                <w:szCs w:val="20"/>
                <w:color w:val="auto"/>
              </w:rPr>
            </w:pPr>
            <w:r>
              <w:rPr>
                <w:rFonts w:ascii="Arial" w:cs="Arial" w:eastAsia="Arial" w:hAnsi="Arial"/>
                <w:sz w:val="14"/>
                <w:szCs w:val="14"/>
                <w:b w:val="1"/>
                <w:bCs w:val="1"/>
                <w:color w:val="auto"/>
              </w:rPr>
              <w:t>Net cash provided by (used in) financing activities from continuing operations</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(326,223 )</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16,041</w:t>
            </w:r>
          </w:p>
        </w:tc>
        <w:tc>
          <w:tcPr>
            <w:tcW w:w="80" w:type="dxa"/>
            <w:vAlign w:val="bottom"/>
            <w:shd w:val="clear" w:color="auto" w:fill="CFF0FC"/>
          </w:tcPr>
          <w:p>
            <w:pPr>
              <w:spacing w:after="0"/>
              <w:rPr>
                <w:sz w:val="17"/>
                <w:szCs w:val="17"/>
                <w:color w:val="auto"/>
              </w:rPr>
            </w:pPr>
          </w:p>
        </w:tc>
      </w:tr>
      <w:tr>
        <w:trPr>
          <w:trHeight w:val="19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discontinued operations: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used in operating activities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(809 )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(56,009 )</w:t>
            </w: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Cash used in investing activities</w:t>
            </w:r>
          </w:p>
        </w:tc>
        <w:tc>
          <w:tcPr>
            <w:tcW w:w="9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(28,152 )</w:t>
            </w:r>
          </w:p>
        </w:tc>
      </w:tr>
      <w:tr>
        <w:trPr>
          <w:trHeight w:val="203"/>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used in financing activities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(344 )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740"/>
              <w:spacing w:after="0"/>
              <w:rPr>
                <w:sz w:val="20"/>
                <w:szCs w:val="20"/>
                <w:color w:val="auto"/>
              </w:rPr>
            </w:pPr>
            <w:r>
              <w:rPr>
                <w:rFonts w:ascii="Arial" w:cs="Arial" w:eastAsia="Arial" w:hAnsi="Arial"/>
                <w:sz w:val="14"/>
                <w:szCs w:val="14"/>
                <w:b w:val="1"/>
                <w:bCs w:val="1"/>
                <w:color w:val="auto"/>
              </w:rPr>
              <w:t>Net cash used in discontinued operations</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(809 )</w:t>
            </w:r>
          </w:p>
        </w:tc>
        <w:tc>
          <w:tcPr>
            <w:tcW w:w="38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(84,505 )</w:t>
            </w:r>
          </w:p>
        </w:tc>
      </w:tr>
      <w:tr>
        <w:trPr>
          <w:trHeight w:val="202"/>
        </w:trPr>
        <w:tc>
          <w:tcPr>
            <w:tcW w:w="76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Effect of exchange rate changes on cash</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(19 )</w:t>
            </w:r>
          </w:p>
        </w:tc>
      </w:tr>
      <w:tr>
        <w:trPr>
          <w:trHeight w:val="399"/>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Decrease in cash, cash equivalents and restricted cash</w:t>
            </w:r>
          </w:p>
        </w:tc>
        <w:tc>
          <w:tcPr>
            <w:tcW w:w="9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(302,282 )</w:t>
            </w:r>
          </w:p>
        </w:tc>
        <w:tc>
          <w:tcPr>
            <w:tcW w:w="3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(54,531 )</w:t>
            </w: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435,870</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177,675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133,588</w:t>
            </w:r>
          </w:p>
        </w:tc>
        <w:tc>
          <w:tcPr>
            <w:tcW w:w="26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123,144</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7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8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133,588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123,144</w:t>
            </w:r>
          </w:p>
        </w:tc>
        <w:tc>
          <w:tcPr>
            <w:tcW w:w="80" w:type="dxa"/>
            <w:vAlign w:val="bottom"/>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Less: current restricted cash</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non-current restricted cash</w:t>
            </w:r>
          </w:p>
        </w:tc>
        <w:tc>
          <w:tcPr>
            <w:tcW w:w="9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5,101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133,233</w:t>
            </w:r>
          </w:p>
        </w:tc>
        <w:tc>
          <w:tcPr>
            <w:tcW w:w="26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117,483</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7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7680" w:type="dxa"/>
            <w:vAlign w:val="bottom"/>
          </w:tcPr>
          <w:p>
            <w:pPr>
              <w:ind w:left="380"/>
              <w:spacing w:after="0"/>
              <w:rPr>
                <w:sz w:val="20"/>
                <w:szCs w:val="20"/>
                <w:color w:val="auto"/>
              </w:rPr>
            </w:pPr>
            <w:r>
              <w:rPr>
                <w:rFonts w:ascii="Arial" w:cs="Arial" w:eastAsia="Arial" w:hAnsi="Arial"/>
                <w:sz w:val="14"/>
                <w:szCs w:val="14"/>
                <w:color w:val="auto"/>
              </w:rPr>
              <w:t>Cash paid for interest</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59,660</w:t>
            </w:r>
          </w:p>
        </w:tc>
        <w:tc>
          <w:tcPr>
            <w:tcW w:w="26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53,230</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paid for taxes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-5276850</wp:posOffset>
            </wp:positionV>
            <wp:extent cx="16319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-5276850</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-4359910</wp:posOffset>
            </wp:positionV>
            <wp:extent cx="16319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-4359910</wp:posOffset>
            </wp:positionV>
            <wp:extent cx="514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-2662555</wp:posOffset>
            </wp:positionV>
            <wp:extent cx="16319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-2662555</wp:posOffset>
            </wp:positionV>
            <wp:extent cx="514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-2139315</wp:posOffset>
            </wp:positionV>
            <wp:extent cx="16319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-2139315</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-1350645</wp:posOffset>
            </wp:positionV>
            <wp:extent cx="16319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-1350645</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-673735</wp:posOffset>
            </wp:positionV>
            <wp:extent cx="16319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-673735</wp:posOffset>
            </wp:positionV>
            <wp:extent cx="514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9"/>
          </w:tcPr>
          <w:p>
            <w:pPr>
              <w:ind w:left="480"/>
              <w:spacing w:after="0"/>
              <w:rPr>
                <w:sz w:val="20"/>
                <w:szCs w:val="20"/>
                <w:color w:val="auto"/>
              </w:rPr>
            </w:pPr>
            <w:r>
              <w:rPr>
                <w:rFonts w:ascii="Arial" w:cs="Arial" w:eastAsia="Arial" w:hAnsi="Arial"/>
                <w:sz w:val="13"/>
                <w:szCs w:val="13"/>
                <w:b w:val="1"/>
                <w:bCs w:val="1"/>
                <w:color w:val="auto"/>
                <w:w w:val="89"/>
              </w:rPr>
              <w:t>For the Three Months Ended September 30, 2021</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2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0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Comprehensive</w:t>
            </w: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Par Value</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3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109,695,594</w:t>
            </w:r>
          </w:p>
        </w:tc>
        <w:tc>
          <w:tcPr>
            <w:tcW w:w="160" w:type="dxa"/>
            <w:vAlign w:val="bottom"/>
            <w:tcBorders>
              <w:right w:val="single" w:sz="8" w:color="CFF0FC"/>
            </w:tcBorders>
            <w:shd w:val="clear" w:color="auto" w:fill="CFF0FC"/>
          </w:tcPr>
          <w:p>
            <w:pPr>
              <w:spacing w:after="0"/>
              <w:rPr>
                <w:sz w:val="16"/>
                <w:szCs w:val="16"/>
                <w:color w:val="auto"/>
              </w:rPr>
            </w:pPr>
          </w:p>
        </w:tc>
        <w:tc>
          <w:tcPr>
            <w:tcW w:w="720" w:type="dxa"/>
            <w:vAlign w:val="bottom"/>
            <w:shd w:val="clear" w:color="auto" w:fill="CFF0FC"/>
          </w:tcPr>
          <w:p>
            <w:pPr>
              <w:jc w:val="right"/>
              <w:ind w:right="604"/>
              <w:spacing w:after="0"/>
              <w:rPr>
                <w:sz w:val="20"/>
                <w:szCs w:val="20"/>
                <w:color w:val="auto"/>
              </w:rPr>
            </w:pPr>
            <w:r>
              <w:rPr>
                <w:rFonts w:ascii="Arial" w:cs="Arial" w:eastAsia="Arial" w:hAnsi="Arial"/>
                <w:sz w:val="10"/>
                <w:szCs w:val="10"/>
                <w:color w:val="auto"/>
                <w:w w:val="71"/>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6"/>
              </w:rPr>
              <w:t>11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1,234,111</w:t>
            </w: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(1,305 )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(1,681,296 )</w:t>
            </w:r>
          </w:p>
        </w:tc>
        <w:tc>
          <w:tcPr>
            <w:tcW w:w="160" w:type="dxa"/>
            <w:vAlign w:val="bottom"/>
            <w:shd w:val="clear" w:color="auto" w:fill="CFF0FC"/>
          </w:tcPr>
          <w:p>
            <w:pPr>
              <w:spacing w:after="0"/>
              <w:rPr>
                <w:sz w:val="16"/>
                <w:szCs w:val="16"/>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6,615,449</w:t>
            </w: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ind w:right="35"/>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(128,803 )</w:t>
            </w:r>
          </w:p>
        </w:tc>
        <w:tc>
          <w:tcPr>
            <w:tcW w:w="180" w:type="dxa"/>
            <w:vAlign w:val="bottom"/>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(577,282 )</w:t>
            </w:r>
          </w:p>
        </w:tc>
        <w:tc>
          <w:tcPr>
            <w:tcW w:w="0" w:type="dxa"/>
            <w:vAlign w:val="bottom"/>
          </w:tcPr>
          <w:p>
            <w:pPr>
              <w:spacing w:after="0"/>
              <w:rPr>
                <w:sz w:val="1"/>
                <w:szCs w:val="1"/>
                <w:color w:val="auto"/>
              </w:rPr>
            </w:pP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10,959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10,959</w:t>
            </w:r>
          </w:p>
        </w:tc>
        <w:tc>
          <w:tcPr>
            <w:tcW w:w="0" w:type="dxa"/>
            <w:vAlign w:val="bottom"/>
          </w:tcPr>
          <w:p>
            <w:pPr>
              <w:spacing w:after="0"/>
              <w:rPr>
                <w:sz w:val="1"/>
                <w:szCs w:val="1"/>
                <w:color w:val="auto"/>
              </w:rPr>
            </w:pPr>
          </w:p>
        </w:tc>
      </w:tr>
      <w:tr>
        <w:trPr>
          <w:trHeight w:val="197"/>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Currency translation adjustments, net of tax</w:t>
            </w: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(32 )</w:t>
            </w:r>
          </w:p>
        </w:tc>
        <w:tc>
          <w:tcPr>
            <w:tcW w:w="8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w w:val="96"/>
              </w:rPr>
              <w:t>Fair value adjustments of cash flow hedge, net of tax</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(2 )</w:t>
            </w:r>
          </w:p>
        </w:tc>
        <w:tc>
          <w:tcPr>
            <w:tcW w:w="80" w:type="dxa"/>
            <w:vAlign w:val="bottom"/>
          </w:tcPr>
          <w:p>
            <w:pPr>
              <w:spacing w:after="0"/>
              <w:rPr>
                <w:sz w:val="15"/>
                <w:szCs w:val="15"/>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97"/>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5,601</w:t>
            </w:r>
          </w:p>
        </w:tc>
        <w:tc>
          <w:tcPr>
            <w:tcW w:w="1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5,601</w:t>
            </w:r>
          </w:p>
        </w:tc>
        <w:tc>
          <w:tcPr>
            <w:tcW w:w="0" w:type="dxa"/>
            <w:vAlign w:val="bottom"/>
          </w:tcPr>
          <w:p>
            <w:pPr>
              <w:spacing w:after="0"/>
              <w:rPr>
                <w:sz w:val="1"/>
                <w:szCs w:val="1"/>
                <w:color w:val="auto"/>
              </w:rPr>
            </w:pPr>
          </w:p>
        </w:tc>
      </w:tr>
      <w:tr>
        <w:trPr>
          <w:trHeight w:val="173"/>
        </w:trPr>
        <w:tc>
          <w:tcPr>
            <w:tcW w:w="3120" w:type="dxa"/>
            <w:vAlign w:val="bottom"/>
          </w:tcPr>
          <w:p>
            <w:pPr>
              <w:ind w:left="160"/>
              <w:spacing w:after="0"/>
              <w:rPr>
                <w:sz w:val="20"/>
                <w:szCs w:val="20"/>
                <w:color w:val="auto"/>
              </w:rPr>
            </w:pPr>
            <w:r>
              <w:rPr>
                <w:rFonts w:ascii="Arial" w:cs="Arial" w:eastAsia="Arial" w:hAnsi="Arial"/>
                <w:sz w:val="13"/>
                <w:szCs w:val="13"/>
                <w:color w:val="auto"/>
              </w:rPr>
              <w:t>Issuance of common stock upon exercise of stock</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20" w:type="dxa"/>
            <w:vAlign w:val="bottom"/>
          </w:tcPr>
          <w:p>
            <w:pPr>
              <w:ind w:left="160"/>
              <w:spacing w:after="0"/>
              <w:rPr>
                <w:sz w:val="20"/>
                <w:szCs w:val="20"/>
                <w:color w:val="auto"/>
              </w:rPr>
            </w:pPr>
            <w:r>
              <w:rPr>
                <w:rFonts w:ascii="Arial" w:cs="Arial" w:eastAsia="Arial" w:hAnsi="Arial"/>
                <w:sz w:val="13"/>
                <w:szCs w:val="13"/>
                <w:color w:val="auto"/>
              </w:rPr>
              <w:t>options</w:t>
            </w:r>
          </w:p>
        </w:tc>
        <w:tc>
          <w:tcPr>
            <w:tcW w:w="880" w:type="dxa"/>
            <w:vAlign w:val="bottom"/>
          </w:tcPr>
          <w:p>
            <w:pPr>
              <w:jc w:val="right"/>
              <w:spacing w:after="0"/>
              <w:rPr>
                <w:sz w:val="20"/>
                <w:szCs w:val="20"/>
                <w:color w:val="auto"/>
              </w:rPr>
            </w:pPr>
            <w:r>
              <w:rPr>
                <w:rFonts w:ascii="Arial" w:cs="Arial" w:eastAsia="Arial" w:hAnsi="Arial"/>
                <w:sz w:val="13"/>
                <w:szCs w:val="13"/>
                <w:color w:val="auto"/>
              </w:rPr>
              <w:t>142,545</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81"/>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w w:val="96"/>
              </w:rPr>
              <w:t>Issuance of common stock upon vesting of restricted</w:t>
            </w:r>
          </w:p>
        </w:tc>
        <w:tc>
          <w:tcPr>
            <w:tcW w:w="8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stock units and restricted stock awards</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77,568</w:t>
            </w:r>
          </w:p>
        </w:tc>
        <w:tc>
          <w:tcPr>
            <w:tcW w:w="16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120" w:type="dxa"/>
            <w:vAlign w:val="bottom"/>
          </w:tcPr>
          <w:p>
            <w:pPr>
              <w:ind w:left="160"/>
              <w:spacing w:after="0"/>
              <w:rPr>
                <w:sz w:val="20"/>
                <w:szCs w:val="20"/>
                <w:color w:val="auto"/>
              </w:rPr>
            </w:pPr>
            <w:r>
              <w:rPr>
                <w:rFonts w:ascii="Arial" w:cs="Arial" w:eastAsia="Arial" w:hAnsi="Arial"/>
                <w:sz w:val="13"/>
                <w:szCs w:val="13"/>
                <w:color w:val="auto"/>
                <w:w w:val="97"/>
              </w:rPr>
              <w:t>Tax withholding related to vesting of restricted stock</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20" w:type="dxa"/>
            <w:vAlign w:val="bottom"/>
          </w:tcPr>
          <w:p>
            <w:pPr>
              <w:ind w:left="160"/>
              <w:spacing w:after="0"/>
              <w:rPr>
                <w:sz w:val="20"/>
                <w:szCs w:val="20"/>
                <w:color w:val="auto"/>
              </w:rPr>
            </w:pPr>
            <w:r>
              <w:rPr>
                <w:rFonts w:ascii="Arial" w:cs="Arial" w:eastAsia="Arial" w:hAnsi="Arial"/>
                <w:sz w:val="13"/>
                <w:szCs w:val="13"/>
                <w:color w:val="auto"/>
              </w:rPr>
              <w:t>units</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1"/>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Issuance of common stock in connection with</w:t>
            </w:r>
          </w:p>
        </w:tc>
        <w:tc>
          <w:tcPr>
            <w:tcW w:w="8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employee stock purchase plan</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10,660</w:t>
            </w:r>
          </w:p>
        </w:tc>
        <w:tc>
          <w:tcPr>
            <w:tcW w:w="16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Settlement of convertible notes</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FF0FC"/>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Settlement of prepaid forward shares</w:t>
            </w: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right w:val="single" w:sz="8" w:color="CFF0FC"/>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right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880" w:type="dxa"/>
            <w:vAlign w:val="bottom"/>
          </w:tcPr>
          <w:p>
            <w:pPr>
              <w:jc w:val="right"/>
              <w:spacing w:after="0"/>
              <w:rPr>
                <w:sz w:val="20"/>
                <w:szCs w:val="20"/>
                <w:color w:val="auto"/>
              </w:rPr>
            </w:pPr>
            <w:r>
              <w:rPr>
                <w:rFonts w:ascii="Arial" w:cs="Arial" w:eastAsia="Arial" w:hAnsi="Arial"/>
                <w:sz w:val="13"/>
                <w:szCs w:val="13"/>
                <w:color w:val="auto"/>
              </w:rPr>
              <w:t>109,926,367</w:t>
            </w:r>
          </w:p>
        </w:tc>
        <w:tc>
          <w:tcPr>
            <w:tcW w:w="160" w:type="dxa"/>
            <w:vAlign w:val="bottom"/>
          </w:tcPr>
          <w:p>
            <w:pPr>
              <w:spacing w:after="0"/>
              <w:rPr>
                <w:sz w:val="15"/>
                <w:szCs w:val="15"/>
                <w:color w:val="auto"/>
              </w:rPr>
            </w:pPr>
          </w:p>
        </w:tc>
        <w:tc>
          <w:tcPr>
            <w:tcW w:w="720" w:type="dxa"/>
            <w:vAlign w:val="bottom"/>
          </w:tcPr>
          <w:p>
            <w:pPr>
              <w:jc w:val="right"/>
              <w:ind w:right="604"/>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11</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1,240,231</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(1,339 )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(1,670,337 )</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6,615,449</w:t>
            </w:r>
          </w:p>
        </w:tc>
        <w:tc>
          <w:tcPr>
            <w:tcW w:w="140" w:type="dxa"/>
            <w:vAlign w:val="bottom"/>
          </w:tcPr>
          <w:p>
            <w:pPr>
              <w:spacing w:after="0"/>
              <w:rPr>
                <w:sz w:val="15"/>
                <w:szCs w:val="15"/>
                <w:color w:val="auto"/>
              </w:rPr>
            </w:pPr>
          </w:p>
        </w:tc>
        <w:tc>
          <w:tcPr>
            <w:tcW w:w="12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(128,803 )</w:t>
            </w: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(560,237 )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500"/>
              <w:spacing w:after="0"/>
              <w:rPr>
                <w:sz w:val="20"/>
                <w:szCs w:val="20"/>
                <w:color w:val="auto"/>
              </w:rPr>
            </w:pPr>
            <w:r>
              <w:rPr>
                <w:rFonts w:ascii="Arial" w:cs="Arial" w:eastAsia="Arial" w:hAnsi="Arial"/>
                <w:sz w:val="13"/>
                <w:szCs w:val="13"/>
                <w:b w:val="1"/>
                <w:bCs w:val="1"/>
                <w:color w:val="auto"/>
                <w:w w:val="88"/>
              </w:rPr>
              <w:t>For the Three Months Ended September 30, 2020</w:t>
            </w: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2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Par Value</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3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84,032,343</w:t>
            </w:r>
          </w:p>
        </w:tc>
        <w:tc>
          <w:tcPr>
            <w:tcW w:w="160" w:type="dxa"/>
            <w:vAlign w:val="bottom"/>
            <w:tcBorders>
              <w:right w:val="single" w:sz="8" w:color="CFF0FC"/>
            </w:tcBorders>
            <w:shd w:val="clear" w:color="auto" w:fill="CFF0FC"/>
          </w:tcPr>
          <w:p>
            <w:pPr>
              <w:spacing w:after="0"/>
              <w:rPr>
                <w:sz w:val="16"/>
                <w:szCs w:val="16"/>
                <w:color w:val="auto"/>
              </w:rPr>
            </w:pPr>
          </w:p>
        </w:tc>
        <w:tc>
          <w:tcPr>
            <w:tcW w:w="720" w:type="dxa"/>
            <w:vAlign w:val="bottom"/>
            <w:shd w:val="clear" w:color="auto" w:fill="CFF0FC"/>
          </w:tcPr>
          <w:p>
            <w:pPr>
              <w:jc w:val="right"/>
              <w:ind w:right="604"/>
              <w:spacing w:after="0"/>
              <w:rPr>
                <w:sz w:val="20"/>
                <w:szCs w:val="20"/>
                <w:color w:val="auto"/>
              </w:rPr>
            </w:pPr>
            <w:r>
              <w:rPr>
                <w:rFonts w:ascii="Arial" w:cs="Arial" w:eastAsia="Arial" w:hAnsi="Arial"/>
                <w:sz w:val="10"/>
                <w:szCs w:val="10"/>
                <w:color w:val="auto"/>
                <w:w w:val="71"/>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80" w:type="dxa"/>
            <w:vAlign w:val="bottom"/>
            <w:gridSpan w:val="2"/>
            <w:shd w:val="clear" w:color="auto" w:fill="CFF0FC"/>
          </w:tcPr>
          <w:p>
            <w:pPr>
              <w:jc w:val="right"/>
              <w:ind w:right="2"/>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1,085,254</w:t>
            </w: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(4,858 )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(1,550,564 )</w:t>
            </w:r>
          </w:p>
        </w:tc>
        <w:tc>
          <w:tcPr>
            <w:tcW w:w="160" w:type="dxa"/>
            <w:vAlign w:val="bottom"/>
            <w:shd w:val="clear" w:color="auto" w:fill="CFF0FC"/>
          </w:tcPr>
          <w:p>
            <w:pPr>
              <w:spacing w:after="0"/>
              <w:rPr>
                <w:sz w:val="16"/>
                <w:szCs w:val="16"/>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(98,857 )</w:t>
            </w:r>
          </w:p>
        </w:tc>
        <w:tc>
          <w:tcPr>
            <w:tcW w:w="180" w:type="dxa"/>
            <w:vAlign w:val="bottom"/>
            <w:shd w:val="clear" w:color="auto" w:fill="CFF0FC"/>
          </w:tcPr>
          <w:p>
            <w:pPr>
              <w:jc w:val="right"/>
              <w:ind w:right="42"/>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(569,017 )</w:t>
            </w:r>
          </w:p>
        </w:tc>
        <w:tc>
          <w:tcPr>
            <w:tcW w:w="0" w:type="dxa"/>
            <w:vAlign w:val="bottom"/>
          </w:tcPr>
          <w:p>
            <w:pPr>
              <w:spacing w:after="0"/>
              <w:rPr>
                <w:sz w:val="1"/>
                <w:szCs w:val="1"/>
                <w:color w:val="auto"/>
              </w:rPr>
            </w:pP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(80,124 )</w:t>
            </w: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(80,124 )</w:t>
            </w:r>
          </w:p>
        </w:tc>
        <w:tc>
          <w:tcPr>
            <w:tcW w:w="0" w:type="dxa"/>
            <w:vAlign w:val="bottom"/>
          </w:tcPr>
          <w:p>
            <w:pPr>
              <w:spacing w:after="0"/>
              <w:rPr>
                <w:sz w:val="1"/>
                <w:szCs w:val="1"/>
                <w:color w:val="auto"/>
              </w:rPr>
            </w:pPr>
          </w:p>
        </w:tc>
      </w:tr>
      <w:tr>
        <w:trPr>
          <w:trHeight w:val="197"/>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Currency translation adjustments, net of tax</w:t>
            </w:r>
          </w:p>
        </w:tc>
        <w:tc>
          <w:tcPr>
            <w:tcW w:w="10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1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2,577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2,577</w:t>
            </w:r>
          </w:p>
        </w:tc>
        <w:tc>
          <w:tcPr>
            <w:tcW w:w="0" w:type="dxa"/>
            <w:vAlign w:val="bottom"/>
          </w:tcPr>
          <w:p>
            <w:pPr>
              <w:spacing w:after="0"/>
              <w:rPr>
                <w:sz w:val="1"/>
                <w:szCs w:val="1"/>
                <w:color w:val="auto"/>
              </w:rPr>
            </w:pPr>
          </w:p>
        </w:tc>
      </w:tr>
      <w:tr>
        <w:trPr>
          <w:trHeight w:val="181"/>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Issuance of common stock upon exercise of stock</w:t>
            </w:r>
          </w:p>
        </w:tc>
        <w:tc>
          <w:tcPr>
            <w:tcW w:w="8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options</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38,383</w:t>
            </w:r>
          </w:p>
        </w:tc>
        <w:tc>
          <w:tcPr>
            <w:tcW w:w="16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73"/>
        </w:trPr>
        <w:tc>
          <w:tcPr>
            <w:tcW w:w="3120" w:type="dxa"/>
            <w:vAlign w:val="bottom"/>
          </w:tcPr>
          <w:p>
            <w:pPr>
              <w:ind w:left="160"/>
              <w:spacing w:after="0"/>
              <w:rPr>
                <w:sz w:val="20"/>
                <w:szCs w:val="20"/>
                <w:color w:val="auto"/>
              </w:rPr>
            </w:pPr>
            <w:r>
              <w:rPr>
                <w:rFonts w:ascii="Arial" w:cs="Arial" w:eastAsia="Arial" w:hAnsi="Arial"/>
                <w:sz w:val="13"/>
                <w:szCs w:val="13"/>
                <w:color w:val="auto"/>
                <w:w w:val="96"/>
              </w:rPr>
              <w:t>Issuance of common stock upon vesting of restricted</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20" w:type="dxa"/>
            <w:vAlign w:val="bottom"/>
          </w:tcPr>
          <w:p>
            <w:pPr>
              <w:ind w:left="160"/>
              <w:spacing w:after="0"/>
              <w:rPr>
                <w:sz w:val="20"/>
                <w:szCs w:val="20"/>
                <w:color w:val="auto"/>
              </w:rPr>
            </w:pPr>
            <w:r>
              <w:rPr>
                <w:rFonts w:ascii="Arial" w:cs="Arial" w:eastAsia="Arial" w:hAnsi="Arial"/>
                <w:sz w:val="13"/>
                <w:szCs w:val="13"/>
                <w:color w:val="auto"/>
              </w:rPr>
              <w:t>stock units and restricted stock awards</w:t>
            </w:r>
          </w:p>
        </w:tc>
        <w:tc>
          <w:tcPr>
            <w:tcW w:w="880" w:type="dxa"/>
            <w:vAlign w:val="bottom"/>
          </w:tcPr>
          <w:p>
            <w:pPr>
              <w:jc w:val="right"/>
              <w:spacing w:after="0"/>
              <w:rPr>
                <w:sz w:val="20"/>
                <w:szCs w:val="20"/>
                <w:color w:val="auto"/>
              </w:rPr>
            </w:pPr>
            <w:r>
              <w:rPr>
                <w:rFonts w:ascii="Arial" w:cs="Arial" w:eastAsia="Arial" w:hAnsi="Arial"/>
                <w:sz w:val="13"/>
                <w:szCs w:val="13"/>
                <w:color w:val="auto"/>
              </w:rPr>
              <w:t>1,066,909</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w w:val="97"/>
              </w:rPr>
              <w:t>Tax withholding related to vesting of restricted stock</w:t>
            </w:r>
          </w:p>
        </w:tc>
        <w:tc>
          <w:tcPr>
            <w:tcW w:w="8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units</w:t>
            </w:r>
          </w:p>
        </w:tc>
        <w:tc>
          <w:tcPr>
            <w:tcW w:w="10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(1,464 )</w:t>
            </w:r>
          </w:p>
        </w:tc>
        <w:tc>
          <w:tcPr>
            <w:tcW w:w="8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(1,464 )</w:t>
            </w:r>
          </w:p>
        </w:tc>
        <w:tc>
          <w:tcPr>
            <w:tcW w:w="0" w:type="dxa"/>
            <w:vAlign w:val="bottom"/>
          </w:tcPr>
          <w:p>
            <w:pPr>
              <w:spacing w:after="0"/>
              <w:rPr>
                <w:sz w:val="1"/>
                <w:szCs w:val="1"/>
                <w:color w:val="auto"/>
              </w:rPr>
            </w:pPr>
          </w:p>
        </w:tc>
      </w:tr>
      <w:tr>
        <w:trPr>
          <w:trHeight w:val="173"/>
        </w:trPr>
        <w:tc>
          <w:tcPr>
            <w:tcW w:w="3120" w:type="dxa"/>
            <w:vAlign w:val="bottom"/>
          </w:tcPr>
          <w:p>
            <w:pPr>
              <w:ind w:left="160"/>
              <w:spacing w:after="0"/>
              <w:rPr>
                <w:sz w:val="20"/>
                <w:szCs w:val="20"/>
                <w:color w:val="auto"/>
              </w:rPr>
            </w:pPr>
            <w:r>
              <w:rPr>
                <w:rFonts w:ascii="Arial" w:cs="Arial" w:eastAsia="Arial" w:hAnsi="Arial"/>
                <w:sz w:val="13"/>
                <w:szCs w:val="13"/>
                <w:color w:val="auto"/>
              </w:rPr>
              <w:t>Issuance of common stock in connection with</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99,647</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196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63"/>
        </w:trPr>
        <w:tc>
          <w:tcPr>
            <w:tcW w:w="3120" w:type="dxa"/>
            <w:vAlign w:val="bottom"/>
          </w:tcPr>
          <w:p>
            <w:pPr>
              <w:ind w:left="160"/>
              <w:spacing w:after="0"/>
              <w:rPr>
                <w:sz w:val="20"/>
                <w:szCs w:val="20"/>
                <w:color w:val="auto"/>
              </w:rPr>
            </w:pPr>
            <w:r>
              <w:rPr>
                <w:rFonts w:ascii="Arial" w:cs="Arial" w:eastAsia="Arial" w:hAnsi="Arial"/>
                <w:sz w:val="13"/>
                <w:szCs w:val="13"/>
                <w:color w:val="auto"/>
              </w:rPr>
              <w:t>employee stock purchase plan</w:t>
            </w: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85,237,282</w:t>
            </w:r>
          </w:p>
        </w:tc>
        <w:tc>
          <w:tcPr>
            <w:tcW w:w="160" w:type="dxa"/>
            <w:vAlign w:val="bottom"/>
            <w:tcBorders>
              <w:right w:val="single" w:sz="8" w:color="CFF0FC"/>
            </w:tcBorders>
            <w:shd w:val="clear" w:color="auto" w:fill="CFF0FC"/>
          </w:tcPr>
          <w:p>
            <w:pPr>
              <w:spacing w:after="0"/>
              <w:rPr>
                <w:sz w:val="17"/>
                <w:szCs w:val="17"/>
                <w:color w:val="auto"/>
              </w:rPr>
            </w:pPr>
          </w:p>
        </w:tc>
        <w:tc>
          <w:tcPr>
            <w:tcW w:w="720" w:type="dxa"/>
            <w:vAlign w:val="bottom"/>
            <w:shd w:val="clear" w:color="auto" w:fill="CFF0FC"/>
          </w:tcPr>
          <w:p>
            <w:pPr>
              <w:jc w:val="right"/>
              <w:ind w:right="604"/>
              <w:spacing w:after="0"/>
              <w:rPr>
                <w:sz w:val="20"/>
                <w:szCs w:val="20"/>
                <w:color w:val="auto"/>
              </w:rPr>
            </w:pPr>
            <w:r>
              <w:rPr>
                <w:rFonts w:ascii="Arial" w:cs="Arial" w:eastAsia="Arial" w:hAnsi="Arial"/>
                <w:sz w:val="10"/>
                <w:szCs w:val="10"/>
                <w:color w:val="auto"/>
                <w:w w:val="71"/>
              </w:rPr>
              <w:t>$</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1,086,665</w:t>
            </w:r>
          </w:p>
        </w:tc>
        <w:tc>
          <w:tcPr>
            <w:tcW w:w="1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(4,323 )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(1,630,688 )</w:t>
            </w:r>
          </w:p>
        </w:tc>
        <w:tc>
          <w:tcPr>
            <w:tcW w:w="1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(98,857 )</w:t>
            </w:r>
          </w:p>
        </w:tc>
        <w:tc>
          <w:tcPr>
            <w:tcW w:w="180" w:type="dxa"/>
            <w:vAlign w:val="bottom"/>
            <w:shd w:val="clear" w:color="auto" w:fill="CFF0FC"/>
          </w:tcPr>
          <w:p>
            <w:pPr>
              <w:jc w:val="right"/>
              <w:ind w:right="42"/>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(647,194 )</w:t>
            </w: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-2439670</wp:posOffset>
            </wp:positionV>
            <wp:extent cx="10287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-2439670</wp:posOffset>
            </wp:positionV>
            <wp:extent cx="10287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-2439670</wp:posOffset>
            </wp:positionV>
            <wp:extent cx="10287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-2439670</wp:posOffset>
            </wp:positionV>
            <wp:extent cx="939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-2439670</wp:posOffset>
            </wp:positionV>
            <wp:extent cx="939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-2439670</wp:posOffset>
            </wp:positionV>
            <wp:extent cx="8572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-2439670</wp:posOffset>
            </wp:positionV>
            <wp:extent cx="939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-2439670</wp:posOffset>
            </wp:positionV>
            <wp:extent cx="3429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102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111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1111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111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946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94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4"/>
        </w:trPr>
        <w:tc>
          <w:tcPr>
            <w:tcW w:w="3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3"/>
                <w:szCs w:val="13"/>
                <w:b w:val="1"/>
                <w:bCs w:val="1"/>
                <w:color w:val="auto"/>
              </w:rPr>
              <w:t>For the Nine Months Ended September 30, 2021</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3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3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312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Paid-In</w:t>
            </w: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104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7"/>
        </w:trPr>
        <w:tc>
          <w:tcPr>
            <w:tcW w:w="3120" w:type="dxa"/>
            <w:vAlign w:val="bottom"/>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Par Value</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2"/>
              </w:rPr>
              <w:t>Shares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5"/>
                <w:szCs w:val="15"/>
                <w:color w:val="auto"/>
              </w:rPr>
            </w:pPr>
          </w:p>
        </w:tc>
      </w:tr>
      <w:tr>
        <w:trPr>
          <w:trHeight w:val="189"/>
        </w:trPr>
        <w:tc>
          <w:tcPr>
            <w:tcW w:w="3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January 1, 2021</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85,990,499</w:t>
            </w: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720" w:type="dxa"/>
            <w:vAlign w:val="bottom"/>
            <w:shd w:val="clear" w:color="auto" w:fill="CFF0FC"/>
          </w:tcPr>
          <w:p>
            <w:pPr>
              <w:jc w:val="right"/>
              <w:ind w:right="601"/>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jc w:val="right"/>
              <w:ind w:right="15"/>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1,088,590</w:t>
            </w: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(1,013 )</w:t>
            </w: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(1,629,843 )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ind w:right="35"/>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(98,857 )</w:t>
            </w:r>
          </w:p>
        </w:tc>
        <w:tc>
          <w:tcPr>
            <w:tcW w:w="180" w:type="dxa"/>
            <w:vAlign w:val="bottom"/>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(641,114 )</w:t>
            </w: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(65,974 )</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(65,974 )</w:t>
            </w:r>
          </w:p>
        </w:tc>
      </w:tr>
      <w:tr>
        <w:trPr>
          <w:trHeight w:val="197"/>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Currency translation adjustments, net of tax</w:t>
            </w: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7"/>
                <w:szCs w:val="17"/>
                <w:color w:val="auto"/>
              </w:rPr>
            </w:pPr>
          </w:p>
        </w:tc>
        <w:tc>
          <w:tcPr>
            <w:tcW w:w="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1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60" w:type="dxa"/>
            <w:vAlign w:val="bottom"/>
            <w:shd w:val="clear" w:color="auto" w:fill="CFF0FC"/>
          </w:tcPr>
          <w:p>
            <w:pPr>
              <w:spacing w:after="0"/>
              <w:rPr>
                <w:sz w:val="17"/>
                <w:szCs w:val="17"/>
                <w:color w:val="auto"/>
              </w:rPr>
            </w:pP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w w:val="96"/>
              </w:rPr>
              <w:t>Fair value adjustments of cash flow hedge, net of tax</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(432 )</w:t>
            </w:r>
          </w:p>
        </w:tc>
        <w:tc>
          <w:tcPr>
            <w:tcW w:w="80" w:type="dxa"/>
            <w:vAlign w:val="bottom"/>
          </w:tcPr>
          <w:p>
            <w:pPr>
              <w:spacing w:after="0"/>
              <w:rPr>
                <w:sz w:val="15"/>
                <w:szCs w:val="15"/>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(432 )</w:t>
            </w:r>
          </w:p>
        </w:tc>
      </w:tr>
      <w:tr>
        <w:trPr>
          <w:trHeight w:val="197"/>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7"/>
                <w:szCs w:val="17"/>
                <w:color w:val="auto"/>
              </w:rPr>
            </w:pPr>
          </w:p>
        </w:tc>
        <w:tc>
          <w:tcPr>
            <w:tcW w:w="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16,913</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16,913</w:t>
            </w:r>
          </w:p>
        </w:tc>
        <w:tc>
          <w:tcPr>
            <w:tcW w:w="60" w:type="dxa"/>
            <w:vAlign w:val="bottom"/>
            <w:shd w:val="clear" w:color="auto" w:fill="CFF0FC"/>
          </w:tcPr>
          <w:p>
            <w:pPr>
              <w:spacing w:after="0"/>
              <w:rPr>
                <w:sz w:val="17"/>
                <w:szCs w:val="17"/>
                <w:color w:val="auto"/>
              </w:rPr>
            </w:pPr>
          </w:p>
        </w:tc>
      </w:tr>
      <w:tr>
        <w:trPr>
          <w:trHeight w:val="173"/>
        </w:trPr>
        <w:tc>
          <w:tcPr>
            <w:tcW w:w="3120" w:type="dxa"/>
            <w:vAlign w:val="bottom"/>
          </w:tcPr>
          <w:p>
            <w:pPr>
              <w:ind w:left="160"/>
              <w:spacing w:after="0"/>
              <w:rPr>
                <w:sz w:val="20"/>
                <w:szCs w:val="20"/>
                <w:color w:val="auto"/>
              </w:rPr>
            </w:pPr>
            <w:r>
              <w:rPr>
                <w:rFonts w:ascii="Arial" w:cs="Arial" w:eastAsia="Arial" w:hAnsi="Arial"/>
                <w:sz w:val="13"/>
                <w:szCs w:val="13"/>
                <w:color w:val="auto"/>
              </w:rPr>
              <w:t>Issuance of common stock upon exercise of stock</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3120" w:type="dxa"/>
            <w:vAlign w:val="bottom"/>
          </w:tcPr>
          <w:p>
            <w:pPr>
              <w:ind w:left="160"/>
              <w:spacing w:after="0"/>
              <w:rPr>
                <w:sz w:val="20"/>
                <w:szCs w:val="20"/>
                <w:color w:val="auto"/>
              </w:rPr>
            </w:pPr>
            <w:r>
              <w:rPr>
                <w:rFonts w:ascii="Arial" w:cs="Arial" w:eastAsia="Arial" w:hAnsi="Arial"/>
                <w:sz w:val="13"/>
                <w:szCs w:val="13"/>
                <w:color w:val="auto"/>
              </w:rPr>
              <w:t>options</w:t>
            </w:r>
          </w:p>
        </w:tc>
        <w:tc>
          <w:tcPr>
            <w:tcW w:w="840" w:type="dxa"/>
            <w:vAlign w:val="bottom"/>
          </w:tcPr>
          <w:p>
            <w:pPr>
              <w:jc w:val="right"/>
              <w:spacing w:after="0"/>
              <w:rPr>
                <w:sz w:val="20"/>
                <w:szCs w:val="20"/>
                <w:color w:val="auto"/>
              </w:rPr>
            </w:pPr>
            <w:r>
              <w:rPr>
                <w:rFonts w:ascii="Arial" w:cs="Arial" w:eastAsia="Arial" w:hAnsi="Arial"/>
                <w:sz w:val="13"/>
                <w:szCs w:val="13"/>
                <w:color w:val="auto"/>
              </w:rPr>
              <w:t>354,942</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904</w:t>
            </w:r>
          </w:p>
        </w:tc>
        <w:tc>
          <w:tcPr>
            <w:tcW w:w="60" w:type="dxa"/>
            <w:vAlign w:val="bottom"/>
          </w:tcPr>
          <w:p>
            <w:pPr>
              <w:spacing w:after="0"/>
              <w:rPr>
                <w:sz w:val="14"/>
                <w:szCs w:val="14"/>
                <w:color w:val="auto"/>
              </w:rPr>
            </w:pPr>
          </w:p>
        </w:tc>
      </w:tr>
      <w:tr>
        <w:trPr>
          <w:trHeight w:val="181"/>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w w:val="96"/>
              </w:rPr>
              <w:t>Issuance of common stock upon vesting of restricted</w:t>
            </w:r>
          </w:p>
        </w:tc>
        <w:tc>
          <w:tcPr>
            <w:tcW w:w="84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stock units and restricted stock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731,640</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73"/>
        </w:trPr>
        <w:tc>
          <w:tcPr>
            <w:tcW w:w="3120" w:type="dxa"/>
            <w:vAlign w:val="bottom"/>
          </w:tcPr>
          <w:p>
            <w:pPr>
              <w:ind w:left="160"/>
              <w:spacing w:after="0"/>
              <w:rPr>
                <w:sz w:val="20"/>
                <w:szCs w:val="20"/>
                <w:color w:val="auto"/>
              </w:rPr>
            </w:pPr>
            <w:r>
              <w:rPr>
                <w:rFonts w:ascii="Arial" w:cs="Arial" w:eastAsia="Arial" w:hAnsi="Arial"/>
                <w:sz w:val="13"/>
                <w:szCs w:val="13"/>
                <w:color w:val="auto"/>
                <w:w w:val="97"/>
              </w:rPr>
              <w:t>Tax withholding related to vesting of restricted stock</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3120" w:type="dxa"/>
            <w:vAlign w:val="bottom"/>
          </w:tcPr>
          <w:p>
            <w:pPr>
              <w:ind w:left="160"/>
              <w:spacing w:after="0"/>
              <w:rPr>
                <w:sz w:val="20"/>
                <w:szCs w:val="20"/>
                <w:color w:val="auto"/>
              </w:rPr>
            </w:pPr>
            <w:r>
              <w:rPr>
                <w:rFonts w:ascii="Arial" w:cs="Arial" w:eastAsia="Arial" w:hAnsi="Arial"/>
                <w:sz w:val="13"/>
                <w:szCs w:val="13"/>
                <w:color w:val="auto"/>
              </w:rPr>
              <w:t>units</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(3,509 )</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(3,509 )</w:t>
            </w:r>
          </w:p>
        </w:tc>
      </w:tr>
      <w:tr>
        <w:trPr>
          <w:trHeight w:val="181"/>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Issuance of common stock in connection with</w:t>
            </w:r>
          </w:p>
        </w:tc>
        <w:tc>
          <w:tcPr>
            <w:tcW w:w="84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employee stock purchase plan</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34,329</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60" w:type="dxa"/>
            <w:vAlign w:val="bottom"/>
            <w:shd w:val="clear" w:color="auto" w:fill="CFF0FC"/>
          </w:tcPr>
          <w:p>
            <w:pPr>
              <w:spacing w:after="0"/>
              <w:rPr>
                <w:sz w:val="15"/>
                <w:szCs w:val="15"/>
                <w:color w:val="auto"/>
              </w:rPr>
            </w:pP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Settlement of convertible notes</w:t>
            </w:r>
          </w:p>
        </w:tc>
        <w:tc>
          <w:tcPr>
            <w:tcW w:w="840" w:type="dxa"/>
            <w:vAlign w:val="bottom"/>
          </w:tcPr>
          <w:p>
            <w:pPr>
              <w:jc w:val="right"/>
              <w:spacing w:after="0"/>
              <w:rPr>
                <w:sz w:val="20"/>
                <w:szCs w:val="20"/>
                <w:color w:val="auto"/>
              </w:rPr>
            </w:pPr>
            <w:r>
              <w:rPr>
                <w:rFonts w:ascii="Arial" w:cs="Arial" w:eastAsia="Arial" w:hAnsi="Arial"/>
                <w:sz w:val="13"/>
                <w:szCs w:val="13"/>
                <w:color w:val="auto"/>
              </w:rPr>
              <w:t>24,353,006</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154,439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154,441</w:t>
            </w:r>
          </w:p>
        </w:tc>
        <w:tc>
          <w:tcPr>
            <w:tcW w:w="60" w:type="dxa"/>
            <w:vAlign w:val="bottom"/>
          </w:tcPr>
          <w:p>
            <w:pPr>
              <w:spacing w:after="0"/>
              <w:rPr>
                <w:sz w:val="15"/>
                <w:szCs w:val="15"/>
                <w:color w:val="auto"/>
              </w:rPr>
            </w:pPr>
          </w:p>
        </w:tc>
      </w:tr>
      <w:tr>
        <w:trPr>
          <w:trHeight w:val="197"/>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Settlement of prepaid forward shares</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(1,538,049 )</w:t>
            </w:r>
          </w:p>
        </w:tc>
        <w:tc>
          <w:tcPr>
            <w:tcW w:w="720" w:type="dxa"/>
            <w:vAlign w:val="bottom"/>
            <w:shd w:val="clear" w:color="auto" w:fill="CFF0FC"/>
          </w:tcPr>
          <w:p>
            <w:pPr>
              <w:spacing w:after="0"/>
              <w:rPr>
                <w:sz w:val="17"/>
                <w:szCs w:val="17"/>
                <w:color w:val="auto"/>
              </w:rPr>
            </w:pPr>
          </w:p>
        </w:tc>
        <w:tc>
          <w:tcPr>
            <w:tcW w:w="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29,946</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1,538,049</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(29,946 )</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Impact of the adoption of ASU 2020-06</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(47,423 )</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25,480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(21,943 )</w:t>
            </w:r>
          </w:p>
        </w:tc>
      </w:tr>
      <w:tr>
        <w:trPr>
          <w:trHeight w:val="21"/>
        </w:trPr>
        <w:tc>
          <w:tcPr>
            <w:tcW w:w="3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3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109,926,367</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720" w:type="dxa"/>
            <w:vAlign w:val="bottom"/>
            <w:shd w:val="clear" w:color="auto" w:fill="CFF0FC"/>
          </w:tcPr>
          <w:p>
            <w:pPr>
              <w:jc w:val="right"/>
              <w:ind w:right="601"/>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11</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ind w:right="15"/>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1,240,231</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(1,339 )</w:t>
            </w: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(1,670,337 )</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6,615,449</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ind w:right="35"/>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(128,803 )</w:t>
            </w:r>
          </w:p>
        </w:tc>
        <w:tc>
          <w:tcPr>
            <w:tcW w:w="180" w:type="dxa"/>
            <w:vAlign w:val="bottom"/>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(560,237 )</w:t>
            </w:r>
          </w:p>
        </w:tc>
      </w:tr>
      <w:tr>
        <w:trPr>
          <w:trHeight w:val="20"/>
        </w:trPr>
        <w:tc>
          <w:tcPr>
            <w:tcW w:w="3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r>
        <w:trPr>
          <w:trHeight w:val="399"/>
        </w:trPr>
        <w:tc>
          <w:tcPr>
            <w:tcW w:w="3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3"/>
                <w:szCs w:val="13"/>
                <w:b w:val="1"/>
                <w:bCs w:val="1"/>
                <w:color w:val="auto"/>
              </w:rPr>
              <w:t>For the Nine Months Ended September 30,2020</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3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3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312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0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7"/>
                <w:szCs w:val="17"/>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85"/>
              </w:rPr>
              <w:t>Accumulated</w:t>
            </w:r>
          </w:p>
        </w:tc>
        <w:tc>
          <w:tcPr>
            <w:tcW w:w="184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7"/>
        </w:trPr>
        <w:tc>
          <w:tcPr>
            <w:tcW w:w="3120" w:type="dxa"/>
            <w:vAlign w:val="bottom"/>
          </w:tcPr>
          <w:p>
            <w:pPr>
              <w:spacing w:after="0"/>
              <w:rPr>
                <w:sz w:val="15"/>
                <w:szCs w:val="15"/>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Par Value</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5"/>
                <w:szCs w:val="15"/>
                <w:color w:val="auto"/>
              </w:rPr>
            </w:pPr>
          </w:p>
        </w:tc>
      </w:tr>
      <w:tr>
        <w:trPr>
          <w:trHeight w:val="189"/>
        </w:trPr>
        <w:tc>
          <w:tcPr>
            <w:tcW w:w="3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January 1, 2020</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88,240,877</w:t>
            </w: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720" w:type="dxa"/>
            <w:vAlign w:val="bottom"/>
            <w:shd w:val="clear" w:color="auto" w:fill="CFF0FC"/>
          </w:tcPr>
          <w:p>
            <w:pPr>
              <w:jc w:val="right"/>
              <w:ind w:right="581"/>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979,499</w:t>
            </w: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(2,256 )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(1,376,142 )</w:t>
            </w:r>
          </w:p>
        </w:tc>
        <w:tc>
          <w:tcPr>
            <w:tcW w:w="140" w:type="dxa"/>
            <w:vAlign w:val="bottom"/>
            <w:shd w:val="clear" w:color="auto" w:fill="CFF0FC"/>
          </w:tcPr>
          <w:p>
            <w:pPr>
              <w:spacing w:after="0"/>
              <w:rPr>
                <w:sz w:val="16"/>
                <w:szCs w:val="16"/>
                <w:color w:val="auto"/>
              </w:rPr>
            </w:pP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42"/>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(398,890 )</w:t>
            </w: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(250,881 )</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(250,881 )</w:t>
            </w:r>
          </w:p>
        </w:tc>
      </w:tr>
      <w:tr>
        <w:trPr>
          <w:trHeight w:val="197"/>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Currency translation adjustments, net of tax</w:t>
            </w:r>
          </w:p>
        </w:tc>
        <w:tc>
          <w:tcPr>
            <w:tcW w:w="10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7"/>
                <w:szCs w:val="17"/>
                <w:color w:val="auto"/>
              </w:rPr>
            </w:pPr>
          </w:p>
        </w:tc>
        <w:tc>
          <w:tcPr>
            <w:tcW w:w="3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(2,067 )</w:t>
            </w:r>
          </w:p>
        </w:tc>
        <w:tc>
          <w:tcPr>
            <w:tcW w:w="8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(2,067 )</w:t>
            </w: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9,736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9,736</w:t>
            </w:r>
          </w:p>
        </w:tc>
        <w:tc>
          <w:tcPr>
            <w:tcW w:w="60" w:type="dxa"/>
            <w:vAlign w:val="bottom"/>
          </w:tcPr>
          <w:p>
            <w:pPr>
              <w:spacing w:after="0"/>
              <w:rPr>
                <w:sz w:val="15"/>
                <w:szCs w:val="15"/>
                <w:color w:val="auto"/>
              </w:rPr>
            </w:pPr>
          </w:p>
        </w:tc>
      </w:tr>
      <w:tr>
        <w:trPr>
          <w:trHeight w:val="181"/>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Issuance of common stock upon exercise of stock</w:t>
            </w:r>
          </w:p>
        </w:tc>
        <w:tc>
          <w:tcPr>
            <w:tcW w:w="84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38,383</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FF0FC"/>
          </w:tcPr>
          <w:p>
            <w:pPr>
              <w:spacing w:after="0"/>
              <w:rPr>
                <w:sz w:val="15"/>
                <w:szCs w:val="15"/>
                <w:color w:val="auto"/>
              </w:rPr>
            </w:pPr>
          </w:p>
        </w:tc>
      </w:tr>
      <w:tr>
        <w:trPr>
          <w:trHeight w:val="173"/>
        </w:trPr>
        <w:tc>
          <w:tcPr>
            <w:tcW w:w="3120" w:type="dxa"/>
            <w:vAlign w:val="bottom"/>
          </w:tcPr>
          <w:p>
            <w:pPr>
              <w:ind w:left="160"/>
              <w:spacing w:after="0"/>
              <w:rPr>
                <w:sz w:val="20"/>
                <w:szCs w:val="20"/>
                <w:color w:val="auto"/>
              </w:rPr>
            </w:pPr>
            <w:r>
              <w:rPr>
                <w:rFonts w:ascii="Arial" w:cs="Arial" w:eastAsia="Arial" w:hAnsi="Arial"/>
                <w:sz w:val="13"/>
                <w:szCs w:val="13"/>
                <w:color w:val="auto"/>
                <w:w w:val="96"/>
              </w:rPr>
              <w:t>Issuance of common stock upon vesting of restricted</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3120" w:type="dxa"/>
            <w:vAlign w:val="bottom"/>
          </w:tcPr>
          <w:p>
            <w:pPr>
              <w:ind w:left="160"/>
              <w:spacing w:after="0"/>
              <w:rPr>
                <w:sz w:val="20"/>
                <w:szCs w:val="20"/>
                <w:color w:val="auto"/>
              </w:rPr>
            </w:pPr>
            <w:r>
              <w:rPr>
                <w:rFonts w:ascii="Arial" w:cs="Arial" w:eastAsia="Arial" w:hAnsi="Arial"/>
                <w:sz w:val="13"/>
                <w:szCs w:val="13"/>
                <w:color w:val="auto"/>
              </w:rPr>
              <w:t>stock units and restricted stock awards</w:t>
            </w:r>
          </w:p>
        </w:tc>
        <w:tc>
          <w:tcPr>
            <w:tcW w:w="840" w:type="dxa"/>
            <w:vAlign w:val="bottom"/>
          </w:tcPr>
          <w:p>
            <w:pPr>
              <w:jc w:val="right"/>
              <w:spacing w:after="0"/>
              <w:rPr>
                <w:sz w:val="20"/>
                <w:szCs w:val="20"/>
                <w:color w:val="auto"/>
              </w:rPr>
            </w:pPr>
            <w:r>
              <w:rPr>
                <w:rFonts w:ascii="Arial" w:cs="Arial" w:eastAsia="Arial" w:hAnsi="Arial"/>
                <w:sz w:val="13"/>
                <w:szCs w:val="13"/>
                <w:color w:val="auto"/>
              </w:rPr>
              <w:t>1,708,337</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81"/>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w w:val="97"/>
              </w:rPr>
              <w:t>Tax withholding related to vesting of restricted stock</w:t>
            </w:r>
          </w:p>
        </w:tc>
        <w:tc>
          <w:tcPr>
            <w:tcW w:w="84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units</w:t>
            </w:r>
          </w:p>
        </w:tc>
        <w:tc>
          <w:tcPr>
            <w:tcW w:w="10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5"/>
                <w:szCs w:val="15"/>
                <w:color w:val="auto"/>
              </w:rPr>
            </w:pPr>
          </w:p>
        </w:tc>
        <w:tc>
          <w:tcPr>
            <w:tcW w:w="3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(2,273 )</w:t>
            </w:r>
          </w:p>
        </w:tc>
        <w:tc>
          <w:tcPr>
            <w:tcW w:w="8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(2,273 )</w:t>
            </w:r>
          </w:p>
        </w:tc>
      </w:tr>
      <w:tr>
        <w:trPr>
          <w:trHeight w:val="173"/>
        </w:trPr>
        <w:tc>
          <w:tcPr>
            <w:tcW w:w="3120" w:type="dxa"/>
            <w:vAlign w:val="bottom"/>
          </w:tcPr>
          <w:p>
            <w:pPr>
              <w:ind w:left="160"/>
              <w:spacing w:after="0"/>
              <w:rPr>
                <w:sz w:val="20"/>
                <w:szCs w:val="20"/>
                <w:color w:val="auto"/>
              </w:rPr>
            </w:pPr>
            <w:r>
              <w:rPr>
                <w:rFonts w:ascii="Arial" w:cs="Arial" w:eastAsia="Arial" w:hAnsi="Arial"/>
                <w:sz w:val="13"/>
                <w:szCs w:val="13"/>
                <w:color w:val="auto"/>
              </w:rPr>
              <w:t>Issuance of common stock in connection with</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3120" w:type="dxa"/>
            <w:vAlign w:val="bottom"/>
          </w:tcPr>
          <w:p>
            <w:pPr>
              <w:ind w:left="160"/>
              <w:spacing w:after="0"/>
              <w:rPr>
                <w:sz w:val="20"/>
                <w:szCs w:val="20"/>
                <w:color w:val="auto"/>
              </w:rPr>
            </w:pPr>
            <w:r>
              <w:rPr>
                <w:rFonts w:ascii="Arial" w:cs="Arial" w:eastAsia="Arial" w:hAnsi="Arial"/>
                <w:sz w:val="13"/>
                <w:szCs w:val="13"/>
                <w:color w:val="auto"/>
              </w:rPr>
              <w:t>employee stock purchase plan</w:t>
            </w:r>
          </w:p>
        </w:tc>
        <w:tc>
          <w:tcPr>
            <w:tcW w:w="840" w:type="dxa"/>
            <w:vAlign w:val="bottom"/>
          </w:tcPr>
          <w:p>
            <w:pPr>
              <w:jc w:val="right"/>
              <w:spacing w:after="0"/>
              <w:rPr>
                <w:sz w:val="20"/>
                <w:szCs w:val="20"/>
                <w:color w:val="auto"/>
              </w:rPr>
            </w:pPr>
            <w:r>
              <w:rPr>
                <w:rFonts w:ascii="Arial" w:cs="Arial" w:eastAsia="Arial" w:hAnsi="Arial"/>
                <w:sz w:val="13"/>
                <w:szCs w:val="13"/>
                <w:color w:val="auto"/>
              </w:rPr>
              <w:t>327,085</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744</w:t>
            </w:r>
          </w:p>
        </w:tc>
        <w:tc>
          <w:tcPr>
            <w:tcW w:w="60" w:type="dxa"/>
            <w:vAlign w:val="bottom"/>
          </w:tcPr>
          <w:p>
            <w:pPr>
              <w:spacing w:after="0"/>
              <w:rPr>
                <w:sz w:val="14"/>
                <w:szCs w:val="14"/>
                <w:color w:val="auto"/>
              </w:rPr>
            </w:pPr>
          </w:p>
        </w:tc>
      </w:tr>
      <w:tr>
        <w:trPr>
          <w:trHeight w:val="197"/>
        </w:trPr>
        <w:tc>
          <w:tcPr>
            <w:tcW w:w="312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Settlement of prepaid forward shares</w:t>
            </w:r>
          </w:p>
        </w:tc>
        <w:tc>
          <w:tcPr>
            <w:tcW w:w="10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(5,077,400 )</w:t>
            </w:r>
          </w:p>
        </w:tc>
        <w:tc>
          <w:tcPr>
            <w:tcW w:w="720" w:type="dxa"/>
            <w:vAlign w:val="bottom"/>
            <w:shd w:val="clear" w:color="auto" w:fill="CFF0FC"/>
          </w:tcPr>
          <w:p>
            <w:pPr>
              <w:spacing w:after="0"/>
              <w:rPr>
                <w:sz w:val="17"/>
                <w:szCs w:val="17"/>
                <w:color w:val="auto"/>
              </w:rPr>
            </w:pPr>
          </w:p>
        </w:tc>
        <w:tc>
          <w:tcPr>
            <w:tcW w:w="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98,858</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(98,857 )</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81"/>
        </w:trPr>
        <w:tc>
          <w:tcPr>
            <w:tcW w:w="3120" w:type="dxa"/>
            <w:vAlign w:val="bottom"/>
          </w:tcPr>
          <w:p>
            <w:pPr>
              <w:ind w:left="160"/>
              <w:spacing w:after="0"/>
              <w:rPr>
                <w:sz w:val="20"/>
                <w:szCs w:val="20"/>
                <w:color w:val="auto"/>
              </w:rPr>
            </w:pPr>
            <w:r>
              <w:rPr>
                <w:rFonts w:ascii="Arial" w:cs="Arial" w:eastAsia="Arial" w:hAnsi="Arial"/>
                <w:sz w:val="13"/>
                <w:szCs w:val="13"/>
                <w:color w:val="auto"/>
              </w:rPr>
              <w:t>Impact of the adoption of ASU 2016-13</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(3,665 )</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(3,665 )</w:t>
            </w:r>
          </w:p>
        </w:tc>
      </w:tr>
      <w:tr>
        <w:trPr>
          <w:trHeight w:val="22"/>
        </w:trPr>
        <w:tc>
          <w:tcPr>
            <w:tcW w:w="3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2"/>
        </w:trPr>
        <w:tc>
          <w:tcPr>
            <w:tcW w:w="3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85,237,282</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720" w:type="dxa"/>
            <w:vAlign w:val="bottom"/>
            <w:shd w:val="clear" w:color="auto" w:fill="CFF0FC"/>
          </w:tcPr>
          <w:p>
            <w:pPr>
              <w:jc w:val="right"/>
              <w:ind w:right="581"/>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1,086,665</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(4,323 )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(1,630,688 )</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(98,857 )</w:t>
            </w:r>
          </w:p>
        </w:tc>
        <w:tc>
          <w:tcPr>
            <w:tcW w:w="180" w:type="dxa"/>
            <w:vAlign w:val="bottom"/>
            <w:shd w:val="clear" w:color="auto" w:fill="CFF0FC"/>
          </w:tcPr>
          <w:p>
            <w:pPr>
              <w:jc w:val="right"/>
              <w:ind w:right="42"/>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(647,194 )</w:t>
            </w:r>
          </w:p>
        </w:tc>
      </w:tr>
      <w:tr>
        <w:trPr>
          <w:trHeight w:val="20"/>
        </w:trPr>
        <w:tc>
          <w:tcPr>
            <w:tcW w:w="3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-2562225</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-2545080</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-2562225</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-2545080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-2562225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-2545080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-2562225</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-2545080</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-2562225</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-2545080</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-2562225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-2545080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-2562225</wp:posOffset>
            </wp:positionV>
            <wp:extent cx="939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-2545080</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-2562225</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-2545080</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1111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1111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1117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1117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1117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1117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1117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1117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94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94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946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946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the Notes to Unaudited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b w:val="1"/>
          <w:bCs w:val="1"/>
          <w:i w:val="1"/>
          <w:iCs w:val="1"/>
          <w:color w:val="auto"/>
        </w:rPr>
        <w:t xml:space="preserve">The Business - </w:t>
      </w:r>
      <w:r>
        <w:rPr>
          <w:rFonts w:ascii="Arial" w:cs="Arial" w:eastAsia="Arial" w:hAnsi="Arial"/>
          <w:sz w:val="18"/>
          <w:szCs w:val="18"/>
          <w:color w:val="auto"/>
        </w:rPr>
        <w:t>Gogo Inc. (“Gogo,” the “Company,” “we,” “us,” “our”) is the world’s largest provider of broadband connectivity services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through our strategic alliances with satellite providers.</w:t>
      </w:r>
    </w:p>
    <w:p>
      <w:pPr>
        <w:spacing w:after="0" w:line="83"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On December 1, 2020, we completed the previously announced sale of our Commercial Aviation (“CA”) business to a subsidiary of Intelsat Jackson Holdings S.A. (“Intelsat”) for a purchase price of $400 million in cash, subject to certain adjustments (the “Transaction”).</w:t>
      </w:r>
    </w:p>
    <w:p>
      <w:pPr>
        <w:spacing w:after="0" w:line="62"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At the closing of the Transaction, the parties entered into certain ancillary agreements, including a transition services agreement, an intellectual property license agreement and commercial agreements. These agreements include an ATG network sharing agreement, pursuant to which we provide certain in-flight connectivity services on our current ATG network and, when available, our Gogo 5G network, subject to certain revenue sharing obligations. Under the ATG network sharing agreement, Intelsat will have exclusive access to the ATG network for commercial aviation in North America, subject to minimum revenue guarantees starting at $5 million in the first year of the agreement.</w:t>
      </w:r>
    </w:p>
    <w:p>
      <w:pPr>
        <w:spacing w:after="0" w:line="53"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color w:val="auto"/>
        </w:rPr>
        <w:t>As a result of the Transaction, the CA business is reported in discontinued operations and all periods presented in this Form 10-Q have been conformed to 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 The results of operations and cash flows of a discontinued operation are restated for all comparative periods presented.</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Unless otherwise noted, discussion in these Notes to Unaudited Condensed Consolidated Financial Statements refers to our continuing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“Discontinued Operations” for further information.</w:t>
      </w:r>
    </w:p>
    <w:p>
      <w:pPr>
        <w:spacing w:after="0" w:line="224"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accompanying Unaudited Condensed Consolidated Financial Statements and notes have been prepared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2020 as filed with the Securities and Exchange Commission (“SEC”) on March 11, 2021 (the “2020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6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results of operations and cash flows for the three- and nine-month periods ended September 30, 2021 are not necessarily indicative of the results that may be expected for the fiscal year ending December 31, 2021.</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one class of common stock outstanding as of September 30, 2021 and December 31, 2020.</w:t>
      </w:r>
    </w:p>
    <w:p>
      <w:pPr>
        <w:spacing w:after="0" w:line="239"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191"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 To conform to the current-year presentation, certain amounts in our Unaudited Condensed Consolidated Statements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Flows for the nine-month period ended September 30, 2020 have been reclassified. Warranty reserves of $0.5 million have been combined in Accrued liabilities. Right-of-use assets and operating lease liabilities of $0.9 million have been combined into two captions: $0.4 million in Accrued liabilities and $0.5 million in Other long-term assets and liabilities.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5"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As discussed in Note 1, “Basis of Presentation,” on December 1, 2020, we completed the sale of our CA business to Intelsat. As a result of the Transaction, the CA business is reported for all periods as discontinued operations.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results of discontinued operations which are presented as Net loss from discontinued operations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Unaudited Condensed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5"/>
                <w:szCs w:val="15"/>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r>
      <w:tr>
        <w:trPr>
          <w:trHeight w:val="196"/>
        </w:trPr>
        <w:tc>
          <w:tcPr>
            <w:tcW w:w="57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40,498</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163,800</w:t>
            </w:r>
          </w:p>
        </w:tc>
        <w:tc>
          <w:tcPr>
            <w:tcW w:w="100" w:type="dxa"/>
            <w:vAlign w:val="bottom"/>
          </w:tcPr>
          <w:p>
            <w:pPr>
              <w:spacing w:after="0"/>
              <w:rPr>
                <w:sz w:val="21"/>
                <w:szCs w:val="21"/>
                <w:color w:val="auto"/>
              </w:rPr>
            </w:pPr>
          </w:p>
        </w:tc>
      </w:tr>
      <w:tr>
        <w:trPr>
          <w:trHeight w:val="257"/>
        </w:trPr>
        <w:tc>
          <w:tcPr>
            <w:tcW w:w="5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Equipment revenue</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72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43,994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199,550</w:t>
            </w:r>
          </w:p>
        </w:tc>
        <w:tc>
          <w:tcPr>
            <w:tcW w:w="100" w:type="dxa"/>
            <w:vAlign w:val="bottom"/>
          </w:tcPr>
          <w:p>
            <w:pPr>
              <w:spacing w:after="0"/>
              <w:rPr>
                <w:sz w:val="21"/>
                <w:szCs w:val="21"/>
                <w:color w:val="auto"/>
              </w:rPr>
            </w:pPr>
          </w:p>
        </w:tc>
      </w:tr>
      <w:tr>
        <w:trPr>
          <w:trHeight w:val="257"/>
        </w:trPr>
        <w:tc>
          <w:tcPr>
            <w:tcW w:w="57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29,530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121,334</w:t>
            </w: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equipment revenue</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31,907</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Engineering, design and development</w:t>
            </w:r>
          </w:p>
        </w:tc>
        <w:tc>
          <w:tcPr>
            <w:tcW w:w="2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16,285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41,702</w:t>
            </w: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11,306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37,138</w:t>
            </w: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long-lived assets</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47,376</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45,666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120,229</w:t>
            </w:r>
          </w:p>
        </w:tc>
        <w:tc>
          <w:tcPr>
            <w:tcW w:w="100" w:type="dxa"/>
            <w:vAlign w:val="bottom"/>
          </w:tcPr>
          <w:p>
            <w:pPr>
              <w:spacing w:after="0"/>
              <w:rPr>
                <w:sz w:val="21"/>
                <w:szCs w:val="21"/>
                <w:color w:val="auto"/>
              </w:rPr>
            </w:pPr>
          </w:p>
        </w:tc>
      </w:tr>
      <w:tr>
        <w:trPr>
          <w:trHeight w:val="250"/>
        </w:trPr>
        <w:tc>
          <w:tcPr>
            <w:tcW w:w="5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114,513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13,426</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413,994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(8,871 )</w:t>
            </w: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(70,519 )</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(13,426 )</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(214,444 )</w:t>
            </w:r>
          </w:p>
        </w:tc>
      </w:tr>
      <w:tr>
        <w:trPr>
          <w:trHeight w:val="257"/>
        </w:trPr>
        <w:tc>
          <w:tcPr>
            <w:tcW w:w="57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other (income) expense</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06"/>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(8,871 )</w:t>
            </w:r>
          </w:p>
        </w:tc>
        <w:tc>
          <w:tcPr>
            <w:tcW w:w="2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(70,834 )</w:t>
            </w:r>
          </w:p>
        </w:tc>
        <w:tc>
          <w:tcPr>
            <w:tcW w:w="2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(13,426 )</w:t>
            </w:r>
          </w:p>
        </w:tc>
        <w:tc>
          <w:tcPr>
            <w:tcW w:w="2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(218,009 )</w:t>
            </w:r>
          </w:p>
        </w:tc>
      </w:tr>
      <w:tr>
        <w:trPr>
          <w:trHeight w:val="256"/>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(100 )</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22"/>
                <w:szCs w:val="22"/>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(8,771 )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(71,234 )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(13,426 )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(218,402 )</w:t>
            </w: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-3013710</wp:posOffset>
            </wp:positionV>
            <wp:extent cx="15430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-3013710</wp:posOffset>
            </wp:positionV>
            <wp:extent cx="15430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-3013710</wp:posOffset>
            </wp:positionV>
            <wp:extent cx="13716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-3013710</wp:posOffset>
            </wp:positionV>
            <wp:extent cx="5969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-1196340</wp:posOffset>
            </wp:positionV>
            <wp:extent cx="15430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-1196340</wp:posOffset>
            </wp:positionV>
            <wp:extent cx="15430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-1196340</wp:posOffset>
            </wp:positionV>
            <wp:extent cx="1371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-1196340</wp:posOffset>
            </wp:positionV>
            <wp:extent cx="596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-690880</wp:posOffset>
            </wp:positionV>
            <wp:extent cx="1543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-690880</wp:posOffset>
            </wp:positionV>
            <wp:extent cx="15430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-690880</wp:posOffset>
            </wp:positionV>
            <wp:extent cx="13716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-690880</wp:posOffset>
            </wp:positionV>
            <wp:extent cx="596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-193675</wp:posOffset>
            </wp:positionV>
            <wp:extent cx="15430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-193675</wp:posOffset>
            </wp:positionV>
            <wp:extent cx="1543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3716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3"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b w:val="1"/>
          <w:bCs w:val="1"/>
          <w:color w:val="auto"/>
        </w:rPr>
        <w:t xml:space="preserve">Gain on sale </w:t>
      </w:r>
      <w:r>
        <w:rPr>
          <w:rFonts w:ascii="Arial" w:cs="Arial" w:eastAsia="Arial" w:hAnsi="Arial"/>
          <w:sz w:val="17"/>
          <w:szCs w:val="17"/>
          <w:color w:val="auto"/>
        </w:rPr>
        <w:t>– Upon the closing of the Transaction on December 1, 2020, we received initial gross proceeds of $386.3 million, which reflected the</w:t>
      </w:r>
      <w:r>
        <w:rPr>
          <w:rFonts w:ascii="Arial" w:cs="Arial" w:eastAsia="Arial" w:hAnsi="Arial"/>
          <w:sz w:val="17"/>
          <w:szCs w:val="17"/>
          <w:b w:val="1"/>
          <w:bCs w:val="1"/>
          <w:color w:val="auto"/>
        </w:rPr>
        <w:t xml:space="preserve"> </w:t>
      </w:r>
      <w:r>
        <w:rPr>
          <w:rFonts w:ascii="Arial" w:cs="Arial" w:eastAsia="Arial" w:hAnsi="Arial"/>
          <w:sz w:val="17"/>
          <w:szCs w:val="17"/>
          <w:color w:val="auto"/>
        </w:rPr>
        <w:t>$400.0 million purchase price, adjusted for cash, debt, transaction expenses and working capital. The final purchase price remained subject to change due to customary post-closing purchase price adjustment procedures set forth in the purchase and sale agreement between Gogo and Intelsat that were not yet complete. In February 2021, Intelsat delivered a draft closing statement that would reduce the working capital portion of the purchase price computation by $9.4 million, which would result in Gogo returning to Intelsat $9.4 million of the initial gross proceeds. Gogo disputed certain items in Intelsat’s draft closing statement and in accordance with the terms of the purchase and sale agreement the parties submitted the disputed items to an independent accounting firm for resolution. As the post-closing purchase price adjustment was not yet finalized and therefore represented a contingent gain, $9.4 million was recorded as a deferred gain on sale included within Accrued liabilities as of September 30, 2021. During December 2020, we recognized within Gain on sale of CA business a pretax gain on sale of $38.0 million, computed as the $386.3 million of initial gross proceeds less (i) the potential $9.4 million post-closing purchase price adjustment not yet finalized, (ii) the carrying value of the assets and liabilities transferred in the Transaction and (iii) Transaction-related costs. In October 2021, the independent accounting firm engaged to resolve the working capital matter determined the final amount of the working capital adjustments to be $7.8 million. In the fourth quarter of 2021, Gogo will pay Intelsat the $7.8 million and recognize an additional Gain on sale of CA business of $1.6 million.</w:t>
      </w:r>
    </w:p>
    <w:p>
      <w:pPr>
        <w:spacing w:after="0" w:line="74" w:lineRule="exact"/>
        <w:rPr>
          <w:sz w:val="20"/>
          <w:szCs w:val="20"/>
          <w:color w:val="auto"/>
        </w:rPr>
      </w:pPr>
    </w:p>
    <w:p>
      <w:pPr>
        <w:ind w:right="60" w:firstLine="509"/>
        <w:spacing w:after="0" w:line="310"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In August 2020, the Compensation Committee of our Board of Directors (the “Compensation Committee”)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modifications to the vesting conditions and exercise periods of outstanding equity compensation awards held by certain of our then-current employees who became employees of Intelsat in the Transaction. These modifications became effective upon the consummation of the Transaction. Pursuant to such modifications, the options and restricted stock units (“RSUs”) held by Intelsat employees generally vest on the earlier of (i) the original vesting date or (ii) November 30, 2021; provided that the employee does not voluntarily resign from and is not terminated for cause by Intelsat prior to such date. Certain of these awards vest based on conditions that are not classified as a service, market or performance condition and as a result such awards are classified as a liability. Other than mark-to-market accounting adjustments, all costs related to stock-based compensation for our prior employees who became</w:t>
      </w:r>
    </w:p>
    <w:p>
      <w:pPr>
        <w:sectPr>
          <w:pgSz w:w="11900" w:h="16838" w:orient="portrait"/>
          <w:cols w:equalWidth="0" w:num="1">
            <w:col w:w="11240"/>
          </w:cols>
          <w:pgMar w:left="320" w:top="135"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5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employees of Intelsat in the Transaction were recognized as of December 31, 2020. During the three- and nine-month periods ended September 30, 2021, $0.2 million and $6.8 million, respectively, was reclassified from Accrued liabilities to Additional paid-in capital as the awards vested during the respective periods.</w:t>
      </w:r>
    </w:p>
    <w:p>
      <w:pPr>
        <w:spacing w:after="0" w:line="183" w:lineRule="exact"/>
        <w:rPr>
          <w:sz w:val="20"/>
          <w:szCs w:val="20"/>
          <w:color w:val="auto"/>
        </w:rPr>
      </w:pPr>
    </w:p>
    <w:p>
      <w:pPr>
        <w:ind w:right="580" w:firstLine="509"/>
        <w:spacing w:after="0" w:line="293"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contained within the results of discontinued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2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For the Three Months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For the Nine Months</w:t>
            </w:r>
          </w:p>
        </w:tc>
        <w:tc>
          <w:tcPr>
            <w:tcW w:w="80" w:type="dxa"/>
            <w:vAlign w:val="bottom"/>
          </w:tcPr>
          <w:p>
            <w:pPr>
              <w:spacing w:after="0"/>
              <w:rPr>
                <w:sz w:val="15"/>
                <w:szCs w:val="15"/>
                <w:color w:val="auto"/>
              </w:rPr>
            </w:pPr>
          </w:p>
        </w:tc>
      </w:tr>
      <w:tr>
        <w:trPr>
          <w:trHeight w:val="192"/>
        </w:trPr>
        <w:tc>
          <w:tcPr>
            <w:tcW w:w="574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Ended September 30,</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6"/>
                <w:szCs w:val="16"/>
                <w:color w:val="auto"/>
              </w:rPr>
            </w:pPr>
          </w:p>
        </w:tc>
      </w:tr>
      <w:tr>
        <w:trPr>
          <w:trHeight w:val="196"/>
        </w:trPr>
        <w:tc>
          <w:tcPr>
            <w:tcW w:w="57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760" w:type="dxa"/>
            <w:vAlign w:val="bottom"/>
            <w:shd w:val="clear" w:color="auto" w:fill="CFF0FC"/>
          </w:tcPr>
          <w:p>
            <w:pPr>
              <w:jc w:val="right"/>
              <w:ind w:right="58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2,259</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8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Engineering, design and development</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2,712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3,735</w:t>
            </w:r>
          </w:p>
        </w:tc>
        <w:tc>
          <w:tcPr>
            <w:tcW w:w="80" w:type="dxa"/>
            <w:vAlign w:val="bottom"/>
          </w:tcPr>
          <w:p>
            <w:pPr>
              <w:spacing w:after="0"/>
              <w:rPr>
                <w:sz w:val="21"/>
                <w:szCs w:val="2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2,141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8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8,862</w:t>
            </w:r>
          </w:p>
        </w:tc>
        <w:tc>
          <w:tcPr>
            <w:tcW w:w="2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1,409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12,717</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21"/>
                <w:szCs w:val="21"/>
                <w:color w:val="auto"/>
              </w:rPr>
            </w:pPr>
          </w:p>
        </w:tc>
      </w:tr>
      <w:tr>
        <w:trPr>
          <w:trHeight w:val="29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760" w:type="dxa"/>
            <w:vAlign w:val="bottom"/>
            <w:tcBorders>
              <w:bottom w:val="single" w:sz="8" w:color="auto"/>
            </w:tcBorders>
            <w:shd w:val="clear" w:color="auto" w:fill="CFF0FC"/>
          </w:tcPr>
          <w:p>
            <w:pPr>
              <w:jc w:val="right"/>
              <w:ind w:right="58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8,862</w:t>
            </w:r>
          </w:p>
        </w:tc>
        <w:tc>
          <w:tcPr>
            <w:tcW w:w="2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8,521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12,717</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1543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154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on our stock-based compensation plans, see Note 17, “Stock-Based Compensation and 401(k) Plan.”</w:t>
      </w:r>
    </w:p>
    <w:p>
      <w:pPr>
        <w:spacing w:after="0" w:line="127" w:lineRule="exact"/>
        <w:rPr>
          <w:sz w:val="20"/>
          <w:szCs w:val="20"/>
          <w:color w:val="auto"/>
        </w:rPr>
      </w:pPr>
    </w:p>
    <w:p>
      <w:pPr>
        <w:ind w:right="420" w:firstLine="509"/>
        <w:spacing w:after="0" w:line="332" w:lineRule="auto"/>
        <w:rPr>
          <w:sz w:val="20"/>
          <w:szCs w:val="20"/>
          <w:color w:val="auto"/>
        </w:rPr>
      </w:pPr>
      <w:r>
        <w:rPr>
          <w:rFonts w:ascii="Arial" w:cs="Arial" w:eastAsia="Arial" w:hAnsi="Arial"/>
          <w:sz w:val="16"/>
          <w:szCs w:val="16"/>
          <w:b w:val="1"/>
          <w:bCs w:val="1"/>
          <w:color w:val="auto"/>
        </w:rPr>
        <w:t xml:space="preserve">Other Costs Classified to Discontinued Operations </w:t>
      </w:r>
      <w:r>
        <w:rPr>
          <w:rFonts w:ascii="Arial" w:cs="Arial" w:eastAsia="Arial" w:hAnsi="Arial"/>
          <w:sz w:val="16"/>
          <w:szCs w:val="16"/>
          <w:color w:val="auto"/>
        </w:rPr>
        <w:t>– During the three- and nine-month periods ended September 30, 2021, we incurred an</w:t>
      </w:r>
      <w:r>
        <w:rPr>
          <w:rFonts w:ascii="Arial" w:cs="Arial" w:eastAsia="Arial" w:hAnsi="Arial"/>
          <w:sz w:val="16"/>
          <w:szCs w:val="16"/>
          <w:b w:val="1"/>
          <w:bCs w:val="1"/>
          <w:color w:val="auto"/>
        </w:rPr>
        <w:t xml:space="preserve"> </w:t>
      </w:r>
      <w:r>
        <w:rPr>
          <w:rFonts w:ascii="Arial" w:cs="Arial" w:eastAsia="Arial" w:hAnsi="Arial"/>
          <w:sz w:val="16"/>
          <w:szCs w:val="16"/>
          <w:color w:val="auto"/>
        </w:rPr>
        <w:t>immaterial amount and $0.7 million, respectively, of additional costs (exclusive of the stock-based compensation expense noted above and income tax benefit) primarily due to employer-paid taxes arising from the exercise of stock options by former employees now employed by Intelsat.</w:t>
      </w:r>
    </w:p>
    <w:p>
      <w:pPr>
        <w:spacing w:after="0" w:line="127"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Condensed Consolidated Financial Statements.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standards adopted:</w:t>
      </w:r>
    </w:p>
    <w:p>
      <w:pPr>
        <w:spacing w:after="0" w:line="131" w:lineRule="exact"/>
        <w:rPr>
          <w:sz w:val="20"/>
          <w:szCs w:val="20"/>
          <w:color w:val="auto"/>
        </w:rPr>
      </w:pPr>
    </w:p>
    <w:p>
      <w:pPr>
        <w:ind w:right="100" w:firstLine="509"/>
        <w:spacing w:after="0" w:line="287" w:lineRule="auto"/>
        <w:rPr>
          <w:sz w:val="20"/>
          <w:szCs w:val="20"/>
          <w:color w:val="auto"/>
        </w:rPr>
      </w:pPr>
      <w:r>
        <w:rPr>
          <w:rFonts w:ascii="Arial" w:cs="Arial" w:eastAsia="Arial" w:hAnsi="Arial"/>
          <w:sz w:val="17"/>
          <w:szCs w:val="17"/>
          <w:color w:val="auto"/>
        </w:rPr>
        <w:t xml:space="preserve">On January 1, 2021, we adopted ASU 2020-06, </w:t>
      </w:r>
      <w:r>
        <w:rPr>
          <w:rFonts w:ascii="Arial" w:cs="Arial" w:eastAsia="Arial" w:hAnsi="Arial"/>
          <w:sz w:val="17"/>
          <w:szCs w:val="17"/>
          <w:i w:val="1"/>
          <w:iCs w:val="1"/>
          <w:color w:val="auto"/>
        </w:rPr>
        <w:t>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(“ASU 2020-06”). </w:t>
      </w:r>
      <w:r>
        <w:rPr>
          <w:rFonts w:ascii="Arial" w:cs="Arial" w:eastAsia="Arial" w:hAnsi="Arial"/>
          <w:sz w:val="17"/>
          <w:szCs w:val="17"/>
          <w:color w:val="auto"/>
        </w:rPr>
        <w:t>ASU 2020-06 simplifies the accounting for certain convertible instruments by removing the separation models for convertible debt with a cash conversion feature or convertible instruments with a beneficial conversion feature. As a result, convertible debt instruments will be reported as a single liability instrument with no separate accounting for embedded conversion features. Additionally, ASU 2020-06 amends the diluted earnings per share calculation for convertible instruments by requiring the use of the if-converted method. The treasury stock method is no longer available. This standard is effective beginning on January 1, 2022, with early adoption permitted. Adoption of the standard requires using either a modified retrospective or a full retrospective approach. We elected to early adopt ASU 2020-06 using the modified retrospective approach.</w:t>
      </w:r>
    </w:p>
    <w:p>
      <w:pPr>
        <w:spacing w:after="0" w:line="182"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The cumulative impact of using the modified retrospective approach for the adoption of ASU 2020-06 on our Unaudited Condensed Consolidated Balance Sheets as of January 1, 2021 is summarized below:</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Balances with</w:t>
            </w:r>
          </w:p>
        </w:tc>
      </w:tr>
      <w:tr>
        <w:trPr>
          <w:trHeight w:val="186"/>
        </w:trPr>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Impact of</w:t>
            </w: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Adoption of</w:t>
            </w:r>
          </w:p>
        </w:tc>
      </w:tr>
      <w:tr>
        <w:trPr>
          <w:trHeight w:val="209"/>
        </w:trPr>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ASU 2020-06</w:t>
            </w: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ASU 2020-06</w:t>
            </w:r>
          </w:p>
        </w:tc>
      </w:tr>
      <w:tr>
        <w:trPr>
          <w:trHeight w:val="256"/>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tcBorders>
            <w:shd w:val="clear" w:color="auto" w:fill="CFF0FC"/>
          </w:tcPr>
          <w:p>
            <w:pPr>
              <w:spacing w:after="0"/>
              <w:rPr>
                <w:sz w:val="22"/>
                <w:szCs w:val="22"/>
                <w:color w:val="auto"/>
              </w:rPr>
            </w:pPr>
          </w:p>
        </w:tc>
        <w:tc>
          <w:tcPr>
            <w:tcW w:w="138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3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13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68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827,968</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21,943</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849,911</w:t>
            </w:r>
          </w:p>
        </w:tc>
        <w:tc>
          <w:tcPr>
            <w:tcW w:w="100" w:type="dxa"/>
            <w:vAlign w:val="bottom"/>
          </w:tcPr>
          <w:p>
            <w:pPr>
              <w:spacing w:after="0"/>
              <w:rPr>
                <w:sz w:val="21"/>
                <w:szCs w:val="21"/>
                <w:color w:val="auto"/>
              </w:rPr>
            </w:pPr>
          </w:p>
        </w:tc>
      </w:tr>
      <w:tr>
        <w:trPr>
          <w:trHeight w:val="263"/>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1,088,590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(47,423 )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1,041,167</w:t>
            </w:r>
          </w:p>
        </w:tc>
        <w:tc>
          <w:tcPr>
            <w:tcW w:w="100" w:type="dxa"/>
            <w:vAlign w:val="bottom"/>
          </w:tcPr>
          <w:p>
            <w:pPr>
              <w:spacing w:after="0"/>
              <w:rPr>
                <w:sz w:val="21"/>
                <w:szCs w:val="21"/>
                <w:color w:val="auto"/>
              </w:rPr>
            </w:pPr>
          </w:p>
        </w:tc>
      </w:tr>
      <w:tr>
        <w:trPr>
          <w:trHeight w:val="26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(1,629,843 )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25,480</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(1,604,363 )</w:t>
            </w:r>
          </w:p>
        </w:tc>
      </w:tr>
    </w:tbl>
    <w:p>
      <w:pPr>
        <w:spacing w:after="0" w:line="337" w:lineRule="exact"/>
        <w:rPr>
          <w:sz w:val="20"/>
          <w:szCs w:val="20"/>
          <w:color w:val="auto"/>
        </w:rPr>
      </w:pPr>
    </w:p>
    <w:p>
      <w:pPr>
        <w:ind w:right="300" w:firstLine="562"/>
        <w:spacing w:after="0" w:line="319" w:lineRule="auto"/>
        <w:rPr>
          <w:sz w:val="20"/>
          <w:szCs w:val="20"/>
          <w:color w:val="auto"/>
        </w:rPr>
      </w:pPr>
      <w:r>
        <w:rPr>
          <w:rFonts w:ascii="Arial" w:cs="Arial" w:eastAsia="Arial" w:hAnsi="Arial"/>
          <w:sz w:val="16"/>
          <w:szCs w:val="16"/>
          <w:color w:val="auto"/>
        </w:rPr>
        <w:t xml:space="preserve">On January 1, 2021, we adopted Accounting Standards Update No. 2019-12 –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(“ASU 2019-12”). The amendments in ASU 2019-12 eliminate certain exceptions to the incremental approach for intraperiod tax allocation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period income tax accounting for year-to-date losses that exceed projected losses. ASU 2019-12 also clarifies and simplifies other aspects of the accounting for income taxes. Adoption of this standard did not have a material impact on our Unaudited Condensed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47" w:lineRule="exact"/>
        <w:rPr>
          <w:sz w:val="20"/>
          <w:szCs w:val="20"/>
          <w:color w:val="auto"/>
        </w:rPr>
      </w:pPr>
    </w:p>
    <w:p>
      <w:pPr>
        <w:ind w:right="8460" w:firstLine="8"/>
        <w:spacing w:after="0" w:line="442" w:lineRule="auto"/>
        <w:tabs>
          <w:tab w:leader="none" w:pos="44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Remaining performance obligations</w:t>
      </w:r>
    </w:p>
    <w:p>
      <w:pPr>
        <w:spacing w:after="0" w:line="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As of September 30, 2021, the aggregate amount of the transaction price in our contracts allocated to the remaining unsatisfied performance obligations was approximately $90 million. The remaining unsatisfied performance obligations primarily represent connectivity and entertainment service revenues which are recognized as services are provided, which is expected to occur through the remaining term of the contract. We have excluded from this amount consideration from contracts that have an original duration of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w:t>
            </w:r>
          </w:p>
        </w:tc>
        <w:tc>
          <w:tcPr>
            <w:tcW w:w="80" w:type="dxa"/>
            <w:vAlign w:val="bottom"/>
          </w:tcPr>
          <w:p>
            <w:pPr>
              <w:spacing w:after="0"/>
              <w:rPr>
                <w:sz w:val="15"/>
                <w:szCs w:val="15"/>
                <w:color w:val="auto"/>
              </w:rPr>
            </w:pPr>
          </w:p>
        </w:tc>
      </w:tr>
      <w:tr>
        <w:trPr>
          <w:trHeight w:val="192"/>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6"/>
                <w:szCs w:val="16"/>
                <w:color w:val="auto"/>
              </w:rPr>
            </w:pPr>
          </w:p>
        </w:tc>
      </w:tr>
      <w:tr>
        <w:trPr>
          <w:trHeight w:val="196"/>
        </w:trPr>
        <w:tc>
          <w:tcPr>
            <w:tcW w:w="4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Connectivity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65,185</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52,607</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187,641</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153,029</w:t>
            </w:r>
          </w:p>
        </w:tc>
        <w:tc>
          <w:tcPr>
            <w:tcW w:w="80" w:type="dxa"/>
            <w:vAlign w:val="bottom"/>
          </w:tcPr>
          <w:p>
            <w:pPr>
              <w:spacing w:after="0"/>
              <w:rPr>
                <w:sz w:val="21"/>
                <w:szCs w:val="21"/>
                <w:color w:val="auto"/>
              </w:rPr>
            </w:pPr>
          </w:p>
        </w:tc>
      </w:tr>
      <w:tr>
        <w:trPr>
          <w:trHeight w:val="257"/>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Entertainment and other</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2,685</w:t>
            </w: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b w:val="1"/>
                <w:bCs w:val="1"/>
                <w:color w:val="auto"/>
              </w:rPr>
              <w:t>Total service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66,204</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53,324</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190,326</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155,083</w:t>
            </w:r>
          </w:p>
        </w:tc>
        <w:tc>
          <w:tcPr>
            <w:tcW w:w="80" w:type="dxa"/>
            <w:vAlign w:val="bottom"/>
          </w:tcPr>
          <w:p>
            <w:pPr>
              <w:spacing w:after="0"/>
              <w:rPr>
                <w:sz w:val="21"/>
                <w:szCs w:val="2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Equipment revenue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ATG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17,554</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10,785</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42,005</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27,285</w:t>
            </w: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Satellite</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8,775</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9,068</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21"/>
                <w:szCs w:val="21"/>
                <w:color w:val="auto"/>
              </w:rPr>
            </w:pPr>
          </w:p>
        </w:tc>
      </w:tr>
      <w:tr>
        <w:trPr>
          <w:trHeight w:val="29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equipment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20,968</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53,090</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37,001</w:t>
            </w:r>
          </w:p>
        </w:tc>
        <w:tc>
          <w:tcPr>
            <w:tcW w:w="80" w:type="dxa"/>
            <w:vAlign w:val="bottom"/>
            <w:shd w:val="clear" w:color="auto" w:fill="CFF0FC"/>
          </w:tcPr>
          <w:p>
            <w:pPr>
              <w:spacing w:after="0"/>
              <w:rPr>
                <w:sz w:val="24"/>
                <w:szCs w:val="24"/>
                <w:color w:val="auto"/>
              </w:rPr>
            </w:pPr>
          </w:p>
        </w:tc>
      </w:tr>
      <w:tr>
        <w:trPr>
          <w:trHeight w:val="237"/>
        </w:trPr>
        <w:tc>
          <w:tcPr>
            <w:tcW w:w="49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Customer type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Aircraft owner/operator/service provider</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66,204</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190,326</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155,083</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OEM and aftermarket dealer</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20,968</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13,201</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53,090</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37,001</w:t>
            </w:r>
          </w:p>
        </w:tc>
        <w:tc>
          <w:tcPr>
            <w:tcW w:w="80" w:type="dxa"/>
            <w:vAlign w:val="bottom"/>
          </w:tcPr>
          <w:p>
            <w:pPr>
              <w:spacing w:after="0"/>
              <w:rPr>
                <w:sz w:val="21"/>
                <w:szCs w:val="21"/>
                <w:color w:val="auto"/>
              </w:rPr>
            </w:pPr>
          </w:p>
        </w:tc>
      </w:tr>
      <w:tr>
        <w:trPr>
          <w:trHeight w:val="29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87,172</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66,525</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243,416</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192,084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-1727835</wp:posOffset>
            </wp:positionV>
            <wp:extent cx="12890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-1727835</wp:posOffset>
            </wp:positionV>
            <wp:extent cx="12890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-1727835</wp:posOffset>
            </wp:positionV>
            <wp:extent cx="11176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-1727835</wp:posOffset>
            </wp:positionV>
            <wp:extent cx="431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-711200</wp:posOffset>
            </wp:positionV>
            <wp:extent cx="1289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-693420</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-711200</wp:posOffset>
            </wp:positionV>
            <wp:extent cx="128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-693420</wp:posOffset>
            </wp:positionV>
            <wp:extent cx="128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-711200</wp:posOffset>
            </wp:positionV>
            <wp:extent cx="1117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-693420</wp:posOffset>
            </wp:positionV>
            <wp:extent cx="1117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-711200</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-693420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1289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1289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1289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1289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117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117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-8255</wp:posOffset>
            </wp:positionV>
            <wp:extent cx="431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35" w:lineRule="exact"/>
        <w:rPr>
          <w:sz w:val="20"/>
          <w:szCs w:val="20"/>
          <w:color w:val="auto"/>
        </w:rPr>
      </w:pPr>
    </w:p>
    <w:p>
      <w:pPr>
        <w:ind w:right="380" w:firstLine="509"/>
        <w:spacing w:after="0" w:line="324" w:lineRule="auto"/>
        <w:rPr>
          <w:sz w:val="20"/>
          <w:szCs w:val="20"/>
          <w:color w:val="auto"/>
        </w:rPr>
      </w:pPr>
      <w:r>
        <w:rPr>
          <w:rFonts w:ascii="Arial" w:cs="Arial" w:eastAsia="Arial" w:hAnsi="Arial"/>
          <w:sz w:val="17"/>
          <w:szCs w:val="17"/>
          <w:color w:val="auto"/>
        </w:rPr>
        <w:t>Our current and non-current deferred revenue balances totaled $2.3 million and $3.1 million as of September 30, 2021 and December 31, 2020, respectively. Deferred revenue includes, among other things, fees paid for equipment and subscription connectivity products.</w:t>
      </w:r>
    </w:p>
    <w:p>
      <w:pPr>
        <w:spacing w:after="0" w:line="147" w:lineRule="exact"/>
        <w:rPr>
          <w:sz w:val="20"/>
          <w:szCs w:val="20"/>
          <w:color w:val="auto"/>
        </w:rPr>
      </w:pPr>
    </w:p>
    <w:p>
      <w:pPr>
        <w:ind w:right="440" w:firstLine="509"/>
        <w:spacing w:after="0" w:line="359" w:lineRule="auto"/>
        <w:rPr>
          <w:sz w:val="20"/>
          <w:szCs w:val="20"/>
          <w:color w:val="auto"/>
        </w:rPr>
      </w:pPr>
      <w:r>
        <w:rPr>
          <w:rFonts w:ascii="Arial" w:cs="Arial" w:eastAsia="Arial" w:hAnsi="Arial"/>
          <w:sz w:val="16"/>
          <w:szCs w:val="16"/>
          <w:color w:val="auto"/>
        </w:rPr>
        <w:t>Our current and non-current contract asset balances totaled $16.8 million and $12.2 million as of September 30, 2021 and December 31, 2020, respectively. Contract assets represent the aggregate amount of revenue recognized in excess of billings primarily for certain sales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35"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No customer accounted for more than 10% of revenue during the three- and nine-month periods ended September 30, 2021 and 2020 and no customer accounted for more than 10% of accounts receivable as of September 30, 2021 or December 31, 2020.</w:t>
      </w:r>
    </w:p>
    <w:p>
      <w:pPr>
        <w:spacing w:after="0" w:line="274"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and diluted earnings (loss) per share have been calculated using the weighted average number of common shares outstanding for the period.</w:t>
      </w:r>
    </w:p>
    <w:p>
      <w:pPr>
        <w:spacing w:after="0" w:line="2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The shares of common stock effectively repurchased in connection with the Forward Transactions (as defined and described in Note 10, “Long-Term Debt and Other Liabilities”) are considered participating securities requiring the two-class method to calculate basic and diluted earnings per share. Net earnings will be allocated between common shares and participating securities on a one-to-one basis. In periods of a net loss, the shares associated with the Forward Transactions will not receive an allocation of losses, as the counterparties to the Forward Transactions are not required to fund losses. Additionally, the calculation of weighted average shares outstanding as of September 30, 2021 and 2020 excludes approximately 0.6 million and 2.1 million shares, respectively, associated with the Forward Transactions.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67"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The diluted earnings (loss) per share calculations exclude the effect of stock options, deferred stock units, restricted stock units and convertible notes when the computation is anti-dilutive. For the three-month period ended September 30, 2021, the weighted average number of shares excluded from the computation was 0.4 million shares. As a result of the net loss for the nine-month period ended September 30, 2021, and the three- and nine-month periods ended September 30, 2020, all of the outstanding shares of common stock underlying stock options, deferred stock units and restricted stock units were excluded from the computation of diluted shares outstanding because they were anti-dilutive.</w:t>
      </w:r>
    </w:p>
    <w:p>
      <w:pPr>
        <w:spacing w:after="0" w:line="174"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nine-month periods ended September 30, 2021 and 2020; however, for the reasons described above, the shares of common stock associated with the Forward Transactions are excluded from the computation of basic earnings per share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For the Three Months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3"/>
                <w:szCs w:val="13"/>
                <w:b w:val="1"/>
                <w:bCs w:val="1"/>
                <w:color w:val="auto"/>
              </w:rPr>
              <w:t>Ended September 30,</w:t>
            </w: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Income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Per Share</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Income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Per Share</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(Numerator)</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(Denominator)</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4"/>
              </w:rPr>
              <w:t>(Numerator)</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(Denominator)</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income (loss) from continuing operations</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19,730</w:t>
            </w: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(8,890 )</w:t>
            </w: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280" w:type="dxa"/>
            <w:vAlign w:val="bottom"/>
          </w:tcPr>
          <w:p>
            <w:pPr>
              <w:ind w:left="20"/>
              <w:spacing w:after="0"/>
              <w:rPr>
                <w:sz w:val="20"/>
                <w:szCs w:val="20"/>
                <w:color w:val="auto"/>
              </w:rPr>
            </w:pPr>
            <w:r>
              <w:rPr>
                <w:rFonts w:ascii="Arial" w:cs="Arial" w:eastAsia="Arial" w:hAnsi="Arial"/>
                <w:sz w:val="13"/>
                <w:szCs w:val="13"/>
                <w:color w:val="auto"/>
              </w:rPr>
              <w:t>Less: Participation rights on Forward Transactions allocated to continuing</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80" w:type="dxa"/>
            <w:vAlign w:val="bottom"/>
          </w:tcPr>
          <w:p>
            <w:pPr>
              <w:ind w:left="20"/>
              <w:spacing w:after="0"/>
              <w:rPr>
                <w:sz w:val="20"/>
                <w:szCs w:val="20"/>
                <w:color w:val="auto"/>
              </w:rPr>
            </w:pPr>
            <w:r>
              <w:rPr>
                <w:rFonts w:ascii="Arial" w:cs="Arial" w:eastAsia="Arial" w:hAnsi="Arial"/>
                <w:sz w:val="13"/>
                <w:szCs w:val="13"/>
                <w:color w:val="auto"/>
              </w:rPr>
              <w:t>operations</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880" w:type="dxa"/>
            <w:vAlign w:val="bottom"/>
            <w:tcBorders>
              <w:top w:val="single" w:sz="8" w:color="auto"/>
            </w:tcBorders>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860" w:type="dxa"/>
            <w:vAlign w:val="bottom"/>
            <w:tcBorders>
              <w:top w:val="single" w:sz="8" w:color="auto"/>
            </w:tcBorders>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Basic Earnings (Loss) Per Share from Continuing Operations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Undistributed income (loss) from continuing operations</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19,627</w:t>
            </w:r>
          </w:p>
        </w:tc>
        <w:tc>
          <w:tcPr>
            <w:tcW w:w="20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109,345</w:t>
            </w:r>
          </w:p>
        </w:tc>
        <w:tc>
          <w:tcPr>
            <w:tcW w:w="340" w:type="dxa"/>
            <w:vAlign w:val="bottom"/>
            <w:gridSpan w:val="2"/>
            <w:shd w:val="clear" w:color="auto" w:fill="CCEC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0.18</w:t>
            </w:r>
          </w:p>
        </w:tc>
        <w:tc>
          <w:tcPr>
            <w:tcW w:w="180" w:type="dxa"/>
            <w:vAlign w:val="bottom"/>
            <w:shd w:val="clear" w:color="auto" w:fill="CCECFF"/>
          </w:tcPr>
          <w:p>
            <w:pPr>
              <w:spacing w:after="0"/>
              <w:rPr>
                <w:sz w:val="20"/>
                <w:szCs w:val="20"/>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(8,890 )</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82,707</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(0.11 )</w:t>
            </w:r>
          </w:p>
        </w:tc>
        <w:tc>
          <w:tcPr>
            <w:tcW w:w="0" w:type="dxa"/>
            <w:vAlign w:val="bottom"/>
          </w:tcPr>
          <w:p>
            <w:pPr>
              <w:spacing w:after="0"/>
              <w:rPr>
                <w:sz w:val="1"/>
                <w:szCs w:val="1"/>
                <w:color w:val="auto"/>
              </w:rPr>
            </w:pPr>
          </w:p>
        </w:tc>
      </w:tr>
      <w:tr>
        <w:trPr>
          <w:trHeight w:val="169"/>
        </w:trPr>
        <w:tc>
          <w:tcPr>
            <w:tcW w:w="428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8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4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00" w:type="dxa"/>
            <w:vAlign w:val="bottom"/>
            <w:tcBorders>
              <w:top w:val="single" w:sz="8" w:color="CCECFF"/>
            </w:tcBorders>
          </w:tcPr>
          <w:p>
            <w:pPr>
              <w:spacing w:after="0"/>
              <w:rPr>
                <w:sz w:val="14"/>
                <w:szCs w:val="14"/>
                <w:color w:val="auto"/>
              </w:rPr>
            </w:pPr>
          </w:p>
        </w:tc>
        <w:tc>
          <w:tcPr>
            <w:tcW w:w="160" w:type="dxa"/>
            <w:vAlign w:val="bottom"/>
            <w:tcBorders>
              <w:top w:val="single" w:sz="8" w:color="CCEC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Effect of Dilutive Securities from Continuing Operations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6,684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2022 Convertible Notes</w:t>
            </w:r>
          </w:p>
        </w:tc>
        <w:tc>
          <w:tcPr>
            <w:tcW w:w="12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1,809</w:t>
            </w:r>
          </w:p>
        </w:tc>
        <w:tc>
          <w:tcPr>
            <w:tcW w:w="200" w:type="dxa"/>
            <w:vAlign w:val="bottom"/>
            <w:shd w:val="clear" w:color="auto" w:fill="CCECFF"/>
          </w:tcPr>
          <w:p>
            <w:pPr>
              <w:spacing w:after="0"/>
              <w:rPr>
                <w:sz w:val="17"/>
                <w:szCs w:val="17"/>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17,131</w:t>
            </w:r>
          </w:p>
        </w:tc>
        <w:tc>
          <w:tcPr>
            <w:tcW w:w="1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80" w:type="dxa"/>
            <w:vAlign w:val="bottom"/>
            <w:tcBorders>
              <w:top w:val="single" w:sz="8" w:color="CCEC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C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840" w:type="dxa"/>
            <w:vAlign w:val="bottom"/>
            <w:tcBorders>
              <w:top w:val="single" w:sz="8" w:color="CCECFF"/>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140" w:type="dxa"/>
            <w:vAlign w:val="bottom"/>
            <w:tcBorders>
              <w:top w:val="single" w:sz="8" w:color="CCECFF"/>
            </w:tcBorders>
          </w:tcPr>
          <w:p>
            <w:pPr>
              <w:spacing w:after="0"/>
              <w:rPr>
                <w:sz w:val="15"/>
                <w:szCs w:val="15"/>
                <w:color w:val="auto"/>
              </w:rPr>
            </w:pPr>
          </w:p>
        </w:tc>
        <w:tc>
          <w:tcPr>
            <w:tcW w:w="840" w:type="dxa"/>
            <w:vAlign w:val="bottom"/>
            <w:tcBorders>
              <w:top w:val="single" w:sz="8" w:color="CCECFF"/>
            </w:tcBorders>
          </w:tcPr>
          <w:p>
            <w:pPr>
              <w:spacing w:after="0"/>
              <w:rPr>
                <w:sz w:val="15"/>
                <w:szCs w:val="15"/>
                <w:color w:val="auto"/>
              </w:rPr>
            </w:pPr>
          </w:p>
        </w:tc>
        <w:tc>
          <w:tcPr>
            <w:tcW w:w="60" w:type="dxa"/>
            <w:vAlign w:val="bottom"/>
            <w:tcBorders>
              <w:top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Diluted Earnings (Loss) Per Share from Continuing Operations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3"/>
                <w:szCs w:val="13"/>
                <w:color w:val="auto"/>
                <w:w w:val="90"/>
              </w:rPr>
              <w:t>Undistributed income (loss) from continuing operations and assumed conversions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21,436</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133,160</w:t>
            </w:r>
          </w:p>
        </w:tc>
        <w:tc>
          <w:tcPr>
            <w:tcW w:w="3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0.16</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(8,890 )</w:t>
            </w:r>
          </w:p>
        </w:tc>
        <w:tc>
          <w:tcPr>
            <w:tcW w:w="1000" w:type="dxa"/>
            <w:vAlign w:val="bottom"/>
          </w:tcPr>
          <w:p>
            <w:pPr>
              <w:jc w:val="right"/>
              <w:spacing w:after="0"/>
              <w:rPr>
                <w:sz w:val="20"/>
                <w:szCs w:val="20"/>
                <w:color w:val="auto"/>
              </w:rPr>
            </w:pPr>
            <w:r>
              <w:rPr>
                <w:rFonts w:ascii="Arial" w:cs="Arial" w:eastAsia="Arial" w:hAnsi="Arial"/>
                <w:sz w:val="13"/>
                <w:szCs w:val="13"/>
                <w:color w:val="auto"/>
              </w:rPr>
              <w:t>82,707</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(0.11 )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Net loss from discontinued operations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(8,771 )</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(71,234 )</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w w:val="97"/>
              </w:rPr>
              <w:t>Less: Participation rights on Forward Transactions allocated to discontinued</w:t>
            </w:r>
          </w:p>
        </w:tc>
        <w:tc>
          <w:tcPr>
            <w:tcW w:w="120" w:type="dxa"/>
            <w:vAlign w:val="bottom"/>
            <w:shd w:val="clear" w:color="auto" w:fill="CCECFF"/>
          </w:tcPr>
          <w:p>
            <w:pPr>
              <w:spacing w:after="0"/>
              <w:rPr>
                <w:sz w:val="15"/>
                <w:szCs w:val="15"/>
                <w:color w:val="auto"/>
              </w:rPr>
            </w:pPr>
          </w:p>
        </w:tc>
        <w:tc>
          <w:tcPr>
            <w:tcW w:w="1080" w:type="dxa"/>
            <w:vAlign w:val="bottom"/>
            <w:gridSpan w:val="2"/>
            <w:vMerge w:val="restart"/>
            <w:shd w:val="clear" w:color="auto" w:fill="CCECFF"/>
          </w:tcPr>
          <w:p>
            <w:pPr>
              <w:jc w:val="right"/>
              <w:ind w:right="140"/>
              <w:spacing w:after="0"/>
              <w:rPr>
                <w:sz w:val="20"/>
                <w:szCs w:val="20"/>
                <w:color w:val="auto"/>
              </w:rPr>
            </w:pPr>
            <w:r>
              <w:rPr>
                <w:rFonts w:ascii="Arial" w:cs="Arial" w:eastAsia="Arial" w:hAnsi="Arial"/>
                <w:sz w:val="13"/>
                <w:szCs w:val="13"/>
                <w:color w:val="auto"/>
              </w:rPr>
              <w:t>(46 )</w:t>
            </w: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4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operations</w:t>
            </w:r>
          </w:p>
        </w:tc>
        <w:tc>
          <w:tcPr>
            <w:tcW w:w="120" w:type="dxa"/>
            <w:vAlign w:val="bottom"/>
            <w:shd w:val="clear" w:color="auto" w:fill="CCECFF"/>
          </w:tcPr>
          <w:p>
            <w:pPr>
              <w:spacing w:after="0"/>
              <w:rPr>
                <w:sz w:val="14"/>
                <w:szCs w:val="14"/>
                <w:color w:val="auto"/>
              </w:rPr>
            </w:pPr>
          </w:p>
        </w:tc>
        <w:tc>
          <w:tcPr>
            <w:tcW w:w="1080" w:type="dxa"/>
            <w:vAlign w:val="bottom"/>
            <w:gridSpan w:val="2"/>
            <w:vMerge w:val="continue"/>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gridSpan w:val="2"/>
            <w:vMerge w:val="continue"/>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Borders>
              <w:top w:val="single" w:sz="8" w:color="CCEC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CFF"/>
            </w:tcBorders>
          </w:tcPr>
          <w:p>
            <w:pPr>
              <w:spacing w:after="0"/>
              <w:rPr>
                <w:sz w:val="15"/>
                <w:szCs w:val="15"/>
                <w:color w:val="auto"/>
              </w:rPr>
            </w:pPr>
          </w:p>
        </w:tc>
        <w:tc>
          <w:tcPr>
            <w:tcW w:w="1040" w:type="dxa"/>
            <w:vAlign w:val="bottom"/>
            <w:tcBorders>
              <w:top w:val="single" w:sz="8" w:color="CCECFF"/>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840" w:type="dxa"/>
            <w:vAlign w:val="bottom"/>
            <w:tcBorders>
              <w:top w:val="single" w:sz="8" w:color="CCECFF"/>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000" w:type="dxa"/>
            <w:vAlign w:val="bottom"/>
            <w:tcBorders>
              <w:top w:val="single" w:sz="8" w:color="CCECFF"/>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140" w:type="dxa"/>
            <w:vAlign w:val="bottom"/>
            <w:tcBorders>
              <w:top w:val="single" w:sz="8" w:color="CCECFF"/>
            </w:tcBorders>
          </w:tcPr>
          <w:p>
            <w:pPr>
              <w:spacing w:after="0"/>
              <w:rPr>
                <w:sz w:val="15"/>
                <w:szCs w:val="15"/>
                <w:color w:val="auto"/>
              </w:rPr>
            </w:pPr>
          </w:p>
        </w:tc>
        <w:tc>
          <w:tcPr>
            <w:tcW w:w="840" w:type="dxa"/>
            <w:vAlign w:val="bottom"/>
            <w:tcBorders>
              <w:top w:val="single" w:sz="8" w:color="CCECFF"/>
            </w:tcBorders>
          </w:tcPr>
          <w:p>
            <w:pPr>
              <w:spacing w:after="0"/>
              <w:rPr>
                <w:sz w:val="15"/>
                <w:szCs w:val="15"/>
                <w:color w:val="auto"/>
              </w:rPr>
            </w:pPr>
          </w:p>
        </w:tc>
        <w:tc>
          <w:tcPr>
            <w:tcW w:w="60" w:type="dxa"/>
            <w:vAlign w:val="bottom"/>
            <w:tcBorders>
              <w:top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Basic Earnings (Loss) Per Share from Discontinued Operations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3"/>
                <w:szCs w:val="13"/>
                <w:color w:val="auto"/>
              </w:rPr>
              <w:t>Undistributed loss from discontinued operations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(8,725 )</w:t>
            </w:r>
          </w:p>
        </w:tc>
        <w:tc>
          <w:tcPr>
            <w:tcW w:w="1040" w:type="dxa"/>
            <w:vAlign w:val="bottom"/>
          </w:tcPr>
          <w:p>
            <w:pPr>
              <w:jc w:val="right"/>
              <w:spacing w:after="0"/>
              <w:rPr>
                <w:sz w:val="20"/>
                <w:szCs w:val="20"/>
                <w:color w:val="auto"/>
              </w:rPr>
            </w:pPr>
            <w:r>
              <w:rPr>
                <w:rFonts w:ascii="Arial" w:cs="Arial" w:eastAsia="Arial" w:hAnsi="Arial"/>
                <w:sz w:val="13"/>
                <w:szCs w:val="13"/>
                <w:color w:val="auto"/>
              </w:rPr>
              <w:t>109,345</w:t>
            </w:r>
          </w:p>
        </w:tc>
        <w:tc>
          <w:tcPr>
            <w:tcW w:w="3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(0.08 )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(71,234 )</w:t>
            </w:r>
          </w:p>
        </w:tc>
        <w:tc>
          <w:tcPr>
            <w:tcW w:w="1000" w:type="dxa"/>
            <w:vAlign w:val="bottom"/>
          </w:tcPr>
          <w:p>
            <w:pPr>
              <w:jc w:val="right"/>
              <w:spacing w:after="0"/>
              <w:rPr>
                <w:sz w:val="20"/>
                <w:szCs w:val="20"/>
                <w:color w:val="auto"/>
              </w:rPr>
            </w:pPr>
            <w:r>
              <w:rPr>
                <w:rFonts w:ascii="Arial" w:cs="Arial" w:eastAsia="Arial" w:hAnsi="Arial"/>
                <w:sz w:val="13"/>
                <w:szCs w:val="13"/>
                <w:color w:val="auto"/>
              </w:rPr>
              <w:t>82,707</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(0.86 )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Effect of Dilutive Securities from Discontinued Operations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Stock-based compensation</w:t>
            </w:r>
          </w:p>
        </w:tc>
        <w:tc>
          <w:tcPr>
            <w:tcW w:w="12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8,861</w:t>
            </w:r>
          </w:p>
        </w:tc>
        <w:tc>
          <w:tcPr>
            <w:tcW w:w="200" w:type="dxa"/>
            <w:vAlign w:val="bottom"/>
            <w:shd w:val="clear" w:color="auto" w:fill="CCECFF"/>
          </w:tcPr>
          <w:p>
            <w:pPr>
              <w:spacing w:after="0"/>
              <w:rPr>
                <w:sz w:val="17"/>
                <w:szCs w:val="17"/>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6,684</w:t>
            </w:r>
          </w:p>
        </w:tc>
        <w:tc>
          <w:tcPr>
            <w:tcW w:w="1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Arial" w:cs="Arial" w:eastAsia="Arial" w:hAnsi="Arial"/>
                <w:sz w:val="13"/>
                <w:szCs w:val="13"/>
                <w:color w:val="auto"/>
              </w:rPr>
              <w:t>2022 Convertible Notes</w:t>
            </w:r>
          </w:p>
        </w:tc>
        <w:tc>
          <w:tcPr>
            <w:tcW w:w="12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17,131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880" w:type="dxa"/>
            <w:vAlign w:val="bottom"/>
            <w:tcBorders>
              <w:top w:val="single" w:sz="8" w:color="auto"/>
            </w:tcBorders>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40" w:type="dxa"/>
            <w:vAlign w:val="bottom"/>
            <w:tcBorders>
              <w:top w:val="single" w:sz="8" w:color="auto"/>
            </w:tcBorders>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860" w:type="dxa"/>
            <w:vAlign w:val="bottom"/>
            <w:tcBorders>
              <w:top w:val="single" w:sz="8" w:color="auto"/>
            </w:tcBorders>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0" w:type="dxa"/>
            <w:vAlign w:val="bottom"/>
            <w:tcBorders>
              <w:top w:val="single" w:sz="8" w:color="auto"/>
            </w:tcBorders>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Diluted Earnings (Loss) Per Share from Discontinued Operations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w w:val="98"/>
              </w:rPr>
              <w:t>Undistributed loss from discontinued operations and assumed conversions</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136</w:t>
            </w:r>
          </w:p>
        </w:tc>
        <w:tc>
          <w:tcPr>
            <w:tcW w:w="20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133,160</w:t>
            </w:r>
          </w:p>
        </w:tc>
        <w:tc>
          <w:tcPr>
            <w:tcW w:w="180" w:type="dxa"/>
            <w:vAlign w:val="bottom"/>
            <w:shd w:val="clear" w:color="auto" w:fill="CCECFF"/>
          </w:tcPr>
          <w:p>
            <w:pPr>
              <w:spacing w:after="0"/>
              <w:rPr>
                <w:sz w:val="20"/>
                <w:szCs w:val="20"/>
                <w:color w:val="auto"/>
              </w:rPr>
            </w:pPr>
          </w:p>
        </w:tc>
        <w:tc>
          <w:tcPr>
            <w:tcW w:w="160" w:type="dxa"/>
            <w:vAlign w:val="bottom"/>
            <w:shd w:val="clear" w:color="auto" w:fill="CCEC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CFF"/>
          </w:tcPr>
          <w:p>
            <w:pPr>
              <w:spacing w:after="0"/>
              <w:rPr>
                <w:sz w:val="20"/>
                <w:szCs w:val="20"/>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(71,234 )</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82,707</w:t>
            </w:r>
          </w:p>
        </w:tc>
        <w:tc>
          <w:tcPr>
            <w:tcW w:w="160" w:type="dxa"/>
            <w:vAlign w:val="bottom"/>
            <w:shd w:val="clear" w:color="auto" w:fill="CCEC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(0.86 )</w:t>
            </w:r>
          </w:p>
        </w:tc>
        <w:tc>
          <w:tcPr>
            <w:tcW w:w="0" w:type="dxa"/>
            <w:vAlign w:val="bottom"/>
          </w:tcPr>
          <w:p>
            <w:pPr>
              <w:spacing w:after="0"/>
              <w:rPr>
                <w:sz w:val="1"/>
                <w:szCs w:val="1"/>
                <w:color w:val="auto"/>
              </w:rPr>
            </w:pPr>
          </w:p>
        </w:tc>
      </w:tr>
      <w:tr>
        <w:trPr>
          <w:trHeight w:val="170"/>
        </w:trPr>
        <w:tc>
          <w:tcPr>
            <w:tcW w:w="428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8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4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00" w:type="dxa"/>
            <w:vAlign w:val="bottom"/>
            <w:tcBorders>
              <w:top w:val="single" w:sz="8" w:color="CCECFF"/>
            </w:tcBorders>
          </w:tcPr>
          <w:p>
            <w:pPr>
              <w:spacing w:after="0"/>
              <w:rPr>
                <w:sz w:val="14"/>
                <w:szCs w:val="14"/>
                <w:color w:val="auto"/>
              </w:rPr>
            </w:pPr>
          </w:p>
        </w:tc>
        <w:tc>
          <w:tcPr>
            <w:tcW w:w="160" w:type="dxa"/>
            <w:vAlign w:val="bottom"/>
            <w:tcBorders>
              <w:top w:val="single" w:sz="8" w:color="CCEC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Earnings (loss) per share - basic</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0.10</w:t>
            </w: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(0.97 )</w:t>
            </w:r>
          </w:p>
        </w:tc>
        <w:tc>
          <w:tcPr>
            <w:tcW w:w="0" w:type="dxa"/>
            <w:vAlign w:val="bottom"/>
          </w:tcPr>
          <w:p>
            <w:pPr>
              <w:spacing w:after="0"/>
              <w:rPr>
                <w:sz w:val="1"/>
                <w:szCs w:val="1"/>
                <w:color w:val="auto"/>
              </w:rPr>
            </w:pPr>
          </w:p>
        </w:tc>
      </w:tr>
      <w:tr>
        <w:trPr>
          <w:trHeight w:val="40"/>
        </w:trPr>
        <w:tc>
          <w:tcPr>
            <w:tcW w:w="4280" w:type="dxa"/>
            <w:vAlign w:val="bottom"/>
            <w:shd w:val="clear" w:color="auto" w:fill="CCECFF"/>
          </w:tcPr>
          <w:p>
            <w:pPr>
              <w:spacing w:after="0"/>
              <w:rPr>
                <w:sz w:val="3"/>
                <w:szCs w:val="3"/>
                <w:color w:val="auto"/>
              </w:rPr>
            </w:pPr>
          </w:p>
        </w:tc>
        <w:tc>
          <w:tcPr>
            <w:tcW w:w="120" w:type="dxa"/>
            <w:vAlign w:val="bottom"/>
            <w:shd w:val="clear" w:color="auto" w:fill="CCECFF"/>
          </w:tcPr>
          <w:p>
            <w:pPr>
              <w:spacing w:after="0"/>
              <w:rPr>
                <w:sz w:val="3"/>
                <w:szCs w:val="3"/>
                <w:color w:val="auto"/>
              </w:rPr>
            </w:pPr>
          </w:p>
        </w:tc>
        <w:tc>
          <w:tcPr>
            <w:tcW w:w="88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104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120" w:type="dxa"/>
            <w:vAlign w:val="bottom"/>
            <w:shd w:val="clear" w:color="auto" w:fill="CCECFF"/>
          </w:tcPr>
          <w:p>
            <w:pPr>
              <w:spacing w:after="0"/>
              <w:rPr>
                <w:sz w:val="3"/>
                <w:szCs w:val="3"/>
                <w:color w:val="auto"/>
              </w:rPr>
            </w:pPr>
          </w:p>
        </w:tc>
        <w:tc>
          <w:tcPr>
            <w:tcW w:w="86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1000" w:type="dxa"/>
            <w:vAlign w:val="bottom"/>
            <w:shd w:val="clear" w:color="auto" w:fill="CCECFF"/>
          </w:tcPr>
          <w:p>
            <w:pPr>
              <w:spacing w:after="0"/>
              <w:rPr>
                <w:sz w:val="3"/>
                <w:szCs w:val="3"/>
                <w:color w:val="auto"/>
              </w:rPr>
            </w:pPr>
          </w:p>
        </w:tc>
        <w:tc>
          <w:tcPr>
            <w:tcW w:w="160" w:type="dxa"/>
            <w:vAlign w:val="bottom"/>
            <w:shd w:val="clear" w:color="auto" w:fill="CCEC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60" w:type="dxa"/>
            <w:vAlign w:val="bottom"/>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Earnings (loss) per share - diluted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0.16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(0.97 )</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340" w:type="dxa"/>
            <w:vAlign w:val="bottom"/>
            <w:gridSpan w:val="4"/>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For the Nine Months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3"/>
                <w:szCs w:val="13"/>
                <w:b w:val="1"/>
                <w:bCs w:val="1"/>
                <w:color w:val="auto"/>
              </w:rPr>
              <w:t>Ended September 30,</w:t>
            </w: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Income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Per Share</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Income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Per Share</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(Numerator)</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(Denominator)</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4"/>
              </w:rPr>
              <w:t>(Numerator)</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(Denominator)</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loss from continuing operations</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(52,548 )</w:t>
            </w: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(32,479 )</w:t>
            </w: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280" w:type="dxa"/>
            <w:vAlign w:val="bottom"/>
          </w:tcPr>
          <w:p>
            <w:pPr>
              <w:ind w:left="20"/>
              <w:spacing w:after="0"/>
              <w:rPr>
                <w:sz w:val="20"/>
                <w:szCs w:val="20"/>
                <w:color w:val="auto"/>
              </w:rPr>
            </w:pPr>
            <w:r>
              <w:rPr>
                <w:rFonts w:ascii="Arial" w:cs="Arial" w:eastAsia="Arial" w:hAnsi="Arial"/>
                <w:sz w:val="13"/>
                <w:szCs w:val="13"/>
                <w:color w:val="auto"/>
              </w:rPr>
              <w:t>Less: Participation rights on Forward Transactions allocated to continuing</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80" w:type="dxa"/>
            <w:vAlign w:val="bottom"/>
          </w:tcPr>
          <w:p>
            <w:pPr>
              <w:ind w:left="20"/>
              <w:spacing w:after="0"/>
              <w:rPr>
                <w:sz w:val="20"/>
                <w:szCs w:val="20"/>
                <w:color w:val="auto"/>
              </w:rPr>
            </w:pPr>
            <w:r>
              <w:rPr>
                <w:rFonts w:ascii="Arial" w:cs="Arial" w:eastAsia="Arial" w:hAnsi="Arial"/>
                <w:sz w:val="13"/>
                <w:szCs w:val="13"/>
                <w:color w:val="auto"/>
              </w:rPr>
              <w:t>operations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880" w:type="dxa"/>
            <w:vAlign w:val="bottom"/>
            <w:tcBorders>
              <w:top w:val="single" w:sz="8" w:color="auto"/>
            </w:tcBorders>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860" w:type="dxa"/>
            <w:vAlign w:val="bottom"/>
            <w:tcBorders>
              <w:top w:val="single" w:sz="8" w:color="auto"/>
            </w:tcBorders>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Basic Loss Per Share from Continuing Operations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Undistributed loss from continuing operations</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(52,548 )</w:t>
            </w:r>
          </w:p>
        </w:tc>
        <w:tc>
          <w:tcPr>
            <w:tcW w:w="10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101,189</w:t>
            </w:r>
          </w:p>
        </w:tc>
        <w:tc>
          <w:tcPr>
            <w:tcW w:w="340" w:type="dxa"/>
            <w:vAlign w:val="bottom"/>
            <w:gridSpan w:val="2"/>
            <w:shd w:val="clear" w:color="auto" w:fill="CCECFF"/>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(0.52 )</w:t>
            </w:r>
          </w:p>
        </w:tc>
        <w:tc>
          <w:tcPr>
            <w:tcW w:w="12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(32,479 )</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81,892</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(0.40 )</w:t>
            </w:r>
          </w:p>
        </w:tc>
        <w:tc>
          <w:tcPr>
            <w:tcW w:w="0" w:type="dxa"/>
            <w:vAlign w:val="bottom"/>
          </w:tcPr>
          <w:p>
            <w:pPr>
              <w:spacing w:after="0"/>
              <w:rPr>
                <w:sz w:val="1"/>
                <w:szCs w:val="1"/>
                <w:color w:val="auto"/>
              </w:rPr>
            </w:pPr>
          </w:p>
        </w:tc>
      </w:tr>
      <w:tr>
        <w:trPr>
          <w:trHeight w:val="170"/>
        </w:trPr>
        <w:tc>
          <w:tcPr>
            <w:tcW w:w="428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8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4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00" w:type="dxa"/>
            <w:vAlign w:val="bottom"/>
            <w:tcBorders>
              <w:top w:val="single" w:sz="8" w:color="CCECFF"/>
            </w:tcBorders>
          </w:tcPr>
          <w:p>
            <w:pPr>
              <w:spacing w:after="0"/>
              <w:rPr>
                <w:sz w:val="14"/>
                <w:szCs w:val="14"/>
                <w:color w:val="auto"/>
              </w:rPr>
            </w:pPr>
          </w:p>
        </w:tc>
        <w:tc>
          <w:tcPr>
            <w:tcW w:w="160" w:type="dxa"/>
            <w:vAlign w:val="bottom"/>
            <w:tcBorders>
              <w:top w:val="single" w:sz="8" w:color="CCEC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Effect of Dilutive Securities from Continuing Operations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2022 Convertible Notes</w:t>
            </w:r>
          </w:p>
        </w:tc>
        <w:tc>
          <w:tcPr>
            <w:tcW w:w="120" w:type="dxa"/>
            <w:vAlign w:val="bottom"/>
            <w:shd w:val="clear" w:color="auto" w:fill="CCECFF"/>
          </w:tcPr>
          <w:p>
            <w:pPr>
              <w:spacing w:after="0"/>
              <w:rPr>
                <w:sz w:val="17"/>
                <w:szCs w:val="17"/>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80" w:type="dxa"/>
            <w:vAlign w:val="bottom"/>
            <w:tcBorders>
              <w:top w:val="single" w:sz="8" w:color="CCEC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C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840" w:type="dxa"/>
            <w:vAlign w:val="bottom"/>
            <w:tcBorders>
              <w:top w:val="single" w:sz="8" w:color="CCECFF"/>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140" w:type="dxa"/>
            <w:vAlign w:val="bottom"/>
            <w:tcBorders>
              <w:top w:val="single" w:sz="8" w:color="CCECFF"/>
            </w:tcBorders>
          </w:tcPr>
          <w:p>
            <w:pPr>
              <w:spacing w:after="0"/>
              <w:rPr>
                <w:sz w:val="15"/>
                <w:szCs w:val="15"/>
                <w:color w:val="auto"/>
              </w:rPr>
            </w:pPr>
          </w:p>
        </w:tc>
        <w:tc>
          <w:tcPr>
            <w:tcW w:w="840" w:type="dxa"/>
            <w:vAlign w:val="bottom"/>
            <w:tcBorders>
              <w:top w:val="single" w:sz="8" w:color="CCECFF"/>
            </w:tcBorders>
          </w:tcPr>
          <w:p>
            <w:pPr>
              <w:spacing w:after="0"/>
              <w:rPr>
                <w:sz w:val="15"/>
                <w:szCs w:val="15"/>
                <w:color w:val="auto"/>
              </w:rPr>
            </w:pPr>
          </w:p>
        </w:tc>
        <w:tc>
          <w:tcPr>
            <w:tcW w:w="60" w:type="dxa"/>
            <w:vAlign w:val="bottom"/>
            <w:tcBorders>
              <w:top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Diluted Loss Per Share from Continuing Operations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3"/>
                <w:szCs w:val="13"/>
                <w:color w:val="auto"/>
              </w:rPr>
              <w:t>Undistributed loss from continuing operations and assumed conversions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(52,548 )</w:t>
            </w:r>
          </w:p>
        </w:tc>
        <w:tc>
          <w:tcPr>
            <w:tcW w:w="1040" w:type="dxa"/>
            <w:vAlign w:val="bottom"/>
          </w:tcPr>
          <w:p>
            <w:pPr>
              <w:jc w:val="right"/>
              <w:spacing w:after="0"/>
              <w:rPr>
                <w:sz w:val="20"/>
                <w:szCs w:val="20"/>
                <w:color w:val="auto"/>
              </w:rPr>
            </w:pPr>
            <w:r>
              <w:rPr>
                <w:rFonts w:ascii="Arial" w:cs="Arial" w:eastAsia="Arial" w:hAnsi="Arial"/>
                <w:sz w:val="13"/>
                <w:szCs w:val="13"/>
                <w:color w:val="auto"/>
              </w:rPr>
              <w:t>101,189</w:t>
            </w:r>
          </w:p>
        </w:tc>
        <w:tc>
          <w:tcPr>
            <w:tcW w:w="3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(0.52 )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(32,479 )</w:t>
            </w:r>
          </w:p>
        </w:tc>
        <w:tc>
          <w:tcPr>
            <w:tcW w:w="1000" w:type="dxa"/>
            <w:vAlign w:val="bottom"/>
          </w:tcPr>
          <w:p>
            <w:pPr>
              <w:jc w:val="right"/>
              <w:spacing w:after="0"/>
              <w:rPr>
                <w:sz w:val="20"/>
                <w:szCs w:val="20"/>
                <w:color w:val="auto"/>
              </w:rPr>
            </w:pPr>
            <w:r>
              <w:rPr>
                <w:rFonts w:ascii="Arial" w:cs="Arial" w:eastAsia="Arial" w:hAnsi="Arial"/>
                <w:sz w:val="13"/>
                <w:szCs w:val="13"/>
                <w:color w:val="auto"/>
              </w:rPr>
              <w:t>81,892</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(0.40 )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Net loss from discontinued operations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(13,426 )</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(218,402 )</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w w:val="97"/>
              </w:rPr>
              <w:t>Less: Participation rights on Forward Transactions allocated to discontinued</w:t>
            </w:r>
          </w:p>
        </w:tc>
        <w:tc>
          <w:tcPr>
            <w:tcW w:w="120" w:type="dxa"/>
            <w:vAlign w:val="bottom"/>
            <w:shd w:val="clear" w:color="auto" w:fill="CCECFF"/>
          </w:tcPr>
          <w:p>
            <w:pPr>
              <w:spacing w:after="0"/>
              <w:rPr>
                <w:sz w:val="15"/>
                <w:szCs w:val="15"/>
                <w:color w:val="auto"/>
              </w:rPr>
            </w:pPr>
          </w:p>
        </w:tc>
        <w:tc>
          <w:tcPr>
            <w:tcW w:w="1080" w:type="dxa"/>
            <w:vAlign w:val="bottom"/>
            <w:gridSpan w:val="2"/>
            <w:vMerge w:val="restart"/>
            <w:shd w:val="clear" w:color="auto" w:fill="CCEC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4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operations</w:t>
            </w:r>
          </w:p>
        </w:tc>
        <w:tc>
          <w:tcPr>
            <w:tcW w:w="120" w:type="dxa"/>
            <w:vAlign w:val="bottom"/>
            <w:shd w:val="clear" w:color="auto" w:fill="CCECFF"/>
          </w:tcPr>
          <w:p>
            <w:pPr>
              <w:spacing w:after="0"/>
              <w:rPr>
                <w:sz w:val="14"/>
                <w:szCs w:val="14"/>
                <w:color w:val="auto"/>
              </w:rPr>
            </w:pPr>
          </w:p>
        </w:tc>
        <w:tc>
          <w:tcPr>
            <w:tcW w:w="1080" w:type="dxa"/>
            <w:vAlign w:val="bottom"/>
            <w:gridSpan w:val="2"/>
            <w:vMerge w:val="continue"/>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gridSpan w:val="2"/>
            <w:vMerge w:val="continue"/>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Borders>
              <w:top w:val="single" w:sz="8" w:color="CCEC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CFF"/>
            </w:tcBorders>
          </w:tcPr>
          <w:p>
            <w:pPr>
              <w:spacing w:after="0"/>
              <w:rPr>
                <w:sz w:val="15"/>
                <w:szCs w:val="15"/>
                <w:color w:val="auto"/>
              </w:rPr>
            </w:pPr>
          </w:p>
        </w:tc>
        <w:tc>
          <w:tcPr>
            <w:tcW w:w="1040" w:type="dxa"/>
            <w:vAlign w:val="bottom"/>
            <w:tcBorders>
              <w:top w:val="single" w:sz="8" w:color="CCECFF"/>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840" w:type="dxa"/>
            <w:vAlign w:val="bottom"/>
            <w:tcBorders>
              <w:top w:val="single" w:sz="8" w:color="CCECFF"/>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CFF"/>
            </w:tcBorders>
          </w:tcPr>
          <w:p>
            <w:pPr>
              <w:spacing w:after="0"/>
              <w:rPr>
                <w:sz w:val="15"/>
                <w:szCs w:val="15"/>
                <w:color w:val="auto"/>
              </w:rPr>
            </w:pPr>
          </w:p>
        </w:tc>
        <w:tc>
          <w:tcPr>
            <w:tcW w:w="1000" w:type="dxa"/>
            <w:vAlign w:val="bottom"/>
            <w:tcBorders>
              <w:top w:val="single" w:sz="8" w:color="CCECFF"/>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140" w:type="dxa"/>
            <w:vAlign w:val="bottom"/>
            <w:tcBorders>
              <w:top w:val="single" w:sz="8" w:color="CCECFF"/>
            </w:tcBorders>
          </w:tcPr>
          <w:p>
            <w:pPr>
              <w:spacing w:after="0"/>
              <w:rPr>
                <w:sz w:val="15"/>
                <w:szCs w:val="15"/>
                <w:color w:val="auto"/>
              </w:rPr>
            </w:pPr>
          </w:p>
        </w:tc>
        <w:tc>
          <w:tcPr>
            <w:tcW w:w="840" w:type="dxa"/>
            <w:vAlign w:val="bottom"/>
            <w:tcBorders>
              <w:top w:val="single" w:sz="8" w:color="CCECFF"/>
            </w:tcBorders>
          </w:tcPr>
          <w:p>
            <w:pPr>
              <w:spacing w:after="0"/>
              <w:rPr>
                <w:sz w:val="15"/>
                <w:szCs w:val="15"/>
                <w:color w:val="auto"/>
              </w:rPr>
            </w:pPr>
          </w:p>
        </w:tc>
        <w:tc>
          <w:tcPr>
            <w:tcW w:w="60" w:type="dxa"/>
            <w:vAlign w:val="bottom"/>
            <w:tcBorders>
              <w:top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Basic Loss Per Share from Discontinued Operations</w:t>
            </w:r>
          </w:p>
        </w:tc>
        <w:tc>
          <w:tcPr>
            <w:tcW w:w="1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3"/>
                <w:szCs w:val="13"/>
                <w:color w:val="auto"/>
              </w:rPr>
              <w:t>Undistributed loss from discontinued operations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(13,426 )</w:t>
            </w:r>
          </w:p>
        </w:tc>
        <w:tc>
          <w:tcPr>
            <w:tcW w:w="1040" w:type="dxa"/>
            <w:vAlign w:val="bottom"/>
          </w:tcPr>
          <w:p>
            <w:pPr>
              <w:jc w:val="right"/>
              <w:spacing w:after="0"/>
              <w:rPr>
                <w:sz w:val="20"/>
                <w:szCs w:val="20"/>
                <w:color w:val="auto"/>
              </w:rPr>
            </w:pPr>
            <w:r>
              <w:rPr>
                <w:rFonts w:ascii="Arial" w:cs="Arial" w:eastAsia="Arial" w:hAnsi="Arial"/>
                <w:sz w:val="13"/>
                <w:szCs w:val="13"/>
                <w:color w:val="auto"/>
              </w:rPr>
              <w:t>101,189</w:t>
            </w:r>
          </w:p>
        </w:tc>
        <w:tc>
          <w:tcPr>
            <w:tcW w:w="3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(0.13 )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(218,402 )</w:t>
            </w:r>
          </w:p>
        </w:tc>
        <w:tc>
          <w:tcPr>
            <w:tcW w:w="1000" w:type="dxa"/>
            <w:vAlign w:val="bottom"/>
          </w:tcPr>
          <w:p>
            <w:pPr>
              <w:jc w:val="right"/>
              <w:spacing w:after="0"/>
              <w:rPr>
                <w:sz w:val="20"/>
                <w:szCs w:val="20"/>
                <w:color w:val="auto"/>
              </w:rPr>
            </w:pPr>
            <w:r>
              <w:rPr>
                <w:rFonts w:ascii="Arial" w:cs="Arial" w:eastAsia="Arial" w:hAnsi="Arial"/>
                <w:sz w:val="13"/>
                <w:szCs w:val="13"/>
                <w:color w:val="auto"/>
              </w:rPr>
              <w:t>81,892</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(2.67 )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-6214110</wp:posOffset>
            </wp:positionV>
            <wp:extent cx="1111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-6196965</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-6214110</wp:posOffset>
            </wp:positionV>
            <wp:extent cx="431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-6196965</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-5705475</wp:posOffset>
            </wp:positionV>
            <wp:extent cx="12890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-5705475</wp:posOffset>
            </wp:positionV>
            <wp:extent cx="12001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-5705475</wp:posOffset>
            </wp:positionV>
            <wp:extent cx="1111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-5705475</wp:posOffset>
            </wp:positionV>
            <wp:extent cx="10287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-4857115</wp:posOffset>
            </wp:positionV>
            <wp:extent cx="12890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-4857115</wp:posOffset>
            </wp:positionV>
            <wp:extent cx="1111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-3616960</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-3599815</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-3616960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-3599815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-3350895</wp:posOffset>
            </wp:positionV>
            <wp:extent cx="11112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2540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-3350895</wp:posOffset>
            </wp:positionV>
            <wp:extent cx="4318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2540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-1748155</wp:posOffset>
            </wp:positionV>
            <wp:extent cx="1111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-1731010</wp:posOffset>
            </wp:positionV>
            <wp:extent cx="1111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-1748155</wp:posOffset>
            </wp:positionV>
            <wp:extent cx="431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-1731010</wp:posOffset>
            </wp:positionV>
            <wp:extent cx="431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-1239520</wp:posOffset>
            </wp:positionV>
            <wp:extent cx="1289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-1239520</wp:posOffset>
            </wp:positionV>
            <wp:extent cx="1200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-1239520</wp:posOffset>
            </wp:positionV>
            <wp:extent cx="11112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-1239520</wp:posOffset>
            </wp:positionV>
            <wp:extent cx="10287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-390525</wp:posOffset>
            </wp:positionV>
            <wp:extent cx="1289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-390525</wp:posOffset>
            </wp:positionV>
            <wp:extent cx="11112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ectPr>
          <w:pgSz w:w="11900" w:h="16838" w:orient="portrait"/>
          <w:cols w:equalWidth="0" w:num="1">
            <w:col w:w="11240"/>
          </w:cols>
          <w:pgMar w:left="320" w:top="135" w:right="339" w:bottom="466"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466"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Effect of Dilutive Securities from Discontinued Operations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7"/>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Stock-based compensation</w:t>
            </w:r>
          </w:p>
        </w:tc>
        <w:tc>
          <w:tcPr>
            <w:tcW w:w="340" w:type="dxa"/>
            <w:vAlign w:val="bottom"/>
            <w:shd w:val="clear" w:color="auto" w:fill="CCECFF"/>
          </w:tcPr>
          <w:p>
            <w:pPr>
              <w:spacing w:after="0"/>
              <w:rPr>
                <w:sz w:val="17"/>
                <w:szCs w:val="17"/>
                <w:color w:val="auto"/>
              </w:rPr>
            </w:pPr>
          </w:p>
        </w:tc>
        <w:tc>
          <w:tcPr>
            <w:tcW w:w="860" w:type="dxa"/>
            <w:vAlign w:val="bottom"/>
            <w:gridSpan w:val="2"/>
            <w:shd w:val="clear" w:color="auto" w:fill="CCEC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60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60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r>
      <w:tr>
        <w:trPr>
          <w:trHeight w:val="188"/>
        </w:trPr>
        <w:tc>
          <w:tcPr>
            <w:tcW w:w="4280" w:type="dxa"/>
            <w:vAlign w:val="bottom"/>
          </w:tcPr>
          <w:p>
            <w:pPr>
              <w:ind w:left="20"/>
              <w:spacing w:after="0"/>
              <w:rPr>
                <w:sz w:val="20"/>
                <w:szCs w:val="20"/>
                <w:color w:val="auto"/>
              </w:rPr>
            </w:pPr>
            <w:r>
              <w:rPr>
                <w:rFonts w:ascii="Arial" w:cs="Arial" w:eastAsia="Arial" w:hAnsi="Arial"/>
                <w:sz w:val="13"/>
                <w:szCs w:val="13"/>
                <w:color w:val="auto"/>
              </w:rPr>
              <w:t>2022 Convertible Notes</w:t>
            </w:r>
          </w:p>
        </w:tc>
        <w:tc>
          <w:tcPr>
            <w:tcW w:w="3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280" w:type="dxa"/>
            <w:vAlign w:val="bottom"/>
            <w:shd w:val="clear" w:color="auto" w:fill="CCECFF"/>
          </w:tcPr>
          <w:p>
            <w:pPr>
              <w:spacing w:after="0"/>
              <w:rPr>
                <w:sz w:val="15"/>
                <w:szCs w:val="15"/>
                <w:color w:val="auto"/>
              </w:rPr>
            </w:pPr>
          </w:p>
        </w:tc>
        <w:tc>
          <w:tcPr>
            <w:tcW w:w="340" w:type="dxa"/>
            <w:vAlign w:val="bottom"/>
            <w:tcBorders>
              <w:top w:val="single" w:sz="8" w:color="auto"/>
            </w:tcBorders>
            <w:shd w:val="clear" w:color="auto" w:fill="CCECFF"/>
          </w:tcPr>
          <w:p>
            <w:pPr>
              <w:spacing w:after="0"/>
              <w:rPr>
                <w:sz w:val="15"/>
                <w:szCs w:val="15"/>
                <w:color w:val="auto"/>
              </w:rPr>
            </w:pPr>
          </w:p>
        </w:tc>
        <w:tc>
          <w:tcPr>
            <w:tcW w:w="660" w:type="dxa"/>
            <w:vAlign w:val="bottom"/>
            <w:tcBorders>
              <w:top w:val="single" w:sz="8" w:color="auto"/>
            </w:tcBorders>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40" w:type="dxa"/>
            <w:vAlign w:val="bottom"/>
            <w:tcBorders>
              <w:top w:val="single" w:sz="8" w:color="auto"/>
            </w:tcBorders>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300" w:type="dxa"/>
            <w:vAlign w:val="bottom"/>
            <w:tcBorders>
              <w:top w:val="single" w:sz="8" w:color="auto"/>
            </w:tcBorders>
            <w:shd w:val="clear" w:color="auto" w:fill="CCECFF"/>
          </w:tcPr>
          <w:p>
            <w:pPr>
              <w:spacing w:after="0"/>
              <w:rPr>
                <w:sz w:val="15"/>
                <w:szCs w:val="15"/>
                <w:color w:val="auto"/>
              </w:rPr>
            </w:pPr>
          </w:p>
        </w:tc>
        <w:tc>
          <w:tcPr>
            <w:tcW w:w="680" w:type="dxa"/>
            <w:vAlign w:val="bottom"/>
            <w:tcBorders>
              <w:top w:val="single" w:sz="8" w:color="auto"/>
            </w:tcBorders>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0" w:type="dxa"/>
            <w:vAlign w:val="bottom"/>
            <w:tcBorders>
              <w:top w:val="single" w:sz="8" w:color="auto"/>
            </w:tcBorders>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r>
      <w:tr>
        <w:trPr>
          <w:trHeight w:val="181"/>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Diluted Loss Per Share from Discontinued Operations</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7"/>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color w:val="auto"/>
                <w:w w:val="98"/>
              </w:rPr>
              <w:t>Undistributed loss from discontinued operations and assumed conversions</w:t>
            </w:r>
          </w:p>
        </w:tc>
        <w:tc>
          <w:tcPr>
            <w:tcW w:w="340" w:type="dxa"/>
            <w:vAlign w:val="bottom"/>
            <w:shd w:val="clear" w:color="auto" w:fill="CCECFF"/>
          </w:tcPr>
          <w:p>
            <w:pPr>
              <w:jc w:val="right"/>
              <w:ind w:right="19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(13,426 )</w:t>
            </w:r>
          </w:p>
        </w:tc>
        <w:tc>
          <w:tcPr>
            <w:tcW w:w="10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101,189</w:t>
            </w:r>
          </w:p>
        </w:tc>
        <w:tc>
          <w:tcPr>
            <w:tcW w:w="180" w:type="dxa"/>
            <w:vAlign w:val="bottom"/>
            <w:shd w:val="clear" w:color="auto" w:fill="CCECFF"/>
          </w:tcPr>
          <w:p>
            <w:pPr>
              <w:spacing w:after="0"/>
              <w:rPr>
                <w:sz w:val="20"/>
                <w:szCs w:val="20"/>
                <w:color w:val="auto"/>
              </w:rPr>
            </w:pPr>
          </w:p>
        </w:tc>
        <w:tc>
          <w:tcPr>
            <w:tcW w:w="400" w:type="dxa"/>
            <w:vAlign w:val="bottom"/>
            <w:shd w:val="clear" w:color="auto" w:fill="CCECFF"/>
          </w:tcPr>
          <w:p>
            <w:pPr>
              <w:jc w:val="right"/>
              <w:ind w:right="25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(0.13 )</w:t>
            </w:r>
          </w:p>
        </w:tc>
        <w:tc>
          <w:tcPr>
            <w:tcW w:w="300" w:type="dxa"/>
            <w:vAlign w:val="bottom"/>
            <w:shd w:val="clear" w:color="auto" w:fill="CCECFF"/>
          </w:tcPr>
          <w:p>
            <w:pPr>
              <w:jc w:val="right"/>
              <w:ind w:right="15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(218,402 )</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81,892</w:t>
            </w:r>
          </w:p>
        </w:tc>
        <w:tc>
          <w:tcPr>
            <w:tcW w:w="540" w:type="dxa"/>
            <w:vAlign w:val="bottom"/>
            <w:gridSpan w:val="2"/>
            <w:shd w:val="clear" w:color="auto" w:fill="CCECFF"/>
          </w:tcPr>
          <w:p>
            <w:pPr>
              <w:jc w:val="right"/>
              <w:ind w:right="3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(2.67 )</w:t>
            </w:r>
          </w:p>
        </w:tc>
      </w:tr>
      <w:tr>
        <w:trPr>
          <w:trHeight w:val="169"/>
        </w:trPr>
        <w:tc>
          <w:tcPr>
            <w:tcW w:w="4280" w:type="dxa"/>
            <w:vAlign w:val="bottom"/>
            <w:tcBorders>
              <w:top w:val="single" w:sz="8" w:color="CCECFF"/>
            </w:tcBorders>
          </w:tcPr>
          <w:p>
            <w:pPr>
              <w:spacing w:after="0"/>
              <w:rPr>
                <w:sz w:val="14"/>
                <w:szCs w:val="14"/>
                <w:color w:val="auto"/>
              </w:rPr>
            </w:pPr>
          </w:p>
        </w:tc>
        <w:tc>
          <w:tcPr>
            <w:tcW w:w="340" w:type="dxa"/>
            <w:vAlign w:val="bottom"/>
            <w:tcBorders>
              <w:top w:val="single" w:sz="8" w:color="CCECFF"/>
            </w:tcBorders>
          </w:tcPr>
          <w:p>
            <w:pPr>
              <w:spacing w:after="0"/>
              <w:rPr>
                <w:sz w:val="14"/>
                <w:szCs w:val="14"/>
                <w:color w:val="auto"/>
              </w:rPr>
            </w:pPr>
          </w:p>
        </w:tc>
        <w:tc>
          <w:tcPr>
            <w:tcW w:w="660" w:type="dxa"/>
            <w:vAlign w:val="bottom"/>
            <w:tcBorders>
              <w:top w:val="single" w:sz="8" w:color="CCECFF"/>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c>
          <w:tcPr>
            <w:tcW w:w="104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300" w:type="dxa"/>
            <w:vAlign w:val="bottom"/>
            <w:tcBorders>
              <w:top w:val="single" w:sz="8" w:color="CCECFF"/>
            </w:tcBorders>
          </w:tcPr>
          <w:p>
            <w:pPr>
              <w:spacing w:after="0"/>
              <w:rPr>
                <w:sz w:val="14"/>
                <w:szCs w:val="14"/>
                <w:color w:val="auto"/>
              </w:rPr>
            </w:pPr>
          </w:p>
        </w:tc>
        <w:tc>
          <w:tcPr>
            <w:tcW w:w="68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00" w:type="dxa"/>
            <w:vAlign w:val="bottom"/>
            <w:tcBorders>
              <w:top w:val="single" w:sz="8" w:color="CCECFF"/>
            </w:tcBorders>
          </w:tcPr>
          <w:p>
            <w:pPr>
              <w:spacing w:after="0"/>
              <w:rPr>
                <w:sz w:val="14"/>
                <w:szCs w:val="14"/>
                <w:color w:val="auto"/>
              </w:rPr>
            </w:pPr>
          </w:p>
        </w:tc>
        <w:tc>
          <w:tcPr>
            <w:tcW w:w="160" w:type="dxa"/>
            <w:vAlign w:val="bottom"/>
            <w:tcBorders>
              <w:top w:val="single" w:sz="8" w:color="CCEC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r>
      <w:tr>
        <w:trPr>
          <w:trHeight w:val="189"/>
        </w:trPr>
        <w:tc>
          <w:tcPr>
            <w:tcW w:w="42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Loss per share - basic</w:t>
            </w:r>
          </w:p>
        </w:tc>
        <w:tc>
          <w:tcPr>
            <w:tcW w:w="340" w:type="dxa"/>
            <w:vAlign w:val="bottom"/>
            <w:shd w:val="clear" w:color="auto" w:fill="CCECFF"/>
          </w:tcPr>
          <w:p>
            <w:pPr>
              <w:spacing w:after="0"/>
              <w:rPr>
                <w:sz w:val="16"/>
                <w:szCs w:val="16"/>
                <w:color w:val="auto"/>
              </w:rPr>
            </w:pPr>
          </w:p>
        </w:tc>
        <w:tc>
          <w:tcPr>
            <w:tcW w:w="6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400" w:type="dxa"/>
            <w:vAlign w:val="bottom"/>
            <w:shd w:val="clear" w:color="auto" w:fill="CCECFF"/>
          </w:tcPr>
          <w:p>
            <w:pPr>
              <w:jc w:val="right"/>
              <w:ind w:right="25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(0.65 )</w:t>
            </w:r>
          </w:p>
        </w:tc>
        <w:tc>
          <w:tcPr>
            <w:tcW w:w="30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540" w:type="dxa"/>
            <w:vAlign w:val="bottom"/>
            <w:gridSpan w:val="2"/>
            <w:shd w:val="clear" w:color="auto" w:fill="CCECFF"/>
          </w:tcPr>
          <w:p>
            <w:pPr>
              <w:jc w:val="right"/>
              <w:ind w:right="3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(3.07 )</w:t>
            </w:r>
          </w:p>
        </w:tc>
      </w:tr>
      <w:tr>
        <w:trPr>
          <w:trHeight w:val="41"/>
        </w:trPr>
        <w:tc>
          <w:tcPr>
            <w:tcW w:w="4280" w:type="dxa"/>
            <w:vAlign w:val="bottom"/>
            <w:shd w:val="clear" w:color="auto" w:fill="CCECFF"/>
          </w:tcPr>
          <w:p>
            <w:pPr>
              <w:spacing w:after="0"/>
              <w:rPr>
                <w:sz w:val="3"/>
                <w:szCs w:val="3"/>
                <w:color w:val="auto"/>
              </w:rPr>
            </w:pPr>
          </w:p>
        </w:tc>
        <w:tc>
          <w:tcPr>
            <w:tcW w:w="340" w:type="dxa"/>
            <w:vAlign w:val="bottom"/>
            <w:shd w:val="clear" w:color="auto" w:fill="CCECFF"/>
          </w:tcPr>
          <w:p>
            <w:pPr>
              <w:spacing w:after="0"/>
              <w:rPr>
                <w:sz w:val="3"/>
                <w:szCs w:val="3"/>
                <w:color w:val="auto"/>
              </w:rPr>
            </w:pPr>
          </w:p>
        </w:tc>
        <w:tc>
          <w:tcPr>
            <w:tcW w:w="66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104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300" w:type="dxa"/>
            <w:vAlign w:val="bottom"/>
            <w:shd w:val="clear" w:color="auto" w:fill="CCECFF"/>
          </w:tcPr>
          <w:p>
            <w:pPr>
              <w:spacing w:after="0"/>
              <w:rPr>
                <w:sz w:val="3"/>
                <w:szCs w:val="3"/>
                <w:color w:val="auto"/>
              </w:rPr>
            </w:pPr>
          </w:p>
        </w:tc>
        <w:tc>
          <w:tcPr>
            <w:tcW w:w="68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1000" w:type="dxa"/>
            <w:vAlign w:val="bottom"/>
            <w:shd w:val="clear" w:color="auto" w:fill="CCECFF"/>
          </w:tcPr>
          <w:p>
            <w:pPr>
              <w:spacing w:after="0"/>
              <w:rPr>
                <w:sz w:val="3"/>
                <w:szCs w:val="3"/>
                <w:color w:val="auto"/>
              </w:rPr>
            </w:pPr>
          </w:p>
        </w:tc>
        <w:tc>
          <w:tcPr>
            <w:tcW w:w="160" w:type="dxa"/>
            <w:vAlign w:val="bottom"/>
            <w:shd w:val="clear" w:color="auto" w:fill="CCEC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60" w:type="dxa"/>
            <w:vAlign w:val="bottom"/>
            <w:shd w:val="clear" w:color="auto" w:fill="CCECFF"/>
          </w:tcPr>
          <w:p>
            <w:pPr>
              <w:spacing w:after="0"/>
              <w:rPr>
                <w:sz w:val="3"/>
                <w:szCs w:val="3"/>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Loss per share - diluted</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(0.65 )</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(3.07 )</w:t>
            </w:r>
          </w:p>
        </w:tc>
      </w:tr>
      <w:tr>
        <w:trPr>
          <w:trHeight w:val="41"/>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-436245</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-419735</wp:posOffset>
            </wp:positionV>
            <wp:extent cx="1111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-436245</wp:posOffset>
            </wp:positionV>
            <wp:extent cx="43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-419735</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11112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125" cy="2603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26035"/>
                    </a:xfrm>
                    <a:prstGeom prst="rect">
                      <a:avLst/>
                    </a:prstGeom>
                    <a:noFill/>
                  </pic:spPr>
                </pic:pic>
              </a:graphicData>
            </a:graphic>
          </wp:anchor>
        </w:drawing>
      </w:r>
    </w:p>
    <w:p>
      <w:pPr>
        <w:spacing w:after="0" w:line="353"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35" w:lineRule="exact"/>
        <w:rPr>
          <w:sz w:val="20"/>
          <w:szCs w:val="20"/>
          <w:color w:val="auto"/>
        </w:rPr>
      </w:pPr>
    </w:p>
    <w:p>
      <w:pPr>
        <w:ind w:firstLine="509"/>
        <w:spacing w:after="0" w:line="359" w:lineRule="auto"/>
        <w:rPr>
          <w:sz w:val="20"/>
          <w:szCs w:val="20"/>
          <w:color w:val="auto"/>
        </w:rPr>
      </w:pPr>
      <w:r>
        <w:rPr>
          <w:rFonts w:ascii="Arial" w:cs="Arial" w:eastAsia="Arial" w:hAnsi="Arial"/>
          <w:sz w:val="16"/>
          <w:szCs w:val="16"/>
          <w:color w:val="auto"/>
        </w:rPr>
        <w:t>Inventories consist primarily of telecommunications systems and parts and are recorded at the lower of average cost or market price. We evaluate the need for write-downs associated with obsolete, slow-moving and nonsalable inventory by reviewing net realizable inventory values on a periodic basis.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as of September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6"/>
                <w:szCs w:val="16"/>
                <w:color w:val="auto"/>
              </w:rPr>
            </w:pPr>
          </w:p>
        </w:tc>
      </w:tr>
      <w:tr>
        <w:trPr>
          <w:trHeight w:val="208"/>
        </w:trPr>
        <w:tc>
          <w:tcPr>
            <w:tcW w:w="4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Work-in-process component parts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15,405</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12,709</w:t>
            </w:r>
          </w:p>
        </w:tc>
        <w:tc>
          <w:tcPr>
            <w:tcW w:w="80" w:type="dxa"/>
            <w:vAlign w:val="bottom"/>
          </w:tcPr>
          <w:p>
            <w:pPr>
              <w:spacing w:after="0"/>
              <w:rPr>
                <w:sz w:val="21"/>
                <w:szCs w:val="21"/>
                <w:color w:val="auto"/>
              </w:rPr>
            </w:pPr>
          </w:p>
        </w:tc>
      </w:tr>
      <w:tr>
        <w:trPr>
          <w:trHeight w:val="29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29,964</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28,114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1200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1200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80"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Balance Sheet Accounts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as of September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65"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6"/>
                <w:szCs w:val="16"/>
                <w:color w:val="auto"/>
              </w:rPr>
            </w:pPr>
          </w:p>
        </w:tc>
      </w:tr>
      <w:tr>
        <w:trPr>
          <w:trHeight w:val="290"/>
        </w:trPr>
        <w:tc>
          <w:tcPr>
            <w:tcW w:w="5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r>
      <w:tr>
        <w:trPr>
          <w:trHeight w:val="25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Prepaid inventories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r>
      <w:tr>
        <w:trPr>
          <w:trHeight w:val="263"/>
        </w:trPr>
        <w:tc>
          <w:tcPr>
            <w:tcW w:w="5000" w:type="dxa"/>
            <w:vAlign w:val="bottom"/>
            <w:shd w:val="clear" w:color="auto" w:fill="CFF0FC"/>
          </w:tcPr>
          <w:p>
            <w:pPr>
              <w:spacing w:after="0" w:line="263" w:lineRule="exact"/>
              <w:rPr>
                <w:sz w:val="20"/>
                <w:szCs w:val="20"/>
                <w:color w:val="auto"/>
              </w:rPr>
            </w:pPr>
            <w:r>
              <w:rPr>
                <w:rFonts w:ascii="Arial" w:cs="Arial" w:eastAsia="Arial" w:hAnsi="Arial"/>
                <w:sz w:val="18"/>
                <w:szCs w:val="18"/>
                <w:color w:val="auto"/>
              </w:rPr>
              <w:t xml:space="preserve">Insurance receivable </w:t>
            </w:r>
            <w:r>
              <w:rPr>
                <w:rFonts w:ascii="Arial" w:cs="Arial" w:eastAsia="Arial" w:hAnsi="Arial"/>
                <w:sz w:val="24"/>
                <w:szCs w:val="24"/>
                <w:i w:val="1"/>
                <w:iCs w:val="1"/>
                <w:color w:val="auto"/>
                <w:vertAlign w:val="superscript"/>
              </w:rPr>
              <w:t>(1)</w:t>
            </w: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17,300</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Vendor receivable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receivables</w:t>
            </w: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8,077</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80" w:type="dxa"/>
            <w:vAlign w:val="bottom"/>
          </w:tcPr>
          <w:p>
            <w:pPr>
              <w:spacing w:after="0"/>
              <w:rPr>
                <w:sz w:val="21"/>
                <w:szCs w:val="21"/>
                <w:color w:val="auto"/>
              </w:rPr>
            </w:pPr>
          </w:p>
        </w:tc>
      </w:tr>
      <w:tr>
        <w:trPr>
          <w:trHeight w:val="29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36,921</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1289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1289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ind w:left="440" w:hanging="432"/>
        <w:spacing w:after="0"/>
        <w:tabs>
          <w:tab w:leader="none" w:pos="44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See Note 14, “Commitments and Contingencies,” for additional information.</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September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w w:val="99"/>
              </w:rPr>
              <w:t>Office equipment, furniture, fixtures and other</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12,007</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12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12,012</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Network equipment</w:t>
            </w:r>
          </w:p>
        </w:tc>
        <w:tc>
          <w:tcPr>
            <w:tcW w:w="1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137,917</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139,884</w:t>
            </w:r>
          </w:p>
        </w:tc>
        <w:tc>
          <w:tcPr>
            <w:tcW w:w="12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161,991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162,882</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(103,588 )</w:t>
            </w:r>
          </w:p>
        </w:tc>
        <w:tc>
          <w:tcPr>
            <w:tcW w:w="1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(99,389 )</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6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property and equipment, net</w:t>
            </w:r>
          </w:p>
        </w:tc>
        <w:tc>
          <w:tcPr>
            <w:tcW w:w="12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58,403</w:t>
            </w:r>
          </w:p>
        </w:tc>
        <w:tc>
          <w:tcPr>
            <w:tcW w:w="22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63,493</w:t>
            </w:r>
          </w:p>
        </w:tc>
        <w:tc>
          <w:tcPr>
            <w:tcW w:w="120" w:type="dxa"/>
            <w:vAlign w:val="bottom"/>
            <w:tcBorders>
              <w:top w:val="single" w:sz="8" w:color="CFF0FC"/>
            </w:tcBorders>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60" w:type="dxa"/>
            <w:vAlign w:val="bottom"/>
            <w:vMerge w:val="restart"/>
          </w:tcPr>
          <w:p>
            <w:pPr>
              <w:jc w:val="right"/>
              <w:ind w:right="75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-1024890</wp:posOffset>
            </wp:positionV>
            <wp:extent cx="14605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-1024890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-690880</wp:posOffset>
            </wp:positionV>
            <wp:extent cx="14605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-690880</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assets as of September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6"/>
                <w:szCs w:val="16"/>
                <w:color w:val="auto"/>
              </w:rPr>
            </w:pPr>
          </w:p>
        </w:tc>
      </w:tr>
      <w:tr>
        <w:trPr>
          <w:trHeight w:val="208"/>
        </w:trPr>
        <w:tc>
          <w:tcPr>
            <w:tcW w:w="4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3"/>
              </w:rPr>
              <w:t>Contract assets, net of allowances of $431 and $375, respectively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9,775</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Interest rate cap</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7,940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deferred financing costs</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21"/>
                <w:szCs w:val="21"/>
                <w:color w:val="auto"/>
              </w:rPr>
            </w:pPr>
          </w:p>
        </w:tc>
      </w:tr>
      <w:tr>
        <w:trPr>
          <w:trHeight w:val="29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24,757</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1289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1289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as of September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6"/>
                <w:szCs w:val="16"/>
                <w:color w:val="auto"/>
              </w:rPr>
            </w:pPr>
          </w:p>
        </w:tc>
      </w:tr>
      <w:tr>
        <w:trPr>
          <w:trHeight w:val="208"/>
        </w:trPr>
        <w:tc>
          <w:tcPr>
            <w:tcW w:w="4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17,836</w:t>
            </w:r>
          </w:p>
        </w:tc>
        <w:tc>
          <w:tcPr>
            <w:tcW w:w="80" w:type="dxa"/>
            <w:vAlign w:val="bottom"/>
            <w:shd w:val="clear" w:color="auto" w:fill="CFF0FC"/>
          </w:tcPr>
          <w:p>
            <w:pPr>
              <w:spacing w:after="0"/>
              <w:rPr>
                <w:sz w:val="22"/>
                <w:szCs w:val="22"/>
                <w:color w:val="auto"/>
              </w:rPr>
            </w:pPr>
          </w:p>
        </w:tc>
      </w:tr>
      <w:tr>
        <w:trPr>
          <w:trHeight w:val="257"/>
        </w:trPr>
        <w:tc>
          <w:tcPr>
            <w:tcW w:w="4980" w:type="dxa"/>
            <w:vAlign w:val="bottom"/>
          </w:tcPr>
          <w:p>
            <w:pPr>
              <w:spacing w:after="0" w:line="257" w:lineRule="exact"/>
              <w:rPr>
                <w:sz w:val="20"/>
                <w:szCs w:val="20"/>
                <w:color w:val="auto"/>
              </w:rPr>
            </w:pPr>
            <w:r>
              <w:rPr>
                <w:rFonts w:ascii="Arial" w:cs="Arial" w:eastAsia="Arial" w:hAnsi="Arial"/>
                <w:sz w:val="18"/>
                <w:szCs w:val="18"/>
                <w:color w:val="auto"/>
              </w:rPr>
              <w:t xml:space="preserve">Employee compensation and benefits </w:t>
            </w:r>
            <w:r>
              <w:rPr>
                <w:rFonts w:ascii="Arial" w:cs="Arial" w:eastAsia="Arial" w:hAnsi="Arial"/>
                <w:sz w:val="24"/>
                <w:szCs w:val="24"/>
                <w:i w:val="1"/>
                <w:iCs w:val="1"/>
                <w:color w:val="auto"/>
                <w:vertAlign w:val="superscript"/>
              </w:rPr>
              <w:t>(1)</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37,493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35,516</w:t>
            </w:r>
          </w:p>
        </w:tc>
        <w:tc>
          <w:tcPr>
            <w:tcW w:w="80" w:type="dxa"/>
            <w:vAlign w:val="bottom"/>
          </w:tcPr>
          <w:p>
            <w:pPr>
              <w:spacing w:after="0"/>
              <w:rPr>
                <w:sz w:val="22"/>
                <w:szCs w:val="22"/>
                <w:color w:val="auto"/>
              </w:rPr>
            </w:pPr>
          </w:p>
        </w:tc>
      </w:tr>
      <w:tr>
        <w:trPr>
          <w:trHeight w:val="257"/>
        </w:trPr>
        <w:tc>
          <w:tcPr>
            <w:tcW w:w="4980" w:type="dxa"/>
            <w:vAlign w:val="bottom"/>
            <w:shd w:val="clear" w:color="auto" w:fill="CFF0FC"/>
          </w:tcPr>
          <w:p>
            <w:pPr>
              <w:spacing w:after="0" w:line="257" w:lineRule="exact"/>
              <w:rPr>
                <w:sz w:val="20"/>
                <w:szCs w:val="20"/>
                <w:color w:val="auto"/>
              </w:rPr>
            </w:pPr>
            <w:r>
              <w:rPr>
                <w:rFonts w:ascii="Arial" w:cs="Arial" w:eastAsia="Arial" w:hAnsi="Arial"/>
                <w:sz w:val="18"/>
                <w:szCs w:val="18"/>
                <w:color w:val="auto"/>
              </w:rPr>
              <w:t xml:space="preserve">Litigation settlement accrual </w:t>
            </w:r>
            <w:r>
              <w:rPr>
                <w:rFonts w:ascii="Arial" w:cs="Arial" w:eastAsia="Arial" w:hAnsi="Arial"/>
                <w:sz w:val="24"/>
                <w:szCs w:val="24"/>
                <w:i w:val="1"/>
                <w:iCs w:val="1"/>
                <w:color w:val="auto"/>
                <w:vertAlign w:val="superscript"/>
              </w:rPr>
              <w:t>(2)</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17,300</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8,089</w:t>
            </w: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spacing w:after="0" w:line="263" w:lineRule="exact"/>
              <w:rPr>
                <w:sz w:val="20"/>
                <w:szCs w:val="20"/>
                <w:color w:val="auto"/>
              </w:rPr>
            </w:pPr>
            <w:r>
              <w:rPr>
                <w:rFonts w:ascii="Arial" w:cs="Arial" w:eastAsia="Arial" w:hAnsi="Arial"/>
                <w:sz w:val="18"/>
                <w:szCs w:val="18"/>
                <w:color w:val="auto"/>
              </w:rPr>
              <w:t xml:space="preserve">Deferred gain on sale of CA business </w:t>
            </w:r>
            <w:r>
              <w:rPr>
                <w:rFonts w:ascii="Arial" w:cs="Arial" w:eastAsia="Arial" w:hAnsi="Arial"/>
                <w:sz w:val="24"/>
                <w:szCs w:val="24"/>
                <w:i w:val="1"/>
                <w:iCs w:val="1"/>
                <w:color w:val="auto"/>
                <w:vertAlign w:val="superscript"/>
              </w:rPr>
              <w:t>(3)</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Warranty reserve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10,821</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7,746</w:t>
            </w:r>
          </w:p>
        </w:tc>
        <w:tc>
          <w:tcPr>
            <w:tcW w:w="80" w:type="dxa"/>
            <w:vAlign w:val="bottom"/>
          </w:tcPr>
          <w:p>
            <w:pPr>
              <w:spacing w:after="0"/>
              <w:rPr>
                <w:sz w:val="21"/>
                <w:szCs w:val="21"/>
                <w:color w:val="auto"/>
              </w:rPr>
            </w:pPr>
          </w:p>
        </w:tc>
      </w:tr>
      <w:tr>
        <w:trPr>
          <w:trHeight w:val="29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94,816</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83,009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ind w:left="440" w:right="260" w:hanging="432"/>
        <w:spacing w:after="0" w:line="266" w:lineRule="auto"/>
        <w:tabs>
          <w:tab w:leader="none" w:pos="4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Includes $25.1 million and $19.2 million as of September 30, 2021 and December 31, 2020, respectively, expected to be paid in shares of Gogo common stock upon the vesting of certain equity awards issued to former employees now employed by Intelsat and classified within discontinued operations.</w:t>
      </w:r>
    </w:p>
    <w:p>
      <w:pPr>
        <w:ind w:left="440" w:hanging="432"/>
        <w:spacing w:after="0"/>
        <w:tabs>
          <w:tab w:leader="none" w:pos="4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See Note 14, “Commitments and Contingencies,” for additional information.</w:t>
      </w:r>
    </w:p>
    <w:p>
      <w:pPr>
        <w:spacing w:after="0" w:line="22" w:lineRule="exact"/>
        <w:rPr>
          <w:rFonts w:ascii="Arial" w:cs="Arial" w:eastAsia="Arial" w:hAnsi="Arial"/>
          <w:sz w:val="18"/>
          <w:szCs w:val="18"/>
          <w:i w:val="1"/>
          <w:iCs w:val="1"/>
          <w:color w:val="auto"/>
        </w:rPr>
      </w:pPr>
    </w:p>
    <w:p>
      <w:pPr>
        <w:ind w:left="440" w:hanging="432"/>
        <w:spacing w:after="0"/>
        <w:tabs>
          <w:tab w:leader="none" w:pos="4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Relates to sale of CA business. See Note 2, “Discontinued Operations,” for additional information.</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liabilities as of September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6"/>
                <w:szCs w:val="16"/>
                <w:color w:val="auto"/>
              </w:rPr>
            </w:pPr>
          </w:p>
        </w:tc>
      </w:tr>
      <w:tr>
        <w:trPr>
          <w:trHeight w:val="208"/>
        </w:trPr>
        <w:tc>
          <w:tcPr>
            <w:tcW w:w="4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21"/>
                <w:szCs w:val="21"/>
                <w:color w:val="auto"/>
              </w:rPr>
            </w:pPr>
          </w:p>
        </w:tc>
      </w:tr>
      <w:tr>
        <w:trPr>
          <w:trHeight w:val="257"/>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9,379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10,581</w:t>
            </w:r>
          </w:p>
        </w:tc>
        <w:tc>
          <w:tcPr>
            <w:tcW w:w="80" w:type="dxa"/>
            <w:vAlign w:val="bottom"/>
          </w:tcPr>
          <w:p>
            <w:pPr>
              <w:spacing w:after="0"/>
              <w:rPr>
                <w:sz w:val="21"/>
                <w:szCs w:val="2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-193675</wp:posOffset>
            </wp:positionV>
            <wp:extent cx="12001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5"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35"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tests of our indefinite-lived intangible assets during the fourth quarter of each fiscal year, and the results from the test performed in the fourth quarter of 2020 indicated no impairment. We also reevaluate the useful life of indefinite-lived intangible assets each reporting period to determine whether events and circumstances continue to support an indefinite useful life.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both September 30, 2021 and December 31, 2020, our goodwill balance was $0.6 million.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67" w:lineRule="exact"/>
        <w:rPr>
          <w:sz w:val="20"/>
          <w:szCs w:val="20"/>
          <w:color w:val="auto"/>
        </w:rPr>
      </w:pPr>
    </w:p>
    <w:p>
      <w:pPr>
        <w:ind w:right="340" w:firstLine="509"/>
        <w:spacing w:after="0" w:line="293" w:lineRule="auto"/>
        <w:rPr>
          <w:sz w:val="20"/>
          <w:szCs w:val="20"/>
          <w:color w:val="auto"/>
        </w:rPr>
      </w:pPr>
      <w:r>
        <w:rPr>
          <w:rFonts w:ascii="Arial" w:cs="Arial" w:eastAsia="Arial" w:hAnsi="Arial"/>
          <w:sz w:val="18"/>
          <w:szCs w:val="18"/>
          <w:color w:val="auto"/>
        </w:rPr>
        <w:t>Our intangible assets, other than goodwill, as of September 30, 2021 and December 31, 2020 were as follows (</w:t>
      </w:r>
      <w:r>
        <w:rPr>
          <w:rFonts w:ascii="Arial" w:cs="Arial" w:eastAsia="Arial" w:hAnsi="Arial"/>
          <w:sz w:val="18"/>
          <w:szCs w:val="18"/>
          <w:i w:val="1"/>
          <w:iCs w:val="1"/>
          <w:color w:val="auto"/>
        </w:rPr>
        <w:t>in thousands, except for weighted</w:t>
      </w:r>
      <w:r>
        <w:rPr>
          <w:rFonts w:ascii="Arial" w:cs="Arial" w:eastAsia="Arial" w:hAnsi="Arial"/>
          <w:sz w:val="18"/>
          <w:szCs w:val="18"/>
          <w:color w:val="auto"/>
        </w:rPr>
        <w:t xml:space="preserve"> </w:t>
      </w:r>
      <w:r>
        <w:rPr>
          <w:rFonts w:ascii="Arial" w:cs="Arial" w:eastAsia="Arial" w:hAnsi="Arial"/>
          <w:sz w:val="18"/>
          <w:szCs w:val="18"/>
          <w:i w:val="1"/>
          <w:iCs w:val="1"/>
          <w:color w:val="auto"/>
        </w:rPr>
        <w:t>average remaining useful life</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 2021</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8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8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8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5"/>
                <w:szCs w:val="15"/>
                <w:color w:val="auto"/>
              </w:rPr>
            </w:pPr>
          </w:p>
        </w:tc>
      </w:tr>
      <w:tr>
        <w:trPr>
          <w:trHeight w:val="176"/>
        </w:trPr>
        <w:tc>
          <w:tcPr>
            <w:tcW w:w="38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5"/>
                <w:szCs w:val="15"/>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5"/>
                <w:szCs w:val="15"/>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5"/>
                <w:szCs w:val="15"/>
                <w:color w:val="auto"/>
              </w:rPr>
            </w:pPr>
          </w:p>
        </w:tc>
      </w:tr>
      <w:tr>
        <w:trPr>
          <w:trHeight w:val="192"/>
        </w:trPr>
        <w:tc>
          <w:tcPr>
            <w:tcW w:w="384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r>
      <w:tr>
        <w:trPr>
          <w:trHeight w:val="256"/>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86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3840" w:type="dxa"/>
            <w:vAlign w:val="bottom"/>
          </w:tcPr>
          <w:p>
            <w:pPr>
              <w:ind w:left="200"/>
              <w:spacing w:after="0"/>
              <w:rPr>
                <w:sz w:val="20"/>
                <w:szCs w:val="20"/>
                <w:color w:val="auto"/>
              </w:rPr>
            </w:pPr>
            <w:r>
              <w:rPr>
                <w:rFonts w:ascii="Arial" w:cs="Arial" w:eastAsia="Arial" w:hAnsi="Arial"/>
                <w:sz w:val="18"/>
                <w:szCs w:val="18"/>
                <w:color w:val="auto"/>
              </w:rPr>
              <w:t>Software</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51,186</w:t>
            </w:r>
          </w:p>
        </w:tc>
        <w:tc>
          <w:tcPr>
            <w:tcW w:w="48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(37,427 )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13,759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50,029</w:t>
            </w:r>
          </w:p>
        </w:tc>
        <w:tc>
          <w:tcPr>
            <w:tcW w:w="4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(31,739 )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18,290</w:t>
            </w:r>
          </w:p>
        </w:tc>
        <w:tc>
          <w:tcPr>
            <w:tcW w:w="80" w:type="dxa"/>
            <w:vAlign w:val="bottom"/>
          </w:tcPr>
          <w:p>
            <w:pPr>
              <w:spacing w:after="0"/>
              <w:rPr>
                <w:sz w:val="21"/>
                <w:szCs w:val="21"/>
                <w:color w:val="auto"/>
              </w:rPr>
            </w:pPr>
          </w:p>
        </w:tc>
      </w:tr>
      <w:tr>
        <w:trPr>
          <w:trHeight w:val="263"/>
        </w:trPr>
        <w:tc>
          <w:tcPr>
            <w:tcW w:w="3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intangible assets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22"/>
                <w:szCs w:val="22"/>
                <w:color w:val="auto"/>
              </w:rPr>
            </w:pPr>
          </w:p>
        </w:tc>
      </w:tr>
      <w:tr>
        <w:trPr>
          <w:trHeight w:val="250"/>
        </w:trPr>
        <w:tc>
          <w:tcPr>
            <w:tcW w:w="3840" w:type="dxa"/>
            <w:vAlign w:val="bottom"/>
          </w:tcPr>
          <w:p>
            <w:pPr>
              <w:ind w:left="200"/>
              <w:spacing w:after="0"/>
              <w:rPr>
                <w:sz w:val="20"/>
                <w:szCs w:val="20"/>
                <w:color w:val="auto"/>
              </w:rPr>
            </w:pPr>
            <w:r>
              <w:rPr>
                <w:rFonts w:ascii="Arial" w:cs="Arial" w:eastAsia="Arial" w:hAnsi="Arial"/>
                <w:sz w:val="18"/>
                <w:szCs w:val="18"/>
                <w:color w:val="auto"/>
              </w:rPr>
              <w:t>Service customer relationships</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(8,081 )</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(8,081 )</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6"/>
        </w:trPr>
        <w:tc>
          <w:tcPr>
            <w:tcW w:w="3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OEM and dealer relationships</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(6,724 )</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(6,724 )</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43"/>
        </w:trPr>
        <w:tc>
          <w:tcPr>
            <w:tcW w:w="3840" w:type="dxa"/>
            <w:vAlign w:val="bottom"/>
          </w:tcPr>
          <w:p>
            <w:pPr>
              <w:ind w:left="200"/>
              <w:spacing w:after="0"/>
              <w:rPr>
                <w:sz w:val="20"/>
                <w:szCs w:val="20"/>
                <w:color w:val="auto"/>
              </w:rPr>
            </w:pPr>
            <w:r>
              <w:rPr>
                <w:rFonts w:ascii="Arial" w:cs="Arial" w:eastAsia="Arial" w:hAnsi="Arial"/>
                <w:sz w:val="18"/>
                <w:szCs w:val="18"/>
                <w:color w:val="auto"/>
              </w:rPr>
              <w:t>Total amortized intangible assets</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67,491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(52,232 )</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15,259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66,334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(46,544 )</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19,790</w:t>
            </w:r>
          </w:p>
        </w:tc>
        <w:tc>
          <w:tcPr>
            <w:tcW w:w="80" w:type="dxa"/>
            <w:vAlign w:val="bottom"/>
          </w:tcPr>
          <w:p>
            <w:pPr>
              <w:spacing w:after="0"/>
              <w:rPr>
                <w:sz w:val="21"/>
                <w:szCs w:val="21"/>
                <w:color w:val="auto"/>
              </w:rPr>
            </w:pPr>
          </w:p>
        </w:tc>
      </w:tr>
      <w:tr>
        <w:trPr>
          <w:trHeight w:val="270"/>
        </w:trPr>
        <w:tc>
          <w:tcPr>
            <w:tcW w:w="3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7"/>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507"/>
        </w:trPr>
        <w:tc>
          <w:tcPr>
            <w:tcW w:w="3840" w:type="dxa"/>
            <w:vAlign w:val="bottom"/>
          </w:tcPr>
          <w:p>
            <w:pPr>
              <w:ind w:left="200"/>
              <w:spacing w:after="0"/>
              <w:rPr>
                <w:sz w:val="20"/>
                <w:szCs w:val="20"/>
                <w:color w:val="auto"/>
              </w:rPr>
            </w:pPr>
            <w:r>
              <w:rPr>
                <w:rFonts w:ascii="Arial" w:cs="Arial" w:eastAsia="Arial" w:hAnsi="Arial"/>
                <w:sz w:val="18"/>
                <w:szCs w:val="18"/>
                <w:color w:val="auto"/>
              </w:rPr>
              <w:t>FCC Licenses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80" w:type="dxa"/>
            <w:vAlign w:val="bottom"/>
          </w:tcPr>
          <w:p>
            <w:pPr>
              <w:spacing w:after="0"/>
              <w:rPr>
                <w:sz w:val="24"/>
                <w:szCs w:val="24"/>
                <w:color w:val="auto"/>
              </w:rPr>
            </w:pPr>
          </w:p>
        </w:tc>
      </w:tr>
      <w:tr>
        <w:trPr>
          <w:trHeight w:val="257"/>
        </w:trPr>
        <w:tc>
          <w:tcPr>
            <w:tcW w:w="3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gridSpan w:val="2"/>
          </w:tcPr>
          <w:p>
            <w:pPr>
              <w:spacing w:after="0"/>
              <w:rPr>
                <w:sz w:val="22"/>
                <w:szCs w:val="22"/>
                <w:color w:val="auto"/>
              </w:rPr>
            </w:pPr>
          </w:p>
        </w:tc>
        <w:tc>
          <w:tcPr>
            <w:tcW w:w="9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92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8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99,774</w:t>
            </w:r>
          </w:p>
        </w:tc>
        <w:tc>
          <w:tcPr>
            <w:tcW w:w="20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(52,232 )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98,617</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(46,544 )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52,073</w:t>
            </w:r>
          </w:p>
        </w:tc>
        <w:tc>
          <w:tcPr>
            <w:tcW w:w="80" w:type="dxa"/>
            <w:vAlign w:val="bottom"/>
            <w:shd w:val="clear" w:color="auto" w:fill="CFF0FC"/>
          </w:tcPr>
          <w:p>
            <w:pPr>
              <w:spacing w:after="0"/>
              <w:rPr>
                <w:sz w:val="23"/>
                <w:szCs w:val="23"/>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-1179195</wp:posOffset>
            </wp:positionV>
            <wp:extent cx="12890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-1179195</wp:posOffset>
            </wp:positionV>
            <wp:extent cx="12890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-1179195</wp:posOffset>
            </wp:positionV>
            <wp:extent cx="1111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-1179195</wp:posOffset>
            </wp:positionV>
            <wp:extent cx="11176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-1179195</wp:posOffset>
            </wp:positionV>
            <wp:extent cx="12001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-1179195</wp:posOffset>
            </wp:positionV>
            <wp:extent cx="5143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1289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1289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12890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1289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1111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1111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1117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117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1200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1200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Amortization expense was $1.9 million and $5.7 million, respectively, for the three- and nine-month periods ended September 30, 2021 and $1.6 million and $4.6 million, respectively, for the prior-year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expense for the remainder of 2021, each of the next four years and thereafter is estimated to be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Arial" w:cs="Arial" w:eastAsia="Arial" w:hAnsi="Arial"/>
                <w:sz w:val="14"/>
                <w:szCs w:val="14"/>
                <w:b w:val="1"/>
                <w:bCs w:val="1"/>
                <w:color w:val="auto"/>
              </w:rPr>
              <w:t>Amortization</w:t>
            </w:r>
          </w:p>
        </w:tc>
        <w:tc>
          <w:tcPr>
            <w:tcW w:w="2240" w:type="dxa"/>
            <w:vAlign w:val="bottom"/>
          </w:tcPr>
          <w:p>
            <w:pPr>
              <w:spacing w:after="0"/>
              <w:rPr>
                <w:sz w:val="16"/>
                <w:szCs w:val="16"/>
                <w:color w:val="auto"/>
              </w:rPr>
            </w:pPr>
          </w:p>
        </w:tc>
      </w:tr>
      <w:tr>
        <w:trPr>
          <w:trHeight w:val="214"/>
        </w:trPr>
        <w:tc>
          <w:tcPr>
            <w:tcW w:w="22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Expense</w:t>
            </w:r>
          </w:p>
        </w:tc>
        <w:tc>
          <w:tcPr>
            <w:tcW w:w="2240" w:type="dxa"/>
            <w:vAlign w:val="bottom"/>
          </w:tcPr>
          <w:p>
            <w:pPr>
              <w:spacing w:after="0"/>
              <w:rPr>
                <w:sz w:val="18"/>
                <w:szCs w:val="18"/>
                <w:color w:val="auto"/>
              </w:rPr>
            </w:pPr>
          </w:p>
        </w:tc>
      </w:tr>
      <w:tr>
        <w:trPr>
          <w:trHeight w:val="250"/>
        </w:trPr>
        <w:tc>
          <w:tcPr>
            <w:tcW w:w="2260" w:type="dxa"/>
            <w:vAlign w:val="bottom"/>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2021 (period from October 1 to December 31)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2240" w:type="dxa"/>
            <w:vAlign w:val="bottom"/>
          </w:tcPr>
          <w:p>
            <w:pPr>
              <w:spacing w:after="0"/>
              <w:rPr>
                <w:sz w:val="21"/>
                <w:szCs w:val="21"/>
                <w:color w:val="auto"/>
              </w:rPr>
            </w:pPr>
          </w:p>
        </w:tc>
      </w:tr>
      <w:tr>
        <w:trPr>
          <w:trHeight w:val="250"/>
        </w:trPr>
        <w:tc>
          <w:tcPr>
            <w:tcW w:w="226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4,657</w:t>
            </w:r>
          </w:p>
        </w:tc>
        <w:tc>
          <w:tcPr>
            <w:tcW w:w="2240" w:type="dxa"/>
            <w:vAlign w:val="bottom"/>
          </w:tcPr>
          <w:p>
            <w:pPr>
              <w:spacing w:after="0"/>
              <w:rPr>
                <w:sz w:val="21"/>
                <w:szCs w:val="21"/>
                <w:color w:val="auto"/>
              </w:rPr>
            </w:pPr>
          </w:p>
        </w:tc>
      </w:tr>
      <w:tr>
        <w:trPr>
          <w:trHeight w:val="263"/>
        </w:trPr>
        <w:tc>
          <w:tcPr>
            <w:tcW w:w="2260" w:type="dxa"/>
            <w:vAlign w:val="bottom"/>
          </w:tcPr>
          <w:p>
            <w:pPr>
              <w:spacing w:after="0"/>
              <w:rPr>
                <w:sz w:val="22"/>
                <w:szCs w:val="22"/>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2240" w:type="dxa"/>
            <w:vAlign w:val="bottom"/>
          </w:tcPr>
          <w:p>
            <w:pPr>
              <w:spacing w:after="0"/>
              <w:rPr>
                <w:sz w:val="22"/>
                <w:szCs w:val="22"/>
                <w:color w:val="auto"/>
              </w:rPr>
            </w:pPr>
          </w:p>
        </w:tc>
      </w:tr>
      <w:tr>
        <w:trPr>
          <w:trHeight w:val="250"/>
        </w:trPr>
        <w:tc>
          <w:tcPr>
            <w:tcW w:w="226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992</w:t>
            </w:r>
          </w:p>
        </w:tc>
        <w:tc>
          <w:tcPr>
            <w:tcW w:w="2240" w:type="dxa"/>
            <w:vAlign w:val="bottom"/>
          </w:tcPr>
          <w:p>
            <w:pPr>
              <w:spacing w:after="0"/>
              <w:rPr>
                <w:sz w:val="21"/>
                <w:szCs w:val="21"/>
                <w:color w:val="auto"/>
              </w:rPr>
            </w:pPr>
          </w:p>
        </w:tc>
      </w:tr>
      <w:tr>
        <w:trPr>
          <w:trHeight w:val="263"/>
        </w:trPr>
        <w:tc>
          <w:tcPr>
            <w:tcW w:w="2260" w:type="dxa"/>
            <w:vAlign w:val="bottom"/>
          </w:tcPr>
          <w:p>
            <w:pPr>
              <w:spacing w:after="0"/>
              <w:rPr>
                <w:sz w:val="22"/>
                <w:szCs w:val="22"/>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240" w:type="dxa"/>
            <w:vAlign w:val="bottom"/>
          </w:tcPr>
          <w:p>
            <w:pPr>
              <w:spacing w:after="0"/>
              <w:rPr>
                <w:sz w:val="22"/>
                <w:szCs w:val="22"/>
                <w:color w:val="auto"/>
              </w:rPr>
            </w:pPr>
          </w:p>
        </w:tc>
      </w:tr>
      <w:tr>
        <w:trPr>
          <w:trHeight w:val="243"/>
        </w:trPr>
        <w:tc>
          <w:tcPr>
            <w:tcW w:w="226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4,295</w:t>
            </w:r>
          </w:p>
        </w:tc>
        <w:tc>
          <w:tcPr>
            <w:tcW w:w="2240" w:type="dxa"/>
            <w:vAlign w:val="bottom"/>
          </w:tcPr>
          <w:p>
            <w:pPr>
              <w:spacing w:after="0"/>
              <w:rPr>
                <w:sz w:val="21"/>
                <w:szCs w:val="21"/>
                <w:color w:val="auto"/>
              </w:rPr>
            </w:pPr>
          </w:p>
        </w:tc>
      </w:tr>
      <w:tr>
        <w:trPr>
          <w:trHeight w:val="688"/>
        </w:trPr>
        <w:tc>
          <w:tcPr>
            <w:tcW w:w="2260" w:type="dxa"/>
            <w:vAlign w:val="bottom"/>
          </w:tcPr>
          <w:p>
            <w:pPr>
              <w:spacing w:after="0"/>
              <w:rPr>
                <w:sz w:val="24"/>
                <w:szCs w:val="24"/>
                <w:color w:val="auto"/>
              </w:rPr>
            </w:pPr>
          </w:p>
        </w:tc>
        <w:tc>
          <w:tcPr>
            <w:tcW w:w="5120" w:type="dxa"/>
            <w:vAlign w:val="bottom"/>
          </w:tcPr>
          <w:p>
            <w:pPr>
              <w:ind w:left="32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8"/>
        </w:trPr>
        <w:tc>
          <w:tcPr>
            <w:tcW w:w="226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future amortization expense could differ from the estimated amount as a result of future investments and other factors.</w:t>
      </w:r>
    </w:p>
    <w:p>
      <w:pPr>
        <w:spacing w:after="0" w:line="275"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35"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We provide warranties on parts and labor related to our products. Our warranty terms range from two to five years. Warranty reserves 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Unaudited Condensed Consolidated Balance Sheets. Our warranty reserve balance was $2.4 million as of both September 30, 2021 and December 31, 2020.</w:t>
      </w:r>
    </w:p>
    <w:p>
      <w:pPr>
        <w:spacing w:after="0" w:line="273"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Liabilities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as of September 30, 2021 and December 31, 2020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209"/>
        </w:trPr>
        <w:tc>
          <w:tcPr>
            <w:tcW w:w="4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r>
      <w:tr>
        <w:trPr>
          <w:trHeight w:val="256"/>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719,753</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auto"/>
                <w:w w:val="94"/>
              </w:rPr>
              <w:t>2024</w:t>
            </w:r>
          </w:p>
        </w:tc>
        <w:tc>
          <w:tcPr>
            <w:tcW w:w="4460" w:type="dxa"/>
            <w:vAlign w:val="bottom"/>
          </w:tcPr>
          <w:p>
            <w:pPr>
              <w:ind w:left="20"/>
              <w:spacing w:after="0"/>
              <w:rPr>
                <w:sz w:val="20"/>
                <w:szCs w:val="20"/>
                <w:color w:val="auto"/>
              </w:rPr>
            </w:pPr>
            <w:r>
              <w:rPr>
                <w:rFonts w:ascii="Arial" w:cs="Arial" w:eastAsia="Arial" w:hAnsi="Arial"/>
                <w:sz w:val="18"/>
                <w:szCs w:val="18"/>
                <w:color w:val="auto"/>
              </w:rPr>
              <w:t>Senior Secured Notes</w:t>
            </w: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973,539</w:t>
            </w:r>
          </w:p>
        </w:tc>
        <w:tc>
          <w:tcPr>
            <w:tcW w:w="120" w:type="dxa"/>
            <w:vAlign w:val="bottom"/>
          </w:tcPr>
          <w:p>
            <w:pPr>
              <w:spacing w:after="0"/>
              <w:rPr>
                <w:sz w:val="21"/>
                <w:szCs w:val="21"/>
                <w:color w:val="auto"/>
              </w:rPr>
            </w:pPr>
          </w:p>
        </w:tc>
      </w:tr>
      <w:tr>
        <w:trPr>
          <w:trHeight w:val="257"/>
        </w:trPr>
        <w:tc>
          <w:tcPr>
            <w:tcW w:w="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2022</w:t>
            </w:r>
          </w:p>
        </w:tc>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102,788</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215,122</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48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822,541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1,188,661</w:t>
            </w:r>
          </w:p>
        </w:tc>
        <w:tc>
          <w:tcPr>
            <w:tcW w:w="120" w:type="dxa"/>
            <w:vAlign w:val="bottom"/>
          </w:tcPr>
          <w:p>
            <w:pPr>
              <w:spacing w:after="0"/>
              <w:rPr>
                <w:sz w:val="21"/>
                <w:szCs w:val="21"/>
                <w:color w:val="auto"/>
              </w:rPr>
            </w:pPr>
          </w:p>
        </w:tc>
      </w:tr>
      <w:tr>
        <w:trPr>
          <w:trHeight w:val="263"/>
        </w:trPr>
        <w:tc>
          <w:tcPr>
            <w:tcW w:w="48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Less deferred financing costs</w:t>
            </w:r>
          </w:p>
        </w:tc>
        <w:tc>
          <w:tcPr>
            <w:tcW w:w="1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(17,299 )</w:t>
            </w:r>
          </w:p>
        </w:tc>
        <w:tc>
          <w:tcPr>
            <w:tcW w:w="1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(19,693 )</w:t>
            </w:r>
          </w:p>
        </w:tc>
      </w:tr>
      <w:tr>
        <w:trPr>
          <w:trHeight w:val="250"/>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(109,348 )</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(341,000 )</w:t>
            </w:r>
          </w:p>
        </w:tc>
      </w:tr>
      <w:tr>
        <w:trPr>
          <w:trHeight w:val="290"/>
        </w:trPr>
        <w:tc>
          <w:tcPr>
            <w:tcW w:w="4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695,894</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827,968</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-690880</wp:posOffset>
            </wp:positionV>
            <wp:extent cx="13716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-690880</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137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137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Credit Agreement</w:t>
      </w:r>
    </w:p>
    <w:p>
      <w:pPr>
        <w:spacing w:after="0" w:line="131"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On April 30, 2021, Gogo and Gogo Intermediate Holdings LLC (“GIH”) (a wholly owned subsidiary of Gogo) entered into a credit agreement (the “2021 Credit Agreement”) among Gogo, GIH, the lenders and issuing banks party thereto and Morgan Stanley Senior Funding, Inc., as administrative agent, which provides for (i) a term loan credit facility (the “Term Loan Facility”) in an aggregate principal amount of $725 million, issued with a discount of 0.5%, and (ii) a revolving credit facility (the “Revolving Facility” and together with the Term Loan Facility, the “Facilities”) of up to $100 million, which includes a letter of credit sub-facility. 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164" w:lineRule="exact"/>
        <w:rPr>
          <w:sz w:val="20"/>
          <w:szCs w:val="20"/>
          <w:color w:val="auto"/>
        </w:rPr>
      </w:pPr>
    </w:p>
    <w:p>
      <w:pPr>
        <w:ind w:right="240" w:firstLine="509"/>
        <w:spacing w:after="0" w:line="359" w:lineRule="auto"/>
        <w:rPr>
          <w:sz w:val="20"/>
          <w:szCs w:val="20"/>
          <w:color w:val="auto"/>
        </w:rPr>
      </w:pPr>
      <w:r>
        <w:rPr>
          <w:rFonts w:ascii="Arial" w:cs="Arial" w:eastAsia="Arial" w:hAnsi="Arial"/>
          <w:sz w:val="16"/>
          <w:szCs w:val="16"/>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w:t>
      </w:r>
    </w:p>
    <w:p>
      <w:pPr>
        <w:spacing w:after="0" w:line="125"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174"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and except during the first six months following the closing of the Facilities during which certain prepayments of the Term Loan Facility are subject to a prepayment premium), subject to minimum principal payment amount requirements.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Subject to certain exceptions and de minimis thresholds, the Term Loan Facility is subject to mandatory prepayments in an amount equal to:</w:t>
      </w:r>
    </w:p>
    <w:p>
      <w:pPr>
        <w:spacing w:after="0" w:line="142" w:lineRule="exact"/>
        <w:rPr>
          <w:sz w:val="20"/>
          <w:szCs w:val="20"/>
          <w:color w:val="auto"/>
        </w:rPr>
      </w:pPr>
    </w:p>
    <w:p>
      <w:pPr>
        <w:ind w:left="960" w:right="420"/>
        <w:spacing w:after="0" w:line="293" w:lineRule="auto"/>
        <w:rPr>
          <w:sz w:val="20"/>
          <w:szCs w:val="20"/>
          <w:color w:val="auto"/>
        </w:rPr>
      </w:pPr>
      <w:r>
        <w:rPr>
          <w:rFonts w:ascii="Arial" w:cs="Arial" w:eastAsia="Arial" w:hAnsi="Arial"/>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5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100% of the net cash proceeds of certain debt offerings; and</w:t>
      </w:r>
    </w:p>
    <w:p>
      <w:pPr>
        <w:spacing w:after="0" w:line="131"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50% of annual excess cash flow (as defined in the 2021 Credit Agreement), subject to reduction to 25% and 0% if specified senior secured first lien net leverage ratio targets are met.</w:t>
      </w:r>
    </w:p>
    <w:p>
      <w:pPr>
        <w:spacing w:after="0" w:line="170"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176"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183"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183" w:lineRule="exact"/>
        <w:rPr>
          <w:sz w:val="20"/>
          <w:szCs w:val="20"/>
          <w:color w:val="auto"/>
        </w:rPr>
      </w:pPr>
    </w:p>
    <w:p>
      <w:pPr>
        <w:ind w:right="80" w:firstLine="509"/>
        <w:spacing w:after="0" w:line="299" w:lineRule="auto"/>
        <w:rPr>
          <w:sz w:val="20"/>
          <w:szCs w:val="20"/>
          <w:color w:val="auto"/>
        </w:rPr>
      </w:pPr>
      <w:r>
        <w:rPr>
          <w:rFonts w:ascii="Arial" w:cs="Arial" w:eastAsia="Arial" w:hAnsi="Arial"/>
          <w:sz w:val="16"/>
          <w:szCs w:val="16"/>
          <w:color w:val="auto"/>
        </w:rPr>
        <w:t>The proceeds of the Term Loan Facility were used, together with cash on hand, (i) to redeem in full and pay the outstanding principal amount of the 2024 Senior Secured Notes (as defined below) together with accrued and unpaid interest and redemption premiums and to pay fees associated with the termination of the ABL Credit Agreement (as defined below and, together with the redemption of the 2024 Senior Secured Notes, the “Refinancing”), and</w:t>
      </w:r>
    </w:p>
    <w:p>
      <w:pPr>
        <w:spacing w:after="0" w:line="2" w:lineRule="exact"/>
        <w:rPr>
          <w:sz w:val="20"/>
          <w:szCs w:val="20"/>
          <w:color w:val="auto"/>
        </w:rPr>
      </w:pPr>
    </w:p>
    <w:p>
      <w:pPr>
        <w:ind w:right="200" w:firstLine="8"/>
        <w:spacing w:after="0" w:line="323"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pay fees and expenses incurred in connection with the Refinancing and the Facilities (the “Transaction Costs”). The Revolving Facility is available for working capital and general corporate purposes of Gogo and its subsidiaries and was undrawn as of September 30, 2021.</w:t>
      </w:r>
    </w:p>
    <w:p>
      <w:pPr>
        <w:spacing w:after="0" w:line="40"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As of September 30, 2021, the outstanding principal amount of the Term Loan Facility was $723.2 million, the unaccreted debt discount was $3.4 million and the net carrying amount was $719.8 million.</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$0.7 million and $1.1 million, respectively, for the three- and nine-month periods ended September 30, 2021 and is included in interest expense in our Unaudited Condensed Consolidated Statements of Operations. As of September 30, 2021, the balance of unamortized deferred financing costs related to the Facilities was $18.6 million.</w:t>
      </w:r>
    </w:p>
    <w:p>
      <w:pPr>
        <w:spacing w:after="0" w:line="83"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November 21, 2018, Gogo issued $215.0 million aggregate principal amount of 6.00% Convertible Senior Notes due 2022 (the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Notes”). Gogo granted an option to the initial purchasers to purchase up to an additional $32.3 million aggregate principal amount of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Convertible Notes to cover over-allotments, of which $22.8 million was subsequently exercised during December 2018, resulting in a total issuance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$237.8 million aggregate principal amount of 2022 Convertible Notes. The 2022 Convertible Notes mature on May 15, 2022, unless earlier repurchased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converted into shares of our common stock under certain circumstances described below. Upon conversion, Gogo has the option to settle its obligation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through cash, shares of common stock, or a combination of cash and shares of common stock. Gogo pays interest on the 2022 Convertible Notes semi-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annually in arrears on May 15 and November 15 of each year, beginning on May 15, 2019.</w:t>
      </w:r>
    </w:p>
    <w:p>
      <w:pPr>
        <w:spacing w:after="0" w:line="238"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Under the accounting standards applicable at the time of issuance, 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Gogo or the note holders elect not to settle the 2022 Convertible Notes through conversion, at maturity Gogo must repay the principal amount at face value in cash.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12,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65"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As of December 31, 2020, the outstanding principal amount of the 2022 Convertible Notes was $237.8 million, the unaccreted debt discount was $22.7 million and the net carrying amount of the liability component was $215.1 million.</w:t>
      </w:r>
    </w:p>
    <w:p>
      <w:pPr>
        <w:spacing w:after="0" w:line="170"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Upon adoption of ASU 2020-06 on January 1, 2021 (see Note 3, “Recent Accounting Pronouncements,” for more information), the 2022 Convertible Notes are accounted for as a single liability. The adoption of this standard resulted in the $49.1 million initially recorded to additional paid-in capital being reclassified and recorded as an increase to long-term debt in the Unaudited Condensed Consolidated Balance Sheets. Additionally, the $26.5 million of accretion recognized life-to-date was reversed and recorded as a reduction to long-term debt and a reduction to accumulated deficit in the Unaudited Condensed Consolidated Balance Sheets.</w:t>
      </w:r>
    </w:p>
    <w:p>
      <w:pPr>
        <w:spacing w:after="0" w:line="191"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During January 2021, $1.0 million aggregate principal amount of 2022 Convertible Notes were converted by holders and settled through the issuance of 166,666 shares of common stock.</w:t>
      </w:r>
    </w:p>
    <w:p>
      <w:pPr>
        <w:spacing w:after="0" w:line="170"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On March 17, 2021, Gogo entered into separate, privately negotiated exchange agreements (the “March 2021 Exchange Agreements”) with certain holders of the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 $1,000 principal amount of the 2022 Convertible Notes, which resulted in a loss on settlement of $4.4 million, which is included in Other (income) expense in our Unaudited Condensed Consolidated Statements of Operations for the nine-month period ended September 30, 2021.</w:t>
      </w:r>
    </w:p>
    <w:p>
      <w:pPr>
        <w:spacing w:after="0" w:line="68"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On April 1, 2021, Gogo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 The negotiated exchange rate under the GTCR Exchange Agreement was 180.32 shares of common stock per $1,000 principal amount of 2022 Convertible Notes, which resulted in a loss on settlement of $14.6 million, which is included in Other (income) expense in our Unaudited Condensed Consolidated Statements of Operations for the nine-month period ended September 30, 2021.</w:t>
      </w:r>
    </w:p>
    <w:p>
      <w:pPr>
        <w:spacing w:after="0" w:line="19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As of September 30, 2021, the outstanding principal amount of the 2022 Convertible Notes was $102.8 million and was classified as Current portion of long-term debt in the Unaudited Condensed Consolidated Balance Sheets.</w:t>
      </w:r>
    </w:p>
    <w:p>
      <w:pPr>
        <w:spacing w:after="0" w:line="170" w:lineRule="exact"/>
        <w:rPr>
          <w:sz w:val="20"/>
          <w:szCs w:val="20"/>
          <w:color w:val="auto"/>
        </w:rPr>
      </w:pPr>
    </w:p>
    <w:p>
      <w:pPr>
        <w:ind w:right="380" w:firstLine="509"/>
        <w:spacing w:after="0" w:line="275" w:lineRule="auto"/>
        <w:rPr>
          <w:sz w:val="20"/>
          <w:szCs w:val="20"/>
          <w:color w:val="auto"/>
        </w:rPr>
      </w:pPr>
      <w:r>
        <w:rPr>
          <w:rFonts w:ascii="Arial" w:cs="Arial" w:eastAsia="Arial" w:hAnsi="Arial"/>
          <w:sz w:val="18"/>
          <w:szCs w:val="18"/>
          <w:color w:val="auto"/>
        </w:rPr>
        <w:t>We incurred approximately $8.1 million of issuance costs related to the 2022 Convertible Notes, of which $6.4 million and $1.7 million were recorded to deferred financing costs and additional paid-in capital, respectively, in proportion to the allocation of the proceeds of the 2022 Convertible Notes. However, upon adoption of ASU 2020-06 on January 1, 2021, the $1.7 million that was initially recorded to additional paid-in capital was reclassified and recorded as deferred financing costs, with catch-up amortization of</w:t>
      </w:r>
    </w:p>
    <w:p>
      <w:pPr>
        <w:sectPr>
          <w:pgSz w:w="11900" w:h="16838" w:orient="portrait"/>
          <w:cols w:equalWidth="0" w:num="1">
            <w:col w:w="11220"/>
          </w:cols>
          <w:pgMar w:left="320" w:top="135" w:right="35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6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$1.0 million recorded to accumulated deficit in the Unaudited Condensed Consolidated Balance Sheets. The deferred financing costs are being amortized over the term of the 2022 Convertible Notes using the effective interest method. Total amortization expense was $0.3 million and $1.1 million, respectively, for the three- and nine-month periods ended September 30, 2021, and $0.5 million and $1.3 million, respectively, for the prior-year periods. Amortization expense is included in interest expense in the Unaudited Condensed Consolidated Statements of Operations. As of September 30, 2021 and December 31, 2020, the balance of unamortized deferred financing costs related to the 2022 Convertible Notes was $0.7 million and $2.7 million, respectively, and is included as a reduction to the carrying amount of the debt in our Unaudited Condensed Consolidated Balance Sheets. See Note 12, “Interest Costs,” for additional information.</w:t>
      </w:r>
    </w:p>
    <w:p>
      <w:pPr>
        <w:spacing w:after="0" w:line="179"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2022 Convertible Notes had an initial conversion rate of 166.6667 shares of common stock per $1,000 principal amount of 2022 Convertible Notes, which is equivalent to an initial conversion price of approximately $6.00 per share of our common stock. Upon conversion, Gogo currently expects to settle in shares for the amount of the 2022 Convertible Notes then outstanding. Gogo may elect to deliver cash in lieu of all or a portion of such shares, and borrowings under the Revolving Facility are permitted to be used for this purpose. The shares of common stock subject to conversion are considered in the diluted earnings per share calculations under the if-converted method.</w:t>
      </w:r>
    </w:p>
    <w:p>
      <w:pPr>
        <w:spacing w:after="0" w:line="17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2" w:lineRule="exact"/>
        <w:rPr>
          <w:sz w:val="20"/>
          <w:szCs w:val="20"/>
          <w:color w:val="auto"/>
        </w:rPr>
      </w:pPr>
    </w:p>
    <w:p>
      <w:pPr>
        <w:ind w:left="960" w:right="40"/>
        <w:spacing w:after="0" w:line="259" w:lineRule="auto"/>
        <w:rPr>
          <w:sz w:val="20"/>
          <w:szCs w:val="20"/>
          <w:color w:val="auto"/>
        </w:rPr>
      </w:pPr>
      <w:r>
        <w:rPr>
          <w:rFonts w:ascii="Arial" w:cs="Arial" w:eastAsia="Arial" w:hAnsi="Arial"/>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 (the “Stock Price Condition”);</w:t>
      </w:r>
    </w:p>
    <w:p>
      <w:pPr>
        <w:spacing w:after="0" w:line="79" w:lineRule="exact"/>
        <w:rPr>
          <w:sz w:val="20"/>
          <w:szCs w:val="20"/>
          <w:color w:val="auto"/>
        </w:rPr>
      </w:pPr>
    </w:p>
    <w:p>
      <w:pPr>
        <w:jc w:val="both"/>
        <w:ind w:left="960" w:right="360"/>
        <w:spacing w:after="0" w:line="263" w:lineRule="auto"/>
        <w:rPr>
          <w:sz w:val="20"/>
          <w:szCs w:val="20"/>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(the “Notes Price Condition”); or</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Stock Price Condition was triggered for the periods from October 1, 2020 through December 31, 2020, January 1, 2021 through March 31, 2021, April 1, 2021 through June 30, 2021 and July 1, 2021 through September 30, 2021.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88"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addition, if Gogo undergoes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Gogo will increase the conversion rate in certain circumstances for a holder who elects to convert its 2022 Convertible Notes in connection with such make-whole fundamental change.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Transactions</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In connection with our issuance of 3.75% Convertible Senior Notes due 2020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57"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The approximately 0.6 million shares of common stock remaining under the Amended and Restated Forward Transaction are treated as retired shares for basic and diluted EPS purposes although they remain legally outstanding.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Secured Notes</w:t>
      </w:r>
    </w:p>
    <w:p>
      <w:pPr>
        <w:spacing w:after="0" w:line="13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On April 25, 2019, GIH and Gogo Finance Co. Inc. (a wholly owned subsidiary of GIH) (“Gogo Finance” and, together with GIH, the “Issuers”) issued $905 million aggregate principal amount of 9.875% senior secured notes due 2024 (the “2024 Senior Secured Notes”), at a price equal to 99.512% of their face value, under an indenture (as supplemented, the “Indenture”), dated as of April 25, 2019, among the Issuers, Gogo, the subsidiary guarantors party thereto and U.S. Bank National Association, as trustee.</w:t>
      </w:r>
    </w:p>
    <w:p>
      <w:pPr>
        <w:spacing w:after="0" w:line="77" w:lineRule="exact"/>
        <w:rPr>
          <w:sz w:val="20"/>
          <w:szCs w:val="20"/>
          <w:color w:val="auto"/>
        </w:rPr>
      </w:pPr>
    </w:p>
    <w:p>
      <w:pPr>
        <w:ind w:right="240" w:firstLine="509"/>
        <w:spacing w:after="0" w:line="359" w:lineRule="auto"/>
        <w:rPr>
          <w:sz w:val="20"/>
          <w:szCs w:val="20"/>
          <w:color w:val="auto"/>
        </w:rPr>
      </w:pPr>
      <w:r>
        <w:rPr>
          <w:rFonts w:ascii="Arial" w:cs="Arial" w:eastAsia="Arial" w:hAnsi="Arial"/>
          <w:sz w:val="16"/>
          <w:szCs w:val="16"/>
          <w:color w:val="auto"/>
        </w:rPr>
        <w:t>The Issuers issued an additional $20 million of 2024 Senior Secured Notes on May 7, 2019, which were issued at a price equal to 100.5% of their face value, and $50 million of 2024 Senior Secured Notes on November 13, 2020, which were issued at a price equal to 103.5% of their face value.</w:t>
      </w:r>
    </w:p>
    <w:p>
      <w:pPr>
        <w:spacing w:after="0" w:line="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which were released upon the closing of the Transaction.</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paid approximately $22.6 million of origination fees and financing costs related to the issuance of the 2024 Senior Secured Notes, which were accounted for as deferred financing costs on our Unaudited Condensed Consolidated Balance Sheets and were being amortized over the contractual term of the 2024 Senior Secured Notes using the effective interest method. Total amortization expense was $1.4 million for the nine-month period ended September 30, 2021, and $0.9 million and $2.7 million, respectively, for the three- and nine-month periods ended September 30, 2020. Amortization expense is included in interest expense in the Unaudited Condensed Consolidated Statements of Operations. As of December 31, 2020, the balance of unamortized deferred financing costs related to the 2024 Senior Secured Notes was $16.6 million. The remaining unamortized deferred financing costs were written off as of May 1, 2021.</w:t>
      </w:r>
    </w:p>
    <w:p>
      <w:pPr>
        <w:spacing w:after="0" w:line="193" w:lineRule="exact"/>
        <w:rPr>
          <w:sz w:val="20"/>
          <w:szCs w:val="20"/>
          <w:color w:val="auto"/>
        </w:rPr>
      </w:pPr>
    </w:p>
    <w:p>
      <w:pPr>
        <w:ind w:right="140" w:firstLine="509"/>
        <w:spacing w:after="0" w:line="292" w:lineRule="auto"/>
        <w:rPr>
          <w:sz w:val="20"/>
          <w:szCs w:val="20"/>
          <w:color w:val="auto"/>
        </w:rPr>
      </w:pPr>
      <w:r>
        <w:rPr>
          <w:rFonts w:ascii="Arial" w:cs="Arial" w:eastAsia="Arial" w:hAnsi="Arial"/>
          <w:sz w:val="17"/>
          <w:szCs w:val="17"/>
          <w:color w:val="auto"/>
        </w:rPr>
        <w:t>The 2024 Senior Secured Notes were redeemed on May 1, 2021 (the “Redemption Date”) at a redemption price equal to 104.938% of the principal amount of the 2024 Senior Secured Notes redeemed, plus accrued and unpaid interest to (but not including) the Redemption Date. The make-whole premium paid in connection with the redemption was $48.1 million and we wrote off the remaining unamortized deferred financing costs of $15.2 million and the remaining debt discount of $1.3 million, which together are included in Loss on extinguishment of debt and settlement of convertible notes in our Unaudited Condensed Consolidated Statements of Operations for the nine-month period ended September 30,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Facility</w:t>
      </w:r>
    </w:p>
    <w:p>
      <w:pPr>
        <w:spacing w:after="0" w:line="11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On August 26, 2019, Gogo, GIH and Gogo Finance entered into a credit agreement (the “ABL Credit Agreement”) with the other loan parties thereto, the lenders party thereto, JPMorgan Chase Bank, N.A., as administrative agent, and Morgan Stanley Senior Funding, Inc., as syndication agent, which provided for an asset-based revolving credit facility (the “ABL Credit Facility”) of up to $30 million, subject to borrowing base availability, and included letter of credit and swingline sub-facilities. The obligations under the ABL Credit Agreement were guaranteed by Gogo and all of its existing and future subsidiaries, subject to certain exceptions and secured by certain collateral of the Company. On April 30, 2021, the ABL Credit Agreement and all commitments thereunder were terminated. As a result of the termination, the remaining unamortized deferred financing costs of $0.3 million were written off as of May 1, 2021 and included in Loss on extinguishment of debt and settlement of convertible notes in our Unaudited Condensed Consolidated Statements of Operations for the nine-month period ended September 30, 2021.</w:t>
      </w:r>
    </w:p>
    <w:p>
      <w:pPr>
        <w:spacing w:after="0" w:line="120"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35" w:lineRule="exact"/>
        <w:rPr>
          <w:sz w:val="20"/>
          <w:szCs w:val="20"/>
          <w:color w:val="auto"/>
        </w:rPr>
      </w:pPr>
    </w:p>
    <w:p>
      <w:pPr>
        <w:jc w:val="both"/>
        <w:ind w:right="420" w:firstLine="509"/>
        <w:spacing w:after="0" w:line="329" w:lineRule="auto"/>
        <w:rPr>
          <w:sz w:val="20"/>
          <w:szCs w:val="20"/>
          <w:color w:val="auto"/>
        </w:rPr>
      </w:pPr>
      <w:r>
        <w:rPr>
          <w:rFonts w:ascii="Arial" w:cs="Arial" w:eastAsia="Arial" w:hAnsi="Arial"/>
          <w:sz w:val="16"/>
          <w:szCs w:val="16"/>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40"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In May 2021, we purchased interest rate caps with an aggregate notional amount of $650 million for $8.6 million. We receive payments in the amount calculated pursuant to the caps for any period in which the three-month USD LIBOR rate increases beyond the applicable strike rate. The notional amounts of the interest rate caps periodically decrease over the life of the caps.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notional amounts, strike rates and end dates of the cap agreements are as follows </w:t>
      </w:r>
      <w:r>
        <w:rPr>
          <w:rFonts w:ascii="Arial" w:cs="Arial" w:eastAsia="Arial" w:hAnsi="Arial"/>
          <w:sz w:val="18"/>
          <w:szCs w:val="18"/>
          <w:i w:val="1"/>
          <w:iCs w:val="1"/>
          <w:color w:val="auto"/>
        </w:rPr>
        <w:t>(notional amounts 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455"/>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2"/>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Start Date</w:t>
            </w:r>
          </w:p>
        </w:tc>
        <w:tc>
          <w:tcPr>
            <w:tcW w:w="14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End Date</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Amounts</w:t>
            </w:r>
          </w:p>
        </w:tc>
        <w:tc>
          <w:tcPr>
            <w:tcW w:w="200" w:type="dxa"/>
            <w:vAlign w:val="bottom"/>
          </w:tcPr>
          <w:p>
            <w:pPr>
              <w:spacing w:after="0"/>
              <w:rPr>
                <w:sz w:val="16"/>
                <w:szCs w:val="16"/>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Strike Rate</w:t>
            </w:r>
          </w:p>
        </w:tc>
        <w:tc>
          <w:tcPr>
            <w:tcW w:w="280" w:type="dxa"/>
            <w:vAlign w:val="bottom"/>
          </w:tcPr>
          <w:p>
            <w:pPr>
              <w:spacing w:after="0"/>
              <w:rPr>
                <w:sz w:val="16"/>
                <w:szCs w:val="16"/>
                <w:color w:val="auto"/>
              </w:rPr>
            </w:pPr>
          </w:p>
        </w:tc>
      </w:tr>
      <w:tr>
        <w:trPr>
          <w:trHeight w:val="256"/>
        </w:trPr>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7/31/2021</w:t>
            </w:r>
          </w:p>
        </w:tc>
        <w:tc>
          <w:tcPr>
            <w:tcW w:w="17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7/31/2023</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17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0.75 %</w:t>
            </w:r>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2"/>
              </w:rPr>
              <w:t>7/31/2023</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7/31/2024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525,000</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0.75 %</w:t>
            </w:r>
          </w:p>
        </w:tc>
      </w:tr>
      <w:tr>
        <w:trPr>
          <w:trHeight w:val="263"/>
        </w:trPr>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7/31/2024</w:t>
            </w:r>
          </w:p>
        </w:tc>
        <w:tc>
          <w:tcPr>
            <w:tcW w:w="17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7/31/2025</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7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1.25 %</w:t>
            </w:r>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2"/>
              </w:rPr>
              <w:t>7/31/2025</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7/31/2026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250,000</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2.25 %</w:t>
            </w:r>
          </w:p>
        </w:tc>
      </w:tr>
      <w:tr>
        <w:trPr>
          <w:trHeight w:val="263"/>
        </w:trPr>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7/31/2026</w:t>
            </w:r>
          </w:p>
        </w:tc>
        <w:tc>
          <w:tcPr>
            <w:tcW w:w="17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7/31/2027</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7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2.75 %</w:t>
            </w:r>
          </w:p>
        </w:tc>
      </w:tr>
    </w:tbl>
    <w:p>
      <w:pPr>
        <w:spacing w:after="0" w:line="229"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No gains or losses of our cash flow hedges were considered to be ineffective and reclassified from other comprehensive income (loss) to earnings for the three- and nine-month periods ended September 30, 2021. We estimate that approximately $114 thousand currently recorded in accumulated other comprehensive income (loss) will be recognized in earnings over the next 12 months. We assess the effectiveness of the hedge on an ongoing basis. Cash flows from interest rate caps are classified in the Unaudited Condensed Consolidated Statement of Cash Flows as investing activities from continuing operations.</w:t>
      </w:r>
    </w:p>
    <w:p>
      <w:pPr>
        <w:spacing w:after="0" w:line="74" w:lineRule="exact"/>
        <w:rPr>
          <w:sz w:val="20"/>
          <w:szCs w:val="20"/>
          <w:color w:val="auto"/>
        </w:rPr>
      </w:pPr>
    </w:p>
    <w:p>
      <w:pPr>
        <w:ind w:right="200" w:firstLine="509"/>
        <w:spacing w:after="0" w:line="303" w:lineRule="auto"/>
        <w:rPr>
          <w:sz w:val="20"/>
          <w:szCs w:val="20"/>
          <w:color w:val="auto"/>
        </w:rPr>
      </w:pPr>
      <w:r>
        <w:rPr>
          <w:rFonts w:ascii="Arial" w:cs="Arial" w:eastAsia="Arial" w:hAnsi="Arial"/>
          <w:sz w:val="17"/>
          <w:szCs w:val="17"/>
          <w:color w:val="auto"/>
        </w:rPr>
        <w:t>For the three-month period ended September 30, 2021, the unrealized loss on the interest rate caps was not material. For the nine-month period ended September 30, 2021, we recorded an unrealized loss on the interest rate caps of $0.4 million, net of tax of $0.1 million. The cost of the interest rate caps will be amortized to interest expense over the life using the caplet method, from the effective date through termination date.</w:t>
      </w:r>
    </w:p>
    <w:p>
      <w:pPr>
        <w:spacing w:after="0" w:line="5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 xml:space="preserve">When derivatives are used, we are exposed to credit loss in the event of non-performance by the counterparties; however, non-performance is not anticipated.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7"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following table presents the fair value of our interest rate derivatives included in the unaudited condensed consolidated balance sheets for the periods presented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6"/>
                <w:szCs w:val="16"/>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600" w:type="dxa"/>
            <w:vAlign w:val="bottom"/>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0"/>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interest rate caps</w:t>
            </w:r>
          </w:p>
        </w:tc>
        <w:tc>
          <w:tcPr>
            <w:tcW w:w="46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Non-current portion of interest rate caps</w:t>
            </w:r>
          </w:p>
        </w:tc>
        <w:tc>
          <w:tcPr>
            <w:tcW w:w="4600" w:type="dxa"/>
            <w:vAlign w:val="bottom"/>
          </w:tcPr>
          <w:p>
            <w:pPr>
              <w:ind w:left="58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7,940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3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96"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Costs</w:t>
      </w:r>
    </w:p>
    <w:p>
      <w:pPr>
        <w:spacing w:after="0" w:line="121"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The following is a summary of our interest costs for the three- and nine-month periods ended September 30, 2021 and 2020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For the Nine Months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r>
      <w:tr>
        <w:trPr>
          <w:trHeight w:val="25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costs charged to expense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9,891</w:t>
            </w:r>
          </w:p>
        </w:tc>
        <w:tc>
          <w:tcPr>
            <w:tcW w:w="8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26,164</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52,556</w:t>
            </w:r>
          </w:p>
        </w:tc>
        <w:tc>
          <w:tcPr>
            <w:tcW w:w="7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78,928</w:t>
            </w:r>
          </w:p>
        </w:tc>
        <w:tc>
          <w:tcPr>
            <w:tcW w:w="8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3,718</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4,355</w:t>
            </w:r>
          </w:p>
        </w:tc>
        <w:tc>
          <w:tcPr>
            <w:tcW w:w="80" w:type="dxa"/>
            <w:vAlign w:val="bottom"/>
          </w:tcPr>
          <w:p>
            <w:pPr>
              <w:spacing w:after="0"/>
              <w:rPr>
                <w:sz w:val="21"/>
                <w:szCs w:val="21"/>
                <w:color w:val="auto"/>
              </w:rPr>
            </w:pP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interest rate cap premium</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Accretion of debt discount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10,312</w:t>
            </w:r>
          </w:p>
        </w:tc>
        <w:tc>
          <w:tcPr>
            <w:tcW w:w="80" w:type="dxa"/>
            <w:vAlign w:val="bottom"/>
          </w:tcPr>
          <w:p>
            <w:pPr>
              <w:spacing w:after="0"/>
              <w:rPr>
                <w:sz w:val="21"/>
                <w:szCs w:val="21"/>
                <w:color w:val="auto"/>
              </w:rPr>
            </w:pPr>
          </w:p>
        </w:tc>
      </w:tr>
      <w:tr>
        <w:trPr>
          <w:trHeight w:val="257"/>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31,199</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56,577</w:t>
            </w: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93,595</w:t>
            </w:r>
          </w:p>
        </w:tc>
        <w:tc>
          <w:tcPr>
            <w:tcW w:w="8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Interest costs capitalized to software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1"/>
                <w:szCs w:val="21"/>
                <w:color w:val="auto"/>
              </w:rPr>
            </w:pPr>
          </w:p>
        </w:tc>
      </w:tr>
      <w:tr>
        <w:trPr>
          <w:trHeight w:val="290"/>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interest costs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11,004</w:t>
            </w:r>
          </w:p>
        </w:tc>
        <w:tc>
          <w:tcPr>
            <w:tcW w:w="8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31,580</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56,817</w:t>
            </w:r>
          </w:p>
        </w:tc>
        <w:tc>
          <w:tcPr>
            <w:tcW w:w="7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94,160</w:t>
            </w:r>
          </w:p>
        </w:tc>
        <w:tc>
          <w:tcPr>
            <w:tcW w:w="80" w:type="dxa"/>
            <w:vAlign w:val="bottom"/>
            <w:shd w:val="clear" w:color="auto" w:fill="CFF0FC"/>
          </w:tcPr>
          <w:p>
            <w:pPr>
              <w:spacing w:after="0"/>
              <w:rPr>
                <w:sz w:val="24"/>
                <w:szCs w:val="24"/>
                <w:color w:val="auto"/>
              </w:rPr>
            </w:pPr>
          </w:p>
        </w:tc>
      </w:tr>
      <w:tr>
        <w:trPr>
          <w:trHeight w:val="648"/>
        </w:trPr>
        <w:tc>
          <w:tcPr>
            <w:tcW w:w="48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435"/>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-530860</wp:posOffset>
            </wp:positionV>
            <wp:extent cx="1625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-513715</wp:posOffset>
            </wp:positionV>
            <wp:extent cx="1625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-530860</wp:posOffset>
            </wp:positionV>
            <wp:extent cx="1625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-513715</wp:posOffset>
            </wp:positionV>
            <wp:extent cx="1625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-530860</wp:posOffset>
            </wp:positionV>
            <wp:extent cx="1460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-513715</wp:posOffset>
            </wp:positionV>
            <wp:extent cx="1460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-530860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-513715</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47"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60" w:firstLine="509"/>
        <w:spacing w:after="0" w:line="315" w:lineRule="auto"/>
        <w:rPr>
          <w:sz w:val="20"/>
          <w:szCs w:val="20"/>
          <w:color w:val="auto"/>
        </w:rPr>
      </w:pPr>
      <w:r>
        <w:rPr>
          <w:rFonts w:ascii="Arial" w:cs="Arial" w:eastAsia="Arial" w:hAnsi="Arial"/>
          <w:sz w:val="16"/>
          <w:szCs w:val="16"/>
          <w:b w:val="1"/>
          <w:bCs w:val="1"/>
          <w:color w:val="auto"/>
        </w:rPr>
        <w:t xml:space="preserve">Operating and Financing Leases — </w:t>
      </w:r>
      <w:r>
        <w:rPr>
          <w:rFonts w:ascii="Arial" w:cs="Arial" w:eastAsia="Arial" w:hAnsi="Arial"/>
          <w:sz w:val="16"/>
          <w:szCs w:val="16"/>
          <w:color w:val="auto"/>
        </w:rPr>
        <w:t>We determine whether a contract contains a lease at contract inception. For leases subsequent to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ASC 842, lease liabilities are calculated using a discount rate based on our incremental borrowing rate at lease commencement. We have operating lease agreements for certain facilities and equipment as well as tower space and base stations. Certain facility and tower space leases have renewal option terms that have been deemed to be reasonably certain to be exercised. These renewal options extend a lease up to 15 years. We recognize operating lease expense on a straight-line basis over the lease term. As of September 30, 2021, there were no significant leases which have not commenced.</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following is a summary of our lease expense included in the Unaudited Condensed Consolidated Statements of Operations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For the Three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For the Three</w:t>
            </w:r>
          </w:p>
        </w:tc>
        <w:tc>
          <w:tcPr>
            <w:tcW w:w="8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Months Ended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Months Ended</w:t>
            </w:r>
          </w:p>
        </w:tc>
        <w:tc>
          <w:tcPr>
            <w:tcW w:w="80" w:type="dxa"/>
            <w:vAlign w:val="bottom"/>
          </w:tcPr>
          <w:p>
            <w:pPr>
              <w:spacing w:after="0"/>
              <w:rPr>
                <w:sz w:val="15"/>
                <w:szCs w:val="15"/>
                <w:color w:val="auto"/>
              </w:rPr>
            </w:pPr>
          </w:p>
        </w:tc>
      </w:tr>
      <w:tr>
        <w:trPr>
          <w:trHeight w:val="186"/>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September 30, 2020</w:t>
            </w:r>
          </w:p>
        </w:tc>
        <w:tc>
          <w:tcPr>
            <w:tcW w:w="80" w:type="dxa"/>
            <w:vAlign w:val="bottom"/>
          </w:tcPr>
          <w:p>
            <w:pPr>
              <w:spacing w:after="0"/>
              <w:rPr>
                <w:sz w:val="16"/>
                <w:szCs w:val="16"/>
                <w:color w:val="auto"/>
              </w:rPr>
            </w:pPr>
          </w:p>
        </w:tc>
      </w:tr>
      <w:tr>
        <w:trPr>
          <w:trHeight w:val="215"/>
        </w:trPr>
        <w:tc>
          <w:tcPr>
            <w:tcW w:w="7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8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Financing lease cost:</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leased assets</w:t>
            </w: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r>
      <w:tr>
        <w:trPr>
          <w:trHeight w:val="2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3,535</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1714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714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34" w:lineRule="exact"/>
        <w:rPr>
          <w:sz w:val="20"/>
          <w:szCs w:val="20"/>
          <w:color w:val="auto"/>
        </w:rPr>
      </w:pPr>
    </w:p>
    <w:p>
      <w:pPr>
        <w:jc w:val="center"/>
        <w:ind w:left="7760"/>
        <w:spacing w:after="0"/>
        <w:rPr>
          <w:sz w:val="20"/>
          <w:szCs w:val="20"/>
          <w:color w:val="auto"/>
        </w:rPr>
      </w:pPr>
      <w:r>
        <w:rPr>
          <w:rFonts w:ascii="Arial" w:cs="Arial" w:eastAsia="Arial" w:hAnsi="Arial"/>
          <w:sz w:val="13"/>
          <w:szCs w:val="13"/>
          <w:b w:val="1"/>
          <w:bCs w:val="1"/>
          <w:color w:val="auto"/>
        </w:rPr>
        <w:t>For the Nine Months</w:t>
      </w:r>
    </w:p>
    <w:p>
      <w:pPr>
        <w:spacing w:after="0" w:line="37" w:lineRule="exact"/>
        <w:rPr>
          <w:sz w:val="20"/>
          <w:szCs w:val="20"/>
          <w:color w:val="auto"/>
        </w:rPr>
      </w:pPr>
    </w:p>
    <w:p>
      <w:pPr>
        <w:jc w:val="center"/>
        <w:ind w:left="7760"/>
        <w:spacing w:after="0"/>
        <w:rPr>
          <w:sz w:val="20"/>
          <w:szCs w:val="20"/>
          <w:color w:val="auto"/>
        </w:rPr>
      </w:pPr>
      <w:r>
        <w:rPr>
          <w:rFonts w:ascii="Arial" w:cs="Arial" w:eastAsia="Arial" w:hAnsi="Arial"/>
          <w:sz w:val="12"/>
          <w:szCs w:val="12"/>
          <w:b w:val="1"/>
          <w:bCs w:val="1"/>
          <w:color w:val="auto"/>
        </w:rPr>
        <w:t>Ended September 30,</w:t>
      </w:r>
    </w:p>
    <w:p>
      <w:pPr>
        <w:spacing w:after="0" w:line="3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260"/>
        <w:spacing w:after="0" w:line="276" w:lineRule="auto"/>
        <w:rPr>
          <w:sz w:val="20"/>
          <w:szCs w:val="20"/>
          <w:color w:val="auto"/>
        </w:rPr>
      </w:pPr>
      <w:r>
        <w:rPr>
          <w:rFonts w:ascii="Arial" w:cs="Arial" w:eastAsia="Arial" w:hAnsi="Arial"/>
          <w:sz w:val="14"/>
          <w:szCs w:val="14"/>
          <w:b w:val="1"/>
          <w:bCs w:val="1"/>
          <w:color w:val="auto"/>
        </w:rPr>
        <w:t>For the Nine Months Ended September 30, 2020</w:t>
      </w:r>
    </w:p>
    <w:p>
      <w:pPr>
        <w:spacing w:after="0" w:line="1" w:lineRule="exact"/>
        <w:rPr>
          <w:sz w:val="20"/>
          <w:szCs w:val="20"/>
          <w:color w:val="auto"/>
        </w:rPr>
      </w:pPr>
    </w:p>
    <w:p>
      <w:pPr>
        <w:sectPr>
          <w:pgSz w:w="11900" w:h="16838" w:orient="portrait"/>
          <w:cols w:equalWidth="0" w:num="2">
            <w:col w:w="9080" w:space="580"/>
            <w:col w:w="158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68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9,684</w:t>
            </w:r>
          </w:p>
        </w:tc>
        <w:tc>
          <w:tcPr>
            <w:tcW w:w="260" w:type="dxa"/>
            <w:vAlign w:val="bottom"/>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8,657</w:t>
            </w:r>
          </w:p>
        </w:tc>
        <w:tc>
          <w:tcPr>
            <w:tcW w:w="80" w:type="dxa"/>
            <w:vAlign w:val="bottom"/>
            <w:shd w:val="clear" w:color="auto" w:fill="CFF0FC"/>
          </w:tcPr>
          <w:p>
            <w:pPr>
              <w:spacing w:after="0"/>
              <w:rPr>
                <w:sz w:val="21"/>
                <w:szCs w:val="21"/>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Financing lease cost:</w:t>
            </w: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leased assets</w:t>
            </w:r>
          </w:p>
        </w:tc>
        <w:tc>
          <w:tcPr>
            <w:tcW w:w="6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22"/>
                <w:szCs w:val="22"/>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r>
      <w:tr>
        <w:trPr>
          <w:trHeight w:val="290"/>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26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1625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625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For the Nine Months</w:t>
            </w: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 the Nine Months</w:t>
            </w:r>
          </w:p>
        </w:tc>
      </w:tr>
      <w:tr>
        <w:trPr>
          <w:trHeight w:val="176"/>
        </w:trPr>
        <w:tc>
          <w:tcPr>
            <w:tcW w:w="52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Ended September 30,</w:t>
            </w: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Ended September 30,</w:t>
            </w:r>
          </w:p>
        </w:tc>
      </w:tr>
      <w:tr>
        <w:trPr>
          <w:trHeight w:val="192"/>
        </w:trPr>
        <w:tc>
          <w:tcPr>
            <w:tcW w:w="5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r>
      <w:tr>
        <w:trPr>
          <w:trHeight w:val="25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4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w w:val="96"/>
              </w:rPr>
              <w:t>Cash paid for amounts included in measurement of lease liabilities:</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used in operating leases</w:t>
            </w:r>
          </w:p>
        </w:tc>
        <w:tc>
          <w:tcPr>
            <w:tcW w:w="27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10,391</w:t>
            </w:r>
          </w:p>
        </w:tc>
        <w:tc>
          <w:tcPr>
            <w:tcW w:w="4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9,331</w:t>
            </w:r>
          </w:p>
        </w:tc>
        <w:tc>
          <w:tcPr>
            <w:tcW w:w="240" w:type="dxa"/>
            <w:vAlign w:val="bottom"/>
            <w:shd w:val="clear" w:color="auto" w:fill="CFF0FC"/>
          </w:tcPr>
          <w:p>
            <w:pPr>
              <w:spacing w:after="0"/>
              <w:rPr>
                <w:sz w:val="22"/>
                <w:szCs w:val="22"/>
                <w:color w:val="auto"/>
              </w:rPr>
            </w:pPr>
          </w:p>
        </w:tc>
      </w:tr>
      <w:tr>
        <w:trPr>
          <w:trHeight w:val="250"/>
        </w:trPr>
        <w:tc>
          <w:tcPr>
            <w:tcW w:w="5200" w:type="dxa"/>
            <w:vAlign w:val="bottom"/>
          </w:tcPr>
          <w:p>
            <w:pPr>
              <w:ind w:left="200"/>
              <w:spacing w:after="0"/>
              <w:rPr>
                <w:sz w:val="20"/>
                <w:szCs w:val="20"/>
                <w:color w:val="auto"/>
              </w:rPr>
            </w:pPr>
            <w:r>
              <w:rPr>
                <w:rFonts w:ascii="Arial" w:cs="Arial" w:eastAsia="Arial" w:hAnsi="Arial"/>
                <w:sz w:val="18"/>
                <w:szCs w:val="18"/>
                <w:color w:val="auto"/>
              </w:rPr>
              <w:t>Operating cash flows used in financing leases</w:t>
            </w:r>
          </w:p>
        </w:tc>
        <w:tc>
          <w:tcPr>
            <w:tcW w:w="2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1"/>
                <w:szCs w:val="21"/>
                <w:color w:val="auto"/>
              </w:rPr>
            </w:pPr>
          </w:p>
        </w:tc>
      </w:tr>
      <w:tr>
        <w:trPr>
          <w:trHeight w:val="263"/>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Financing cash flows used in financing leases</w:t>
            </w:r>
          </w:p>
        </w:tc>
        <w:tc>
          <w:tcPr>
            <w:tcW w:w="27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FF0FC"/>
          </w:tcPr>
          <w:p>
            <w:pPr>
              <w:spacing w:after="0"/>
              <w:rPr>
                <w:sz w:val="22"/>
                <w:szCs w:val="22"/>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leases obtained</w:t>
            </w:r>
          </w:p>
        </w:tc>
        <w:tc>
          <w:tcPr>
            <w:tcW w:w="27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43,148</w:t>
            </w:r>
          </w:p>
        </w:tc>
        <w:tc>
          <w:tcPr>
            <w:tcW w:w="4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w:t>
            </w:r>
          </w:p>
        </w:tc>
        <w:tc>
          <w:tcPr>
            <w:tcW w:w="240" w:type="dxa"/>
            <w:vAlign w:val="bottom"/>
            <w:shd w:val="clear" w:color="auto" w:fill="CFF0FC"/>
          </w:tcPr>
          <w:p>
            <w:pPr>
              <w:spacing w:after="0"/>
              <w:rPr>
                <w:sz w:val="22"/>
                <w:szCs w:val="22"/>
                <w:color w:val="auto"/>
              </w:rPr>
            </w:pPr>
          </w:p>
        </w:tc>
      </w:tr>
      <w:tr>
        <w:trPr>
          <w:trHeight w:val="250"/>
        </w:trPr>
        <w:tc>
          <w:tcPr>
            <w:tcW w:w="5200" w:type="dxa"/>
            <w:vAlign w:val="bottom"/>
          </w:tcPr>
          <w:p>
            <w:pPr>
              <w:ind w:left="200"/>
              <w:spacing w:after="0"/>
              <w:rPr>
                <w:sz w:val="20"/>
                <w:szCs w:val="20"/>
                <w:color w:val="auto"/>
              </w:rPr>
            </w:pPr>
            <w:r>
              <w:rPr>
                <w:rFonts w:ascii="Arial" w:cs="Arial" w:eastAsia="Arial" w:hAnsi="Arial"/>
                <w:sz w:val="18"/>
                <w:szCs w:val="18"/>
                <w:color w:val="auto"/>
              </w:rPr>
              <w:t>Financing leases obtained</w:t>
            </w:r>
          </w:p>
        </w:tc>
        <w:tc>
          <w:tcPr>
            <w:tcW w:w="2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1"/>
                <w:szCs w:val="21"/>
                <w:color w:val="auto"/>
              </w:rPr>
            </w:pPr>
          </w:p>
        </w:tc>
      </w:tr>
      <w:tr>
        <w:trPr>
          <w:trHeight w:val="26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4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9 years</w:t>
            </w:r>
          </w:p>
        </w:tc>
        <w:tc>
          <w:tcPr>
            <w:tcW w:w="3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 years</w:t>
            </w:r>
          </w:p>
        </w:tc>
      </w:tr>
      <w:tr>
        <w:trPr>
          <w:trHeight w:val="26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leases</w:t>
            </w:r>
          </w:p>
        </w:tc>
        <w:tc>
          <w:tcPr>
            <w:tcW w:w="24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 years</w:t>
            </w:r>
          </w:p>
        </w:tc>
        <w:tc>
          <w:tcPr>
            <w:tcW w:w="3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 years</w:t>
            </w: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24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7.0 %</w:t>
            </w:r>
          </w:p>
        </w:tc>
        <w:tc>
          <w:tcPr>
            <w:tcW w:w="3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10.4 %</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Financing leases</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16.5 %</w:t>
            </w:r>
          </w:p>
        </w:tc>
        <w:tc>
          <w:tcPr>
            <w:tcW w:w="36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11.1 %</w:t>
            </w:r>
          </w:p>
        </w:tc>
      </w:tr>
      <w:tr>
        <w:trPr>
          <w:trHeight w:val="689"/>
        </w:trPr>
        <w:tc>
          <w:tcPr>
            <w:tcW w:w="5200" w:type="dxa"/>
            <w:vAlign w:val="bottom"/>
          </w:tcPr>
          <w:p>
            <w:pPr>
              <w:spacing w:after="0"/>
              <w:rPr>
                <w:sz w:val="24"/>
                <w:szCs w:val="24"/>
                <w:color w:val="auto"/>
              </w:rPr>
            </w:pPr>
          </w:p>
        </w:tc>
        <w:tc>
          <w:tcPr>
            <w:tcW w:w="2400" w:type="dxa"/>
            <w:vAlign w:val="bottom"/>
          </w:tcPr>
          <w:p>
            <w:pPr>
              <w:jc w:val="right"/>
              <w:ind w:right="179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88"/>
        </w:trPr>
        <w:tc>
          <w:tcPr>
            <w:tcW w:w="520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Annual future minimum lease payments as of September 30,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5"/>
                <w:szCs w:val="15"/>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Financing</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7"/>
                <w:szCs w:val="17"/>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Leases</w:t>
            </w:r>
          </w:p>
        </w:tc>
        <w:tc>
          <w:tcPr>
            <w:tcW w:w="300" w:type="dxa"/>
            <w:vAlign w:val="bottom"/>
          </w:tcPr>
          <w:p>
            <w:pPr>
              <w:spacing w:after="0"/>
              <w:rPr>
                <w:sz w:val="17"/>
                <w:szCs w:val="17"/>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Leases</w:t>
            </w:r>
          </w:p>
        </w:tc>
      </w:tr>
      <w:tr>
        <w:trPr>
          <w:trHeight w:val="25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(period from October 1 to December 31)</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21"/>
                <w:szCs w:val="21"/>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13,513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12,239</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11,645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11,079</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64,230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tcBorders>
              <w:top w:val="single" w:sz="8" w:color="auto"/>
            </w:tcBorders>
            <w:shd w:val="clear" w:color="auto" w:fill="CFF0FC"/>
          </w:tcPr>
          <w:p>
            <w:pPr>
              <w:spacing w:after="0"/>
              <w:rPr>
                <w:sz w:val="22"/>
                <w:szCs w:val="22"/>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115,095</w:t>
            </w:r>
          </w:p>
        </w:tc>
        <w:tc>
          <w:tcPr>
            <w:tcW w:w="28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3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(30,090 )</w:t>
            </w:r>
          </w:p>
        </w:tc>
        <w:tc>
          <w:tcPr>
            <w:tcW w:w="3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(43 )</w:t>
            </w:r>
          </w:p>
        </w:tc>
      </w:tr>
      <w:tr>
        <w:trPr>
          <w:trHeight w:val="290"/>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Present value of net minimum lease payments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85,005</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Reported as of September 30, 2021</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77,774</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85,005</w:t>
            </w:r>
          </w:p>
        </w:tc>
        <w:tc>
          <w:tcPr>
            <w:tcW w:w="28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FF0FC"/>
            </w:tcBorders>
          </w:tcPr>
          <w:p>
            <w:pPr>
              <w:spacing w:after="0"/>
              <w:rPr>
                <w:sz w:val="21"/>
                <w:szCs w:val="21"/>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-873760</wp:posOffset>
            </wp:positionV>
            <wp:extent cx="1797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-856615</wp:posOffset>
            </wp:positionV>
            <wp:extent cx="1797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-873760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-856615</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-193675</wp:posOffset>
            </wp:positionV>
            <wp:extent cx="17970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80"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1" w:lineRule="exact"/>
        <w:rPr>
          <w:sz w:val="20"/>
          <w:szCs w:val="20"/>
          <w:color w:val="auto"/>
        </w:rPr>
      </w:pPr>
    </w:p>
    <w:p>
      <w:pPr>
        <w:ind w:right="240" w:firstLine="509"/>
        <w:spacing w:after="0" w:line="281"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various vendors under which we have remaining commitments to purchase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and development services. Such commitments will become payable as we receive the hardware components, or as development services are provided.</w:t>
      </w:r>
    </w:p>
    <w:p>
      <w:pPr>
        <w:spacing w:after="0" w:line="69" w:lineRule="exact"/>
        <w:rPr>
          <w:sz w:val="20"/>
          <w:szCs w:val="20"/>
          <w:color w:val="auto"/>
        </w:rPr>
      </w:pPr>
    </w:p>
    <w:p>
      <w:pPr>
        <w:ind w:right="120" w:firstLine="509"/>
        <w:spacing w:after="0" w:line="276"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78"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75" w:lineRule="exact"/>
        <w:rPr>
          <w:sz w:val="20"/>
          <w:szCs w:val="20"/>
          <w:color w:val="auto"/>
        </w:rPr>
      </w:pPr>
    </w:p>
    <w:p>
      <w:pPr>
        <w:ind w:right="400" w:firstLine="509"/>
        <w:spacing w:after="0" w:line="275"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73"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b w:val="1"/>
          <w:bCs w:val="1"/>
          <w:color w:val="auto"/>
        </w:rPr>
        <w:t xml:space="preserve">Linksmart Litigation </w:t>
      </w:r>
      <w:r>
        <w:rPr>
          <w:rFonts w:ascii="Arial" w:cs="Arial" w:eastAsia="Arial" w:hAnsi="Arial"/>
          <w:sz w:val="17"/>
          <w:szCs w:val="17"/>
          <w:color w:val="auto"/>
        </w:rPr>
        <w:t>- On April 20, 2018, Linksmart Wireless Technology, LLC filed suit against Gogo Inc., Gogo LLC, our former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entity that operated our CA business (“Gogo LLC”), and eight CA airline partners in the U.S. District Court for the Central District of California alleging that CA’s redirection server and login portal infringe a patent owned by the plaintiff. The suits seek an unspecified amount of damages. Intelsat is required under its contracts with these airlines, which it assumed in the Transaction, to indemnify them for defense costs and any liabilities resulting from the suit. The Court has stayed the suits against the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against the asserted patent in the U.S. Patent and Trademark Office, the Court stayed the litigation against such other defendant, Gogo Inc. and Gogo LLC, but such stay was lifted in July 2019 when the U.S. Patent and Trademark Office determined that the petitioner had not met the standard of proof required to commence the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Since the stay was lifted, discovery has been completed and motion practice has continued. A final pre-trial conference will be held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fourth quarter of 2021. We believe that the plaintiff’s claims are without merit and intend to continue to defend our position vigorously. The outcome of this litigation is inherently uncertain. No amounts have been accrued for any potential losses under this matter, as we cannot reasonably predict the outcome of the litigation or any potential losses.</w:t>
      </w:r>
    </w:p>
    <w:p>
      <w:pPr>
        <w:spacing w:after="0" w:line="67" w:lineRule="exact"/>
        <w:rPr>
          <w:sz w:val="20"/>
          <w:szCs w:val="20"/>
          <w:color w:val="auto"/>
        </w:rPr>
      </w:pPr>
    </w:p>
    <w:p>
      <w:pPr>
        <w:ind w:right="140" w:firstLine="509"/>
        <w:spacing w:after="0" w:line="276" w:lineRule="auto"/>
        <w:rPr>
          <w:sz w:val="20"/>
          <w:szCs w:val="20"/>
          <w:color w:val="auto"/>
        </w:rPr>
      </w:pPr>
      <w:r>
        <w:rPr>
          <w:rFonts w:ascii="Arial" w:cs="Arial" w:eastAsia="Arial" w:hAnsi="Arial"/>
          <w:sz w:val="18"/>
          <w:szCs w:val="18"/>
          <w:b w:val="1"/>
          <w:bCs w:val="1"/>
          <w:color w:val="auto"/>
        </w:rPr>
        <w:t xml:space="preserve">Securities Litigation </w:t>
      </w:r>
      <w:r>
        <w:rPr>
          <w:rFonts w:ascii="Arial" w:cs="Arial" w:eastAsia="Arial" w:hAnsi="Arial"/>
          <w:sz w:val="18"/>
          <w:szCs w:val="18"/>
          <w:color w:val="auto"/>
        </w:rPr>
        <w:t>- On June 27, 2018, a purported stockholder of the Company filed a putative class action lawsuit in the United States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Court for the Northern District of Illinois, Eastern Division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w:t>
      </w:r>
    </w:p>
    <w:p>
      <w:pPr>
        <w:sectPr>
          <w:pgSz w:w="11900" w:h="16838" w:orient="portrait"/>
          <w:cols w:equalWidth="0" w:num="1">
            <w:col w:w="11240"/>
          </w:cols>
          <w:pgMar w:left="320" w:top="135"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through May 4, 2018. The complaint asserts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 amended complaint, which was granted by the Court. Plaintiffs proceeded to file the third amended complaint in July 2020 and we filed a motion to dismiss in September 2020. In April 2021, the Court denied our motion to dismiss, and the defendants filed their answer and affirmative defenses to the third amended complaint in June 2021.</w:t>
      </w:r>
    </w:p>
    <w:p>
      <w:pPr>
        <w:spacing w:after="0" w:line="74" w:lineRule="exact"/>
        <w:rPr>
          <w:sz w:val="20"/>
          <w:szCs w:val="20"/>
          <w:color w:val="auto"/>
        </w:rPr>
      </w:pPr>
    </w:p>
    <w:p>
      <w:pPr>
        <w:ind w:right="100" w:firstLine="509"/>
        <w:spacing w:after="0" w:line="309" w:lineRule="auto"/>
        <w:rPr>
          <w:sz w:val="20"/>
          <w:szCs w:val="20"/>
          <w:color w:val="auto"/>
        </w:rPr>
      </w:pPr>
      <w:r>
        <w:rPr>
          <w:rFonts w:ascii="Arial" w:cs="Arial" w:eastAsia="Arial" w:hAnsi="Arial"/>
          <w:sz w:val="16"/>
          <w:szCs w:val="16"/>
          <w:color w:val="auto"/>
        </w:rPr>
        <w:t>The parties engaged in mediation and reached a tentative resolution that includes a cash payment of $17.3 million (funded by our D&amp;O insurance carriers) in exchange for a dismissal with prejudice of the class claims and full releases. As a result of this development, the Company has accrued a $17.3 million liability within Accrued liabilities and a corresponding insurance receivable in Prepaid expenses and other current assets in the Condensed Consolidated Balance Sheets as of September 30, 2021. This resolution is subject to execution by the parties of a definitive settlement agreement and final approval by the court. While the Company will in good faith negotiate the terms of the definitive settlement agreement and seek court approval, there can be no assurance that these efforts will result in a settlement or, if they do, as to the timing of such settlement. We believe that the claims are without merit and will continue to defend them vigorously should the parties’ settlement efforts be unsuccessful.</w:t>
      </w:r>
    </w:p>
    <w:p>
      <w:pPr>
        <w:spacing w:after="0" w:line="52" w:lineRule="exact"/>
        <w:rPr>
          <w:sz w:val="20"/>
          <w:szCs w:val="20"/>
          <w:color w:val="auto"/>
        </w:rPr>
      </w:pPr>
    </w:p>
    <w:p>
      <w:pPr>
        <w:ind w:right="20" w:firstLine="509"/>
        <w:spacing w:after="0" w:line="305"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Since, as discussed above, the court in the class action suit denied the motion to dismiss, the stay has been lifted and the litigation has resumed. In addition, a purported stockholder has sent a letter to the Company’s Board of Directors, dated June 21, 2021, demanding based on substantially the same allegations, that the Company sue certain current and former Officers for, </w:t>
      </w:r>
      <w:r>
        <w:rPr>
          <w:rFonts w:ascii="Arial" w:cs="Arial" w:eastAsia="Arial" w:hAnsi="Arial"/>
          <w:sz w:val="16"/>
          <w:szCs w:val="16"/>
          <w:i w:val="1"/>
          <w:iCs w:val="1"/>
          <w:color w:val="auto"/>
        </w:rPr>
        <w:t>inter alia</w:t>
      </w:r>
      <w:r>
        <w:rPr>
          <w:rFonts w:ascii="Arial" w:cs="Arial" w:eastAsia="Arial" w:hAnsi="Arial"/>
          <w:sz w:val="16"/>
          <w:szCs w:val="16"/>
          <w:color w:val="auto"/>
        </w:rPr>
        <w:t>, breach of fiduciary duty.</w:t>
      </w:r>
    </w:p>
    <w:p>
      <w:pPr>
        <w:spacing w:after="0" w:line="168"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We believe that the claims are without merit and intend to defend them vigorously. No amounts have been accrued for any potential costs under these matters, as we cannot reasonably predict the outcome or the potential costs. We have filed a claim under our Directors’ and Officers’ insurance policy with respect to these suits and the demand from the purported stockholder. We expect any material financial exposure for these matters to be borne by our insurance carriers, although they have reserved their rights under the policies.</w:t>
      </w:r>
    </w:p>
    <w:p>
      <w:pPr>
        <w:spacing w:after="0" w:line="289"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for identical assets or liabilities in active markets;</w:t>
      </w:r>
    </w:p>
    <w:p>
      <w:pPr>
        <w:spacing w:after="0" w:line="131" w:lineRule="exact"/>
        <w:rPr>
          <w:sz w:val="20"/>
          <w:szCs w:val="20"/>
          <w:color w:val="auto"/>
        </w:rPr>
      </w:pPr>
    </w:p>
    <w:p>
      <w:pPr>
        <w:jc w:val="both"/>
        <w:ind w:left="960" w:right="100"/>
        <w:spacing w:after="0" w:line="27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inputs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inputs that are observable or can be corroborated by observable market data for substantially the full term of the assets or liabilities; and</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defined as unobservable inputs in which little or no market data exists, therefore requiring an entity to develop its own assumptions.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11 “Derivative Instruments and Hedging Activities,” for fair value information relating to our interest rate caps.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Long-Term Debt:</w:t>
      </w:r>
    </w:p>
    <w:p>
      <w:pPr>
        <w:spacing w:after="0" w:line="131"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As of September 30, 2021 and December 31, 2020, our financial assets and liabilities that are disclosed but not measured at fair value include the Term Loan Facility, the 2022 Convertible Notes, and, while outstanding, the 2024 Senior Secured Notes, which are reflected on the consolidated balance sheets at cost. The fair value measurements are classified as Level 2 within the fair value hierarchy since they are based on quoted market prices of our instruments in markets that are not active. We estimated the fair value of the Term Loan Facility, the 2022 Convertible Notes, and, while outstanding, the 2024 Senior Secured Notes by calculating the upfront cash payment a market participant would require to assume these obligations. The upfront cash payments used in the calculations of fair value on our September 30, 2021 Unaudited Condensed Consolidated Balance Sheets, excluding any issuance costs, are the amount that a market participant would be willing to lend at September 30, 2021 to an entity with a credit rating similar to ours and that would allow such an entity to achieve sufficient cash inflows to cover the scheduled cash outflows under the Term Loan Facility and the 2022 Convertible Notes. The calculated fair value of each of the 2022 Convertible Notes is correlated to our stock price and as a result, significant changes to our stock price could have a significant impact on the calculated fair values.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fair value and carrying value of long-term debt as of September 30,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September 30, 2021</w:t>
            </w:r>
          </w:p>
        </w:tc>
        <w:tc>
          <w:tcPr>
            <w:tcW w:w="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19"/>
                <w:szCs w:val="19"/>
                <w:b w:val="1"/>
                <w:bCs w:val="1"/>
                <w:i w:val="1"/>
                <w:iCs w:val="1"/>
                <w:color w:val="auto"/>
                <w:w w:val="99"/>
                <w:vertAlign w:val="superscript"/>
              </w:rPr>
              <w:t>(1)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97"/>
              <w:spacing w:after="0"/>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19"/>
                <w:szCs w:val="19"/>
                <w:b w:val="1"/>
                <w:bCs w:val="1"/>
                <w:i w:val="1"/>
                <w:iCs w:val="1"/>
                <w:color w:val="auto"/>
                <w:w w:val="99"/>
                <w:vertAlign w:val="superscript"/>
              </w:rPr>
              <w:t>(1)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728,000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719,753</w:t>
            </w:r>
          </w:p>
        </w:tc>
        <w:tc>
          <w:tcPr>
            <w:tcW w:w="520" w:type="dxa"/>
            <w:vAlign w:val="bottom"/>
            <w:shd w:val="clear" w:color="auto" w:fill="CFF0FC"/>
          </w:tcPr>
          <w:p>
            <w:pPr>
              <w:jc w:val="right"/>
              <w:ind w:right="220"/>
              <w:spacing w:after="0"/>
              <w:rPr>
                <w:sz w:val="20"/>
                <w:szCs w:val="20"/>
                <w:color w:val="auto"/>
              </w:rPr>
            </w:pPr>
            <w:r>
              <w:rPr>
                <w:rFonts w:ascii="Arial" w:cs="Arial" w:eastAsia="Arial" w:hAnsi="Arial"/>
                <w:sz w:val="12"/>
                <w:szCs w:val="12"/>
                <w:i w:val="1"/>
                <w:iCs w:val="1"/>
                <w:color w:val="auto"/>
              </w:rPr>
              <w:t>(2)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auto"/>
                <w:w w:val="94"/>
              </w:rPr>
              <w:t>2022</w:t>
            </w:r>
          </w:p>
        </w:tc>
        <w:tc>
          <w:tcPr>
            <w:tcW w:w="30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302,000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102,788</w:t>
            </w:r>
          </w:p>
        </w:tc>
        <w:tc>
          <w:tcPr>
            <w:tcW w:w="5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404,000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215,122</w:t>
            </w:r>
          </w:p>
        </w:tc>
        <w:tc>
          <w:tcPr>
            <w:tcW w:w="380" w:type="dxa"/>
            <w:vAlign w:val="bottom"/>
          </w:tcPr>
          <w:p>
            <w:pPr>
              <w:jc w:val="right"/>
              <w:ind w:right="80"/>
              <w:spacing w:after="0"/>
              <w:rPr>
                <w:sz w:val="20"/>
                <w:szCs w:val="20"/>
                <w:color w:val="auto"/>
              </w:rPr>
            </w:pPr>
            <w:r>
              <w:rPr>
                <w:rFonts w:ascii="Arial" w:cs="Arial" w:eastAsia="Arial" w:hAnsi="Arial"/>
                <w:sz w:val="12"/>
                <w:szCs w:val="12"/>
                <w:i w:val="1"/>
                <w:iCs w:val="1"/>
                <w:color w:val="auto"/>
              </w:rPr>
              <w:t>(3)</w:t>
            </w:r>
          </w:p>
        </w:tc>
        <w:tc>
          <w:tcPr>
            <w:tcW w:w="0" w:type="dxa"/>
            <w:vAlign w:val="bottom"/>
          </w:tcPr>
          <w:p>
            <w:pPr>
              <w:spacing w:after="0"/>
              <w:rPr>
                <w:sz w:val="1"/>
                <w:szCs w:val="1"/>
                <w:color w:val="auto"/>
              </w:rPr>
            </w:pPr>
          </w:p>
        </w:tc>
      </w:tr>
      <w:tr>
        <w:trPr>
          <w:trHeight w:val="263"/>
        </w:trPr>
        <w:tc>
          <w:tcPr>
            <w:tcW w:w="400" w:type="dxa"/>
            <w:vAlign w:val="bottom"/>
            <w:shd w:val="clear" w:color="auto" w:fill="CFF0FC"/>
          </w:tcPr>
          <w:p>
            <w:pPr>
              <w:spacing w:after="0"/>
              <w:rPr>
                <w:sz w:val="20"/>
                <w:szCs w:val="20"/>
                <w:color w:val="auto"/>
              </w:rPr>
            </w:pPr>
            <w:r>
              <w:rPr>
                <w:rFonts w:ascii="Arial" w:cs="Arial" w:eastAsia="Arial" w:hAnsi="Arial"/>
                <w:sz w:val="18"/>
                <w:szCs w:val="18"/>
                <w:color w:val="auto"/>
                <w:w w:val="94"/>
              </w:rPr>
              <w:t>2024</w:t>
            </w:r>
          </w:p>
        </w:tc>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1,045,000</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973,539</w:t>
            </w:r>
          </w:p>
        </w:tc>
        <w:tc>
          <w:tcPr>
            <w:tcW w:w="380" w:type="dxa"/>
            <w:vAlign w:val="bottom"/>
            <w:shd w:val="clear" w:color="auto" w:fill="CFF0FC"/>
          </w:tcPr>
          <w:p>
            <w:pPr>
              <w:jc w:val="right"/>
              <w:ind w:right="80"/>
              <w:spacing w:after="0"/>
              <w:rPr>
                <w:sz w:val="20"/>
                <w:szCs w:val="20"/>
                <w:color w:val="auto"/>
              </w:rPr>
            </w:pPr>
            <w:r>
              <w:rPr>
                <w:rFonts w:ascii="Arial" w:cs="Arial" w:eastAsia="Arial" w:hAnsi="Arial"/>
                <w:sz w:val="12"/>
                <w:szCs w:val="12"/>
                <w:i w:val="1"/>
                <w:iCs w:val="1"/>
                <w:color w:val="auto"/>
              </w:rPr>
              <w:t>(4)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w:t>
      </w:r>
    </w:p>
    <w:p>
      <w:pPr>
        <w:spacing w:after="0" w:line="23" w:lineRule="exact"/>
        <w:rPr>
          <w:rFonts w:ascii="Arial" w:cs="Arial" w:eastAsia="Arial" w:hAnsi="Arial"/>
          <w:sz w:val="18"/>
          <w:szCs w:val="18"/>
          <w:i w:val="1"/>
          <w:iCs w:val="1"/>
          <w:color w:val="auto"/>
        </w:rPr>
      </w:pPr>
    </w:p>
    <w:p>
      <w:pPr>
        <w:ind w:left="440" w:right="180" w:hanging="432"/>
        <w:spacing w:after="0" w:line="266" w:lineRule="auto"/>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Carrying value of the Term Loan Facility reflects the unaccreted debt discount of $3.4 million as of September 30, 2021. See Note 10, “Long-Term Debt and Other Liabilities,” for further information.</w:t>
      </w:r>
    </w:p>
    <w:p>
      <w:pPr>
        <w:ind w:left="440" w:right="160" w:hanging="432"/>
        <w:spacing w:after="0" w:line="266" w:lineRule="auto"/>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Carrying value of the 2022 Convertible Notes reflects the unaccreted debt discount of $22.6 million as of December 31, 2020. See Note 10, “Long-Term Debt and Other Liabilities,” for further information.</w:t>
      </w:r>
    </w:p>
    <w:p>
      <w:pPr>
        <w:ind w:left="440" w:hanging="432"/>
        <w:spacing w:after="0" w:line="292" w:lineRule="auto"/>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Carrying value of the 2024 Senior Secured Notes reflects the unaccreted debt discount of $1.5 million as of December 31, 2020. See Note 10, “Long-Term Debt and Other Liabilities,” for further information.</w:t>
      </w:r>
    </w:p>
    <w:p>
      <w:pPr>
        <w:spacing w:after="0" w:line="180"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35" w:lineRule="exact"/>
        <w:rPr>
          <w:sz w:val="20"/>
          <w:szCs w:val="20"/>
          <w:color w:val="auto"/>
        </w:rPr>
      </w:pPr>
    </w:p>
    <w:p>
      <w:pPr>
        <w:jc w:val="both"/>
        <w:ind w:right="160" w:firstLine="509"/>
        <w:spacing w:after="0" w:line="329" w:lineRule="auto"/>
        <w:rPr>
          <w:sz w:val="20"/>
          <w:szCs w:val="20"/>
          <w:color w:val="auto"/>
        </w:rPr>
      </w:pPr>
      <w:r>
        <w:rPr>
          <w:rFonts w:ascii="Arial" w:cs="Arial" w:eastAsia="Arial" w:hAnsi="Arial"/>
          <w:sz w:val="16"/>
          <w:szCs w:val="16"/>
          <w:color w:val="auto"/>
        </w:rPr>
        <w:t>The effective income tax rates for continuing operations for the three- and nine-month periods ended September 30, 2021 were 0.7% and (0.9)%, respectively, compared to 0.7% and (0.7)%, respectively, for the prior-year periods. For the three- and nine-month periods ended September 30, 2021 and 2020, our income tax expense (benefit) was not significant, primarily due to the full valuation allowance against our deferred income tax assets.</w:t>
      </w:r>
    </w:p>
    <w:p>
      <w:pPr>
        <w:spacing w:after="0" w:line="148" w:lineRule="exact"/>
        <w:rPr>
          <w:sz w:val="20"/>
          <w:szCs w:val="20"/>
          <w:color w:val="auto"/>
        </w:rPr>
      </w:pPr>
    </w:p>
    <w:p>
      <w:pPr>
        <w:ind w:right="200" w:firstLine="509"/>
        <w:spacing w:after="0" w:line="292" w:lineRule="auto"/>
        <w:rPr>
          <w:sz w:val="20"/>
          <w:szCs w:val="20"/>
          <w:color w:val="auto"/>
        </w:rPr>
      </w:pPr>
      <w:r>
        <w:rPr>
          <w:rFonts w:ascii="Arial" w:cs="Arial" w:eastAsia="Arial" w:hAnsi="Arial"/>
          <w:sz w:val="17"/>
          <w:szCs w:val="17"/>
          <w:color w:val="auto"/>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We will continue to assess whether we need to maintain all, or part, of the valuation allowance on our deferred income tax assets. A reversal of the valuation allowance may occur within the next twelve months.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subject to income taxation in the United States and Canada. With few exceptions, as of September 30, 2021, we are no longer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state, local or foreign examinations by tax authorities for years before 2017.</w:t>
      </w:r>
    </w:p>
    <w:p>
      <w:pPr>
        <w:spacing w:after="0" w:line="238" w:lineRule="exact"/>
        <w:rPr>
          <w:sz w:val="20"/>
          <w:szCs w:val="20"/>
          <w:color w:val="auto"/>
        </w:rPr>
      </w:pPr>
    </w:p>
    <w:p>
      <w:pPr>
        <w:jc w:val="both"/>
        <w:ind w:right="140" w:firstLine="509"/>
        <w:spacing w:after="0" w:line="329" w:lineRule="auto"/>
        <w:rPr>
          <w:sz w:val="20"/>
          <w:szCs w:val="20"/>
          <w:color w:val="auto"/>
        </w:rPr>
      </w:pPr>
      <w:r>
        <w:rPr>
          <w:rFonts w:ascii="Arial" w:cs="Arial" w:eastAsia="Arial" w:hAnsi="Arial"/>
          <w:sz w:val="16"/>
          <w:szCs w:val="16"/>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 and nine-month periods ended September 30, 2021 and 2020. As of September 30, 2021 and December 31, 2020, we did not have a liability recorded for interest or potential penalties.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Presently, we do not require a reserve for unrecognized tax benefits, nor do we foresee any change to that position during the next 12 months.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47"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401(k) Plan</w:t>
      </w:r>
    </w:p>
    <w:p>
      <w:pPr>
        <w:spacing w:after="0" w:line="131" w:lineRule="exact"/>
        <w:rPr>
          <w:sz w:val="20"/>
          <w:szCs w:val="20"/>
          <w:color w:val="auto"/>
        </w:rPr>
      </w:pPr>
    </w:p>
    <w:p>
      <w:pPr>
        <w:ind w:right="60" w:firstLine="509"/>
        <w:spacing w:after="0" w:line="281" w:lineRule="auto"/>
        <w:rPr>
          <w:sz w:val="20"/>
          <w:szCs w:val="20"/>
          <w:color w:val="auto"/>
        </w:rPr>
      </w:pPr>
      <w:r>
        <w:rPr>
          <w:rFonts w:ascii="Arial" w:cs="Arial" w:eastAsia="Arial" w:hAnsi="Arial"/>
          <w:sz w:val="18"/>
          <w:szCs w:val="18"/>
          <w:b w:val="1"/>
          <w:bCs w:val="1"/>
          <w:color w:val="auto"/>
        </w:rPr>
        <w:t xml:space="preserve">Stock-Based Compensation — </w:t>
      </w:r>
      <w:r>
        <w:rPr>
          <w:rFonts w:ascii="Arial" w:cs="Arial" w:eastAsia="Arial" w:hAnsi="Arial"/>
          <w:sz w:val="18"/>
          <w:szCs w:val="18"/>
          <w:color w:val="auto"/>
        </w:rPr>
        <w:t>As of September 30, 2021, we maintained three stock-based incentive compensation plans (“Stock Plans”),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Stock Purchase Plan (“ESPP”). See Note 14, “Stock-Based Compensation,” in our 2020 10-K for further information regarding these plans. The majority of our equity grants are awarded on an annual basis.</w:t>
      </w:r>
    </w:p>
    <w:p>
      <w:pPr>
        <w:spacing w:after="0" w:line="181"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For the nine-month period ended September 30, 2021, options to purchase 26,726 shares of common stock were granted, options to purchase 354,942 shares of common stock were exercised, 9,147 options to purchase shares of common stock were forfeited and no options to purchase shares of common stock expired. The fair value of the options granted during the nine-month period ended September 30, 2021 was approximately $0.2 million, which will be recognized over a period of one year.</w:t>
      </w:r>
    </w:p>
    <w:p>
      <w:pPr>
        <w:spacing w:after="0" w:line="185"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For the nine-month period ended September 30, 2021, 2,538,584 RSUs were granted, 992,781 RSUs vested and 222,627 RSUs were forfeited. The fair value of the RSUs granted during the nine-month period ended September 30, 2021 was approximately $24.9 million, which will be recognized over a period of four years.</w:t>
      </w:r>
    </w:p>
    <w:p>
      <w:pPr>
        <w:spacing w:after="0" w:line="183"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For the nine-month period ended September 30, 2021, 89,732 deferred stock units were granted and 146,128 vested. The fair value of the deferred stock units granted during the nine-month period ended September 30, 2021 was approximately $1.1 million, which will be recognized over a period of one year.</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nine-month period ended September 30, 2021, 34,329 shares of common stock were issued under the ESPP.</w:t>
      </w:r>
    </w:p>
    <w:p>
      <w:pPr>
        <w:spacing w:after="0" w:line="239" w:lineRule="exact"/>
        <w:rPr>
          <w:sz w:val="20"/>
          <w:szCs w:val="20"/>
          <w:color w:val="auto"/>
        </w:rPr>
      </w:pPr>
    </w:p>
    <w:p>
      <w:pPr>
        <w:ind w:right="660" w:firstLine="509"/>
        <w:spacing w:after="0" w:line="293"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in the Unaudited Condensed Consolidated Statements of Operations, excluding stock-based compensation expense for discontinued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For the Nine Months</w:t>
            </w:r>
          </w:p>
        </w:tc>
        <w:tc>
          <w:tcPr>
            <w:tcW w:w="80" w:type="dxa"/>
            <w:vAlign w:val="bottom"/>
          </w:tcPr>
          <w:p>
            <w:pPr>
              <w:spacing w:after="0"/>
              <w:rPr>
                <w:sz w:val="15"/>
                <w:szCs w:val="15"/>
                <w:color w:val="auto"/>
              </w:rPr>
            </w:pPr>
          </w:p>
        </w:tc>
      </w:tr>
      <w:tr>
        <w:trPr>
          <w:trHeight w:val="192"/>
        </w:trPr>
        <w:tc>
          <w:tcPr>
            <w:tcW w:w="498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Ended September 30,</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6"/>
                <w:szCs w:val="16"/>
                <w:color w:val="auto"/>
              </w:rPr>
            </w:pPr>
          </w:p>
        </w:tc>
      </w:tr>
      <w:tr>
        <w:trPr>
          <w:trHeight w:val="196"/>
        </w:trPr>
        <w:tc>
          <w:tcPr>
            <w:tcW w:w="49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720" w:type="dxa"/>
            <w:vAlign w:val="bottom"/>
            <w:shd w:val="clear" w:color="auto" w:fill="CFF0FC"/>
          </w:tcPr>
          <w:p>
            <w:pPr>
              <w:jc w:val="right"/>
              <w:ind w:right="521"/>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82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72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21"/>
                <w:szCs w:val="21"/>
                <w:color w:val="auto"/>
              </w:rPr>
            </w:pPr>
          </w:p>
        </w:tc>
      </w:tr>
      <w:tr>
        <w:trPr>
          <w:trHeight w:val="257"/>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4,137</w:t>
            </w:r>
          </w:p>
        </w:tc>
        <w:tc>
          <w:tcPr>
            <w:tcW w:w="2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3,301</w:t>
            </w: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7,505</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Pr>
          <w:p>
            <w:pPr>
              <w:jc w:val="right"/>
              <w:ind w:right="521"/>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5,403</w:t>
            </w:r>
          </w:p>
        </w:tc>
        <w:tc>
          <w:tcPr>
            <w:tcW w:w="82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4,680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10,144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8,283</w:t>
            </w:r>
          </w:p>
        </w:tc>
        <w:tc>
          <w:tcPr>
            <w:tcW w:w="80" w:type="dxa"/>
            <w:vAlign w:val="bottom"/>
          </w:tcPr>
          <w:p>
            <w:pPr>
              <w:spacing w:after="0"/>
              <w:rPr>
                <w:sz w:val="21"/>
                <w:szCs w:val="21"/>
                <w:color w:val="auto"/>
              </w:rPr>
            </w:pPr>
          </w:p>
        </w:tc>
      </w:tr>
      <w:tr>
        <w:trPr>
          <w:trHeight w:val="20"/>
        </w:trPr>
        <w:tc>
          <w:tcPr>
            <w:tcW w:w="4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-193675</wp:posOffset>
            </wp:positionV>
            <wp:extent cx="13716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-193675</wp:posOffset>
            </wp:positionV>
            <wp:extent cx="12001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-193675</wp:posOffset>
            </wp:positionV>
            <wp:extent cx="12001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76" w:lineRule="auto"/>
        <w:rPr>
          <w:sz w:val="20"/>
          <w:szCs w:val="20"/>
          <w:color w:val="auto"/>
        </w:rPr>
      </w:pPr>
      <w:r>
        <w:rPr>
          <w:rFonts w:ascii="Arial" w:cs="Arial" w:eastAsia="Arial" w:hAnsi="Arial"/>
          <w:sz w:val="18"/>
          <w:szCs w:val="18"/>
          <w:b w:val="1"/>
          <w:bCs w:val="1"/>
          <w:color w:val="auto"/>
        </w:rPr>
        <w:t xml:space="preserve">401(k) Plan — </w:t>
      </w:r>
      <w:r>
        <w:rPr>
          <w:rFonts w:ascii="Arial" w:cs="Arial" w:eastAsia="Arial" w:hAnsi="Arial"/>
          <w:sz w:val="18"/>
          <w:szCs w:val="18"/>
          <w:color w:val="auto"/>
        </w:rPr>
        <w:t>Under our 401(k) plan, all employees who are eligible to participate are entitled to make tax-deferred contributions,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Revenue Service limitations. We match 100% of the employee’s first 4% of contributions made, subject to annual limitations. Our matching contributions were $0.4 million and $1.3 million, respectively, during the three- and nine-month periods ended September 30, 2021 and $0.3 million and $0.9 million, respectively, for the prior-year periods.</w:t>
      </w:r>
    </w:p>
    <w:p>
      <w:pPr>
        <w:spacing w:after="0" w:line="236"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35" w:lineRule="exact"/>
        <w:rPr>
          <w:sz w:val="20"/>
          <w:szCs w:val="20"/>
          <w:color w:val="auto"/>
        </w:rPr>
      </w:pPr>
    </w:p>
    <w:p>
      <w:pPr>
        <w:ind w:right="200" w:firstLine="509"/>
        <w:spacing w:after="0" w:line="329" w:lineRule="auto"/>
        <w:rPr>
          <w:sz w:val="20"/>
          <w:szCs w:val="20"/>
          <w:color w:val="auto"/>
        </w:rPr>
      </w:pPr>
      <w:r>
        <w:rPr>
          <w:rFonts w:ascii="Arial" w:cs="Arial" w:eastAsia="Arial" w:hAnsi="Arial"/>
          <w:sz w:val="16"/>
          <w:szCs w:val="16"/>
          <w:color w:val="auto"/>
        </w:rPr>
        <w:t>Expenditures for research and development are charged to expense as incurred and totaled $6.0 million and $18.0 million, respectively, during the three- and nine-month periods ended September 30, 2021 and $4.5 million and $17.4 million, respectively, for the prior-year periods. Research and development costs are reported as engineering, design and development expenses in our Unaudited Condensed Consolidated Statements of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47"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changes in accumulated other comprehensive income (loss) by component </w:t>
      </w:r>
      <w:r>
        <w:rPr>
          <w:rFonts w:ascii="Arial" w:cs="Arial" w:eastAsia="Arial" w:hAnsi="Arial"/>
          <w:sz w:val="18"/>
          <w:szCs w:val="18"/>
          <w:i w:val="1"/>
          <w:i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Change in</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7"/>
                <w:szCs w:val="17"/>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Fair Value of</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Cash Flow</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Adjustment</w:t>
            </w:r>
          </w:p>
        </w:tc>
        <w:tc>
          <w:tcPr>
            <w:tcW w:w="24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Hedge</w:t>
            </w:r>
          </w:p>
        </w:tc>
        <w:tc>
          <w:tcPr>
            <w:tcW w:w="22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49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2021</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(1,013 )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(1,013 )</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(432 )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(326 )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90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96"/>
              </w:rPr>
              <w:t>Amounts reclassified from accumulated other comprehensive</w:t>
            </w:r>
          </w:p>
        </w:tc>
        <w:tc>
          <w:tcPr>
            <w:tcW w:w="160" w:type="dxa"/>
            <w:vAlign w:val="bottom"/>
            <w:shd w:val="clear" w:color="auto" w:fill="CFF0FC"/>
          </w:tcPr>
          <w:p>
            <w:pPr>
              <w:spacing w:after="0"/>
              <w:rPr>
                <w:sz w:val="21"/>
                <w:szCs w:val="21"/>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gridSpan w:val="2"/>
            <w:vMerge w:val="restart"/>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90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right w:val="single" w:sz="8" w:color="CFF0FC"/>
            </w:tcBorders>
            <w:gridSpan w:val="2"/>
            <w:vMerge w:val="continue"/>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gridSpan w:val="2"/>
            <w:vMerge w:val="continue"/>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Net current period comprehensive income (loss)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(432 )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(326 )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spacing w:after="0"/>
              <w:rPr>
                <w:sz w:val="24"/>
                <w:szCs w:val="24"/>
                <w:color w:val="auto"/>
              </w:rPr>
            </w:pPr>
          </w:p>
        </w:tc>
        <w:tc>
          <w:tcPr>
            <w:tcW w:w="49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2021</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(907 )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(432 )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(1,339 )</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49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20" w:type="dxa"/>
            <w:vAlign w:val="bottom"/>
            <w:tcBorders>
              <w:top w:val="single" w:sz="8" w:color="CFF0FC"/>
            </w:tcBorders>
            <w:gridSpan w:val="2"/>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7"/>
                <w:szCs w:val="17"/>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Fair Value of</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7"/>
                <w:szCs w:val="17"/>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Cash Flow</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Hedge</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49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(2,256 )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(2,256 )</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60" w:type="dxa"/>
            <w:vAlign w:val="bottom"/>
          </w:tcPr>
          <w:p>
            <w:pPr>
              <w:spacing w:after="0"/>
              <w:rPr>
                <w:sz w:val="21"/>
                <w:szCs w:val="21"/>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(2,067 )</w:t>
            </w:r>
          </w:p>
        </w:tc>
        <w:tc>
          <w:tcPr>
            <w:tcW w:w="100" w:type="dxa"/>
            <w:vAlign w:val="bottom"/>
          </w:tcPr>
          <w:p>
            <w:pPr>
              <w:spacing w:after="0"/>
              <w:rPr>
                <w:sz w:val="21"/>
                <w:szCs w:val="21"/>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(2,067 )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90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96"/>
              </w:rPr>
              <w:t>Amounts reclassified from accumulated other comprehensive</w:t>
            </w:r>
          </w:p>
        </w:tc>
        <w:tc>
          <w:tcPr>
            <w:tcW w:w="160" w:type="dxa"/>
            <w:vAlign w:val="bottom"/>
            <w:shd w:val="clear" w:color="auto" w:fill="CFF0FC"/>
          </w:tcPr>
          <w:p>
            <w:pPr>
              <w:spacing w:after="0"/>
              <w:rPr>
                <w:sz w:val="21"/>
                <w:szCs w:val="2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vMerge w:val="restart"/>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90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gridSpan w:val="2"/>
            <w:vMerge w:val="continue"/>
            <w:shd w:val="clear" w:color="auto" w:fill="CFF0FC"/>
          </w:tcPr>
          <w:p>
            <w:pPr>
              <w:spacing w:after="0"/>
              <w:rPr>
                <w:sz w:val="20"/>
                <w:szCs w:val="20"/>
                <w:color w:val="auto"/>
              </w:rPr>
            </w:pPr>
          </w:p>
        </w:tc>
        <w:tc>
          <w:tcPr>
            <w:tcW w:w="220" w:type="dxa"/>
            <w:vAlign w:val="bottom"/>
            <w:tcBorders>
              <w:bottom w:val="single" w:sz="8" w:color="CFF0FC"/>
              <w:right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gridSpan w:val="2"/>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Net current period comprehensive loss</w:t>
            </w:r>
          </w:p>
        </w:tc>
        <w:tc>
          <w:tcPr>
            <w:tcW w:w="160" w:type="dxa"/>
            <w:vAlign w:val="bottom"/>
          </w:tcPr>
          <w:p>
            <w:pPr>
              <w:spacing w:after="0"/>
              <w:rPr>
                <w:sz w:val="21"/>
                <w:szCs w:val="21"/>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(2,067 )</w:t>
            </w:r>
          </w:p>
        </w:tc>
        <w:tc>
          <w:tcPr>
            <w:tcW w:w="100" w:type="dxa"/>
            <w:vAlign w:val="bottom"/>
          </w:tcPr>
          <w:p>
            <w:pPr>
              <w:spacing w:after="0"/>
              <w:rPr>
                <w:sz w:val="21"/>
                <w:szCs w:val="21"/>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(2,067 )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spacing w:after="0"/>
              <w:rPr>
                <w:sz w:val="24"/>
                <w:szCs w:val="24"/>
                <w:color w:val="auto"/>
              </w:rPr>
            </w:pPr>
          </w:p>
        </w:tc>
        <w:tc>
          <w:tcPr>
            <w:tcW w:w="49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(4,323 )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(4,323 )</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4"/>
                <w:szCs w:val="24"/>
                <w:color w:val="auto"/>
              </w:rPr>
            </w:pPr>
          </w:p>
        </w:tc>
        <w:tc>
          <w:tcPr>
            <w:tcW w:w="4900" w:type="dxa"/>
            <w:vAlign w:val="bottom"/>
            <w:tcBorders>
              <w:top w:val="single" w:sz="8" w:color="CFF0FC"/>
            </w:tcBorders>
          </w:tcPr>
          <w:p>
            <w:pPr>
              <w:ind w:left="4400"/>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-2542540</wp:posOffset>
            </wp:positionV>
            <wp:extent cx="13716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-2542540</wp:posOffset>
            </wp:positionV>
            <wp:extent cx="13716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-2542540</wp:posOffset>
            </wp:positionV>
            <wp:extent cx="685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-2202815</wp:posOffset>
            </wp:positionV>
            <wp:extent cx="1371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-2185035</wp:posOffset>
            </wp:positionV>
            <wp:extent cx="137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-2202815</wp:posOffset>
            </wp:positionV>
            <wp:extent cx="1371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-2185035</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-2202815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-2185035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-879475</wp:posOffset>
            </wp:positionV>
            <wp:extent cx="13716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-879475</wp:posOffset>
            </wp:positionV>
            <wp:extent cx="11112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-879475</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-539115</wp:posOffset>
            </wp:positionV>
            <wp:extent cx="137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-521970</wp:posOffset>
            </wp:positionV>
            <wp:extent cx="137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-539115</wp:posOffset>
            </wp:positionV>
            <wp:extent cx="1111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-521970</wp:posOffset>
            </wp:positionV>
            <wp:extent cx="111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-539115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-521970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163"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ability to attract and retain customers and generate revenue from the provision of our connectivity and entertainment services;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reliance on our key OEMs and dealers for equipment sales;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develop and deploy Gogo 5G on a timely basis;</w:t>
      </w:r>
    </w:p>
    <w:p>
      <w:pPr>
        <w:spacing w:after="0" w:line="131"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our ability to compete effectively with other current or future providers of in-flight connectivity services and other products and services that we offer, including on the basis of price and performance;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the COVID-19 pandemic and the measures implemented to combat it;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evaluate or pursue strategic opportunities;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reliance on third parties for equipment and services;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recruit, train and retain highly skilled employees;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achievement of the anticipated benefits of the sale of the CA business or our ability to operate as a standalone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adverse economic conditions;</w:t>
      </w:r>
    </w:p>
    <w:p>
      <w:pPr>
        <w:spacing w:after="0" w:line="131" w:lineRule="exact"/>
        <w:rPr>
          <w:sz w:val="20"/>
          <w:szCs w:val="20"/>
          <w:color w:val="auto"/>
        </w:rPr>
      </w:pPr>
    </w:p>
    <w:p>
      <w:pPr>
        <w:ind w:left="960" w:right="440"/>
        <w:spacing w:after="0" w:line="293" w:lineRule="auto"/>
        <w:rPr>
          <w:sz w:val="20"/>
          <w:szCs w:val="20"/>
          <w:color w:val="auto"/>
        </w:rPr>
      </w:pPr>
      <w:r>
        <w:rPr>
          <w:rFonts w:ascii="Arial" w:cs="Arial" w:eastAsia="Arial" w:hAnsi="Arial"/>
          <w:sz w:val="18"/>
          <w:szCs w:val="18"/>
          <w:color w:val="auto"/>
        </w:rPr>
        <w:t>a revocation of, or reduction in, our right to use licensed spectrum, the availability of other air-to-ground spectrum to a competitor or the repurposing by a competitor of other spectrum for air-to-ground use;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use of open source software and licenses;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additional ATG spectrum in the United States or internationally;</w:t>
      </w:r>
    </w:p>
    <w:p>
      <w:pPr>
        <w:spacing w:after="0" w:line="131"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color w:val="auto"/>
        </w:rPr>
        <w:t>the effects of service interruptions or delays, technology failures and equipment failures or malfunctions arising from defects or errors in our software or defects in or damage to our equipment;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assertions by third parties of infringement, misappropriation or other violations;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innovate and provide products and services;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government regulation of the internet;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possession and use of personal information;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extent of expenses or liabilities resulting from litigation;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protect our intellectual property;</w:t>
      </w:r>
    </w:p>
    <w:p>
      <w:pPr>
        <w:spacing w:after="0" w:line="131"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our substantial indebtedness, limitations and restrictions in the agreements governing our current and future indebtedness and our ability to service our indebtedness;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p>
      <w:pPr>
        <w:ind w:left="960"/>
        <w:spacing w:after="0"/>
        <w:rPr>
          <w:sz w:val="20"/>
          <w:szCs w:val="20"/>
          <w:color w:val="auto"/>
        </w:rPr>
      </w:pPr>
      <w:r>
        <w:rPr>
          <w:rFonts w:ascii="Arial" w:cs="Arial" w:eastAsia="Arial" w:hAnsi="Arial"/>
          <w:sz w:val="18"/>
          <w:szCs w:val="18"/>
          <w:color w:val="auto"/>
        </w:rPr>
        <w:t>fluctuations in our operating results;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utilization of our tax losses; and</w:t>
      </w:r>
    </w:p>
    <w:p>
      <w:pPr>
        <w:spacing w:after="0" w:line="131" w:lineRule="exact"/>
        <w:rPr>
          <w:sz w:val="20"/>
          <w:szCs w:val="20"/>
          <w:color w:val="auto"/>
        </w:rPr>
      </w:pPr>
    </w:p>
    <w:p>
      <w:pPr>
        <w:ind w:left="960"/>
        <w:spacing w:after="0" w:line="319" w:lineRule="auto"/>
        <w:rPr>
          <w:sz w:val="20"/>
          <w:szCs w:val="20"/>
          <w:color w:val="auto"/>
        </w:rPr>
      </w:pPr>
      <w:r>
        <w:rPr>
          <w:rFonts w:ascii="Arial" w:cs="Arial" w:eastAsia="Arial" w:hAnsi="Arial"/>
          <w:sz w:val="16"/>
          <w:szCs w:val="16"/>
          <w:color w:val="auto"/>
        </w:rPr>
        <w:t>other risks and factors listed under “Risk Factors” in our Annual Report on Form 10-K for the year ended December 31, 2020, as filed with the Securities and Exchange Commission (“SEC”) on March 11, 2021 (the “2020 10-K”), in Item 1A of our Quarterly Report on Form 10-Q for the quarter ended March 31, 2021, as filed with the SEC on May 6, 2021 (the “2021 Q1 10-Q”), in Item 1A of our Quarterly Report on Form 10-Q for the quarter ended June 30, 2021, as filed with the SEC on August 5, 2021 (the “2021 Q2 10-Q”), and in Item 1A of this Report.</w:t>
      </w:r>
    </w:p>
    <w:p>
      <w:pPr>
        <w:spacing w:after="0" w:line="156"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156" w:lineRule="exact"/>
        <w:rPr>
          <w:sz w:val="20"/>
          <w:szCs w:val="20"/>
          <w:color w:val="auto"/>
        </w:rPr>
      </w:pPr>
    </w:p>
    <w:p>
      <w:pPr>
        <w:ind w:right="280" w:firstLine="509"/>
        <w:spacing w:after="0" w:line="275" w:lineRule="auto"/>
        <w:rPr>
          <w:sz w:val="20"/>
          <w:szCs w:val="20"/>
          <w:color w:val="auto"/>
        </w:rPr>
      </w:pPr>
      <w:r>
        <w:rPr>
          <w:rFonts w:ascii="Arial" w:cs="Arial" w:eastAsia="Arial" w:hAnsi="Arial"/>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66"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i w:val="1"/>
          <w:iCs w:val="1"/>
          <w:color w:val="auto"/>
        </w:rPr>
        <w:t>On December 1, 2020, we completed the previously announced sale of our commercial aviation (“CA”) business to a subsidiary of Intelsat Jackson Holdings S.A. (“Intelsat”) for a purchase price of $400 million in cash, subject to certain adjustments (the “Transaction”). As a result, all periods presented in our Unaudited Condensed Consolidated Financial Statements and other portions of this Quarterly Report on Form 10-Q have been conformed to present the CA business as discontinued operations.</w:t>
      </w:r>
    </w:p>
    <w:p>
      <w:pPr>
        <w:spacing w:after="0" w:line="18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2020 10-K, in Item 1A of the 2021 Q1 10-Q, in Item 1A of the 2021 Q2 10-Q and in “Special Note Regarding Forward-Looking Statements” in this report. Our actual results may differ materially from those contained in or implied by any forward-looking statements.</w:t>
      </w:r>
    </w:p>
    <w:p>
      <w:pPr>
        <w:spacing w:after="0" w:line="187" w:lineRule="exact"/>
        <w:rPr>
          <w:sz w:val="20"/>
          <w:szCs w:val="20"/>
          <w:color w:val="auto"/>
        </w:rPr>
      </w:pPr>
    </w:p>
    <w:p>
      <w:pPr>
        <w:ind w:right="160" w:firstLine="509"/>
        <w:spacing w:after="0" w:line="297"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35"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Gogo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made available through strategic partnerships with satellite providers.</w:t>
      </w:r>
    </w:p>
    <w:p>
      <w:pPr>
        <w:spacing w:after="0" w:line="52" w:lineRule="exact"/>
        <w:rPr>
          <w:sz w:val="20"/>
          <w:szCs w:val="20"/>
          <w:color w:val="auto"/>
        </w:rPr>
      </w:pPr>
    </w:p>
    <w:p>
      <w:pPr>
        <w:ind w:right="60" w:firstLine="509"/>
        <w:spacing w:after="0" w:line="359" w:lineRule="auto"/>
        <w:rPr>
          <w:sz w:val="20"/>
          <w:szCs w:val="20"/>
          <w:color w:val="auto"/>
        </w:rPr>
      </w:pPr>
      <w:r>
        <w:rPr>
          <w:rFonts w:ascii="Arial" w:cs="Arial" w:eastAsia="Arial" w:hAnsi="Arial"/>
          <w:sz w:val="16"/>
          <w:szCs w:val="16"/>
          <w:color w:val="auto"/>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35" w:lineRule="exact"/>
        <w:rPr>
          <w:sz w:val="20"/>
          <w:szCs w:val="20"/>
          <w:color w:val="auto"/>
        </w:rPr>
      </w:pPr>
    </w:p>
    <w:p>
      <w:pPr>
        <w:ind w:right="140" w:firstLine="509"/>
        <w:spacing w:after="0" w:line="314" w:lineRule="auto"/>
        <w:rPr>
          <w:sz w:val="20"/>
          <w:szCs w:val="20"/>
          <w:color w:val="auto"/>
        </w:rPr>
      </w:pPr>
      <w:r>
        <w:rPr>
          <w:rFonts w:ascii="Arial" w:cs="Arial" w:eastAsia="Arial" w:hAnsi="Arial"/>
          <w:sz w:val="16"/>
          <w:szCs w:val="16"/>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Though we continue to see strong signs of recovery from the lows we experienced in mid-April 2020, we continue to monitor the status of the pandemic in the United States and internationally. We are unable to predict whether COVID-19 will have a material adverse effect on our business in the future or with what degree of severity or over what length of time such impact may occur.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08" w:lineRule="exact"/>
        <w:rPr>
          <w:sz w:val="20"/>
          <w:szCs w:val="20"/>
          <w:color w:val="auto"/>
        </w:rPr>
      </w:pPr>
    </w:p>
    <w:p>
      <w:pPr>
        <w:jc w:val="both"/>
        <w:ind w:right="440" w:firstLine="509"/>
        <w:spacing w:after="0" w:line="248" w:lineRule="auto"/>
        <w:rPr>
          <w:sz w:val="20"/>
          <w:szCs w:val="20"/>
          <w:color w:val="auto"/>
        </w:rPr>
      </w:pPr>
      <w:r>
        <w:rPr>
          <w:rFonts w:ascii="Arial" w:cs="Arial" w:eastAsia="Arial" w:hAnsi="Arial"/>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87" w:lineRule="exact"/>
        <w:rPr>
          <w:sz w:val="20"/>
          <w:szCs w:val="20"/>
          <w:color w:val="auto"/>
        </w:rPr>
      </w:pPr>
    </w:p>
    <w:p>
      <w:pPr>
        <w:ind w:left="960" w:right="200"/>
        <w:spacing w:after="0" w:line="359" w:lineRule="auto"/>
        <w:rPr>
          <w:sz w:val="20"/>
          <w:szCs w:val="20"/>
          <w:color w:val="auto"/>
        </w:rPr>
      </w:pPr>
      <w:r>
        <w:rPr>
          <w:rFonts w:ascii="Arial" w:cs="Arial" w:eastAsia="Arial" w:hAnsi="Arial"/>
          <w:sz w:val="16"/>
          <w:szCs w:val="16"/>
          <w:color w:val="auto"/>
        </w:rPr>
        <w:t>costs associated with the implementation of, and our ability to implement, on a timely basis, our technology roadmap, including upgrades to and installation of the ATG technologies we currently offer, Gogo 5G, and any other next generation or other new technology;</w:t>
      </w:r>
    </w:p>
    <w:p>
      <w:pPr>
        <w:spacing w:after="0" w:line="3" w:lineRule="exact"/>
        <w:rPr>
          <w:sz w:val="20"/>
          <w:szCs w:val="20"/>
          <w:color w:val="auto"/>
        </w:rPr>
      </w:pPr>
    </w:p>
    <w:p>
      <w:pPr>
        <w:ind w:left="960" w:right="380"/>
        <w:spacing w:after="0" w:line="248" w:lineRule="auto"/>
        <w:rPr>
          <w:sz w:val="20"/>
          <w:szCs w:val="20"/>
          <w:color w:val="auto"/>
        </w:rPr>
      </w:pPr>
      <w:r>
        <w:rPr>
          <w:rFonts w:ascii="Arial" w:cs="Arial" w:eastAsia="Arial" w:hAnsi="Arial"/>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some of which are single source;</w:t>
      </w:r>
    </w:p>
    <w:p>
      <w:pPr>
        <w:spacing w:after="0" w:line="87" w:lineRule="exact"/>
        <w:rPr>
          <w:sz w:val="20"/>
          <w:szCs w:val="20"/>
          <w:color w:val="auto"/>
        </w:rPr>
      </w:pPr>
    </w:p>
    <w:p>
      <w:pPr>
        <w:ind w:left="960" w:right="280"/>
        <w:spacing w:after="0" w:line="293" w:lineRule="auto"/>
        <w:rPr>
          <w:sz w:val="20"/>
          <w:szCs w:val="20"/>
          <w:color w:val="auto"/>
        </w:rPr>
      </w:pPr>
      <w:r>
        <w:rPr>
          <w:rFonts w:ascii="Arial" w:cs="Arial" w:eastAsia="Arial" w:hAnsi="Arial"/>
          <w:sz w:val="18"/>
          <w:szCs w:val="18"/>
          <w:color w:val="auto"/>
        </w:rPr>
        <w:t>our ability to license additional spectrum and make other improvements to our network and operations as technology and user expectations 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ind w:left="960"/>
        <w:spacing w:after="0"/>
        <w:rPr>
          <w:sz w:val="20"/>
          <w:szCs w:val="20"/>
          <w:color w:val="auto"/>
        </w:rPr>
      </w:pPr>
      <w:r>
        <w:rPr>
          <w:rFonts w:ascii="Arial" w:cs="Arial" w:eastAsia="Arial" w:hAnsi="Arial"/>
          <w:sz w:val="16"/>
          <w:szCs w:val="16"/>
          <w:color w:val="auto"/>
        </w:rPr>
        <w:t>the number of aircraft in service in our markets, including consolidations or changes in fleet size by one or more of our large-fleet customers;</w:t>
      </w:r>
    </w:p>
    <w:p>
      <w:pPr>
        <w:spacing w:after="0" w:line="140" w:lineRule="exact"/>
        <w:rPr>
          <w:sz w:val="20"/>
          <w:szCs w:val="20"/>
          <w:color w:val="auto"/>
        </w:rPr>
      </w:pPr>
    </w:p>
    <w:p>
      <w:pPr>
        <w:ind w:left="960" w:right="600"/>
        <w:spacing w:after="0" w:line="293" w:lineRule="auto"/>
        <w:rPr>
          <w:sz w:val="20"/>
          <w:szCs w:val="20"/>
          <w:color w:val="auto"/>
        </w:rPr>
      </w:pPr>
      <w:r>
        <w:rPr>
          <w:rFonts w:ascii="Arial" w:cs="Arial" w:eastAsia="Arial" w:hAnsi="Arial"/>
          <w:sz w:val="18"/>
          <w:szCs w:val="18"/>
          <w:color w:val="auto"/>
        </w:rPr>
        <w:t>the economic environment and other trends that affect both business and leisure aviation travel, including the impact of COVID-19 on restrictions on and demand for air travel;</w:t>
      </w:r>
    </w:p>
    <w:p>
      <w:pPr>
        <w:spacing w:after="0" w:line="62" w:lineRule="exact"/>
        <w:rPr>
          <w:sz w:val="20"/>
          <w:szCs w:val="20"/>
          <w:color w:val="auto"/>
        </w:rPr>
      </w:pPr>
    </w:p>
    <w:p>
      <w:pPr>
        <w:ind w:left="960" w:right="260"/>
        <w:spacing w:after="0" w:line="324" w:lineRule="auto"/>
        <w:rPr>
          <w:sz w:val="20"/>
          <w:szCs w:val="20"/>
          <w:color w:val="auto"/>
        </w:rPr>
      </w:pPr>
      <w:r>
        <w:rPr>
          <w:rFonts w:ascii="Arial" w:cs="Arial" w:eastAsia="Arial" w:hAnsi="Arial"/>
          <w:sz w:val="17"/>
          <w:szCs w:val="17"/>
          <w:color w:val="auto"/>
        </w:rPr>
        <w:t>disruptions to supply chains and installations, including COVID-19-related shortages of electronic components that have resulted in longer lead times and delays in obtaining certain electronic components used in the airborne equipment that we manufacture;</w:t>
      </w:r>
    </w:p>
    <w:p>
      <w:pPr>
        <w:spacing w:after="0" w:line="26" w:lineRule="exact"/>
        <w:rPr>
          <w:sz w:val="20"/>
          <w:szCs w:val="20"/>
          <w:color w:val="auto"/>
        </w:rPr>
      </w:pPr>
    </w:p>
    <w:p>
      <w:pPr>
        <w:ind w:left="960" w:right="560"/>
        <w:spacing w:after="0" w:line="248" w:lineRule="auto"/>
        <w:rPr>
          <w:sz w:val="20"/>
          <w:szCs w:val="20"/>
          <w:color w:val="auto"/>
        </w:rPr>
      </w:pPr>
      <w:r>
        <w:rPr>
          <w:rFonts w:ascii="Arial" w:cs="Arial" w:eastAsia="Arial" w:hAnsi="Arial"/>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7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ability to engage suppliers of equipment components and network services on a timely basis and on commercially reasonable terms;</w:t>
      </w:r>
    </w:p>
    <w:p>
      <w:pPr>
        <w:spacing w:after="0" w:line="115" w:lineRule="exact"/>
        <w:rPr>
          <w:sz w:val="20"/>
          <w:szCs w:val="20"/>
          <w:color w:val="auto"/>
        </w:rPr>
      </w:pPr>
    </w:p>
    <w:p>
      <w:pPr>
        <w:jc w:val="both"/>
        <w:ind w:left="960" w:right="240"/>
        <w:spacing w:after="0" w:line="248" w:lineRule="auto"/>
        <w:rPr>
          <w:sz w:val="20"/>
          <w:szCs w:val="20"/>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87"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changes in laws, regulations and policies affecting our business or the business of our customers and suppliers, including changes that impact the design of our equipment and our ability to obtain required certifications for our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35"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For the Three Months</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Nine Months</w:t>
            </w:r>
          </w:p>
        </w:tc>
        <w:tc>
          <w:tcPr>
            <w:tcW w:w="80" w:type="dxa"/>
            <w:vAlign w:val="bottom"/>
          </w:tcPr>
          <w:p>
            <w:pPr>
              <w:spacing w:after="0"/>
              <w:rPr>
                <w:sz w:val="15"/>
                <w:szCs w:val="15"/>
                <w:color w:val="auto"/>
              </w:rPr>
            </w:pPr>
          </w:p>
        </w:tc>
      </w:tr>
      <w:tr>
        <w:trPr>
          <w:trHeight w:val="192"/>
        </w:trPr>
        <w:tc>
          <w:tcPr>
            <w:tcW w:w="498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Ended September 30,</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6"/>
                <w:szCs w:val="16"/>
                <w:color w:val="auto"/>
              </w:rPr>
            </w:pPr>
          </w:p>
        </w:tc>
      </w:tr>
      <w:tr>
        <w:trPr>
          <w:trHeight w:val="196"/>
        </w:trPr>
        <w:tc>
          <w:tcPr>
            <w:tcW w:w="4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13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700" w:type="dxa"/>
            <w:vAlign w:val="bottom"/>
            <w:tcBorders>
              <w:top w:val="single" w:sz="8" w:color="auto"/>
            </w:tcBorders>
            <w:shd w:val="clear" w:color="auto" w:fill="CFF0FC"/>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ind w:left="180"/>
              <w:spacing w:after="0"/>
              <w:rPr>
                <w:sz w:val="20"/>
                <w:szCs w:val="20"/>
                <w:color w:val="auto"/>
              </w:rPr>
            </w:pPr>
            <w:r>
              <w:rPr>
                <w:rFonts w:ascii="Arial" w:cs="Arial" w:eastAsia="Arial" w:hAnsi="Arial"/>
                <w:sz w:val="18"/>
                <w:szCs w:val="18"/>
                <w:color w:val="auto"/>
              </w:rPr>
              <w:t>ATG</w:t>
            </w:r>
          </w:p>
        </w:tc>
        <w:tc>
          <w:tcPr>
            <w:tcW w:w="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6,154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5,577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5,577</w:t>
            </w: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Satellite</w:t>
            </w:r>
          </w:p>
        </w:tc>
        <w:tc>
          <w:tcPr>
            <w:tcW w:w="7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4,542</w:t>
            </w:r>
          </w:p>
        </w:tc>
        <w:tc>
          <w:tcPr>
            <w:tcW w:w="2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4,737</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Average monthly service revenue per aircraft online</w:t>
            </w: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ATG</w:t>
            </w:r>
          </w:p>
        </w:tc>
        <w:tc>
          <w:tcPr>
            <w:tcW w:w="700" w:type="dxa"/>
            <w:vAlign w:val="bottom"/>
            <w:shd w:val="clear" w:color="auto" w:fill="CFF0FC"/>
          </w:tcPr>
          <w:p>
            <w:pPr>
              <w:jc w:val="right"/>
              <w:ind w:right="52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3,264</w:t>
            </w:r>
          </w:p>
        </w:tc>
        <w:tc>
          <w:tcPr>
            <w:tcW w:w="8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2,996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ind w:left="180"/>
              <w:spacing w:after="0"/>
              <w:rPr>
                <w:sz w:val="20"/>
                <w:szCs w:val="20"/>
                <w:color w:val="auto"/>
              </w:rPr>
            </w:pPr>
            <w:r>
              <w:rPr>
                <w:rFonts w:ascii="Arial" w:cs="Arial" w:eastAsia="Arial" w:hAnsi="Arial"/>
                <w:sz w:val="18"/>
                <w:szCs w:val="18"/>
                <w:color w:val="auto"/>
              </w:rPr>
              <w:t>Satellite</w:t>
            </w:r>
          </w:p>
        </w:tc>
        <w:tc>
          <w:tcPr>
            <w:tcW w:w="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Units Sold</w:t>
            </w:r>
          </w:p>
        </w:tc>
        <w:tc>
          <w:tcPr>
            <w:tcW w:w="7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ind w:left="180"/>
              <w:spacing w:after="0"/>
              <w:rPr>
                <w:sz w:val="20"/>
                <w:szCs w:val="20"/>
                <w:color w:val="auto"/>
              </w:rPr>
            </w:pPr>
            <w:r>
              <w:rPr>
                <w:rFonts w:ascii="Arial" w:cs="Arial" w:eastAsia="Arial" w:hAnsi="Arial"/>
                <w:sz w:val="18"/>
                <w:szCs w:val="18"/>
                <w:color w:val="auto"/>
              </w:rPr>
              <w:t>ATG</w:t>
            </w:r>
          </w:p>
        </w:tc>
        <w:tc>
          <w:tcPr>
            <w:tcW w:w="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Satellite</w:t>
            </w:r>
          </w:p>
        </w:tc>
        <w:tc>
          <w:tcPr>
            <w:tcW w:w="7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Average equipment revenue per unit sold (in thousands)</w:t>
            </w: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ATG</w:t>
            </w:r>
          </w:p>
        </w:tc>
        <w:tc>
          <w:tcPr>
            <w:tcW w:w="700" w:type="dxa"/>
            <w:vAlign w:val="bottom"/>
            <w:shd w:val="clear" w:color="auto" w:fill="CFF0FC"/>
          </w:tcPr>
          <w:p>
            <w:pPr>
              <w:jc w:val="right"/>
              <w:ind w:right="52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8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22"/>
                <w:szCs w:val="22"/>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Satellite</w:t>
            </w:r>
          </w:p>
        </w:tc>
        <w:tc>
          <w:tcPr>
            <w:tcW w:w="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r>
    </w:tbl>
    <w:p>
      <w:pPr>
        <w:spacing w:after="0" w:line="148" w:lineRule="exact"/>
        <w:rPr>
          <w:sz w:val="20"/>
          <w:szCs w:val="20"/>
          <w:color w:val="auto"/>
        </w:rPr>
      </w:pPr>
    </w:p>
    <w:p>
      <w:pPr>
        <w:ind w:left="960" w:right="180"/>
        <w:spacing w:after="0" w:line="279" w:lineRule="auto"/>
        <w:rPr>
          <w:sz w:val="20"/>
          <w:szCs w:val="20"/>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period presented. This number excludes aircraft receiving ATG service as part of the ATG Network Sharing Agreement with Intelsat.</w:t>
      </w:r>
    </w:p>
    <w:p>
      <w:pPr>
        <w:spacing w:after="0" w:line="75"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day of each period presented.</w:t>
      </w:r>
    </w:p>
    <w:p>
      <w:pPr>
        <w:spacing w:after="0" w:line="62" w:lineRule="exact"/>
        <w:rPr>
          <w:sz w:val="20"/>
          <w:szCs w:val="20"/>
          <w:color w:val="auto"/>
        </w:rPr>
      </w:pPr>
    </w:p>
    <w:p>
      <w:pPr>
        <w:ind w:left="960"/>
        <w:spacing w:after="0" w:line="296" w:lineRule="auto"/>
        <w:rPr>
          <w:sz w:val="20"/>
          <w:szCs w:val="20"/>
          <w:color w:val="auto"/>
        </w:rPr>
      </w:pPr>
      <w:r>
        <w:rPr>
          <w:rFonts w:ascii="Arial" w:cs="Arial" w:eastAsia="Arial" w:hAnsi="Arial"/>
          <w:sz w:val="17"/>
          <w:szCs w:val="17"/>
          <w:i w:val="1"/>
          <w:iCs w:val="1"/>
          <w:color w:val="auto"/>
        </w:rPr>
        <w:t xml:space="preserve">Average monthly connectivity service revenue per ATG aircraft online. </w:t>
      </w:r>
      <w:r>
        <w:rPr>
          <w:rFonts w:ascii="Arial" w:cs="Arial" w:eastAsia="Arial" w:hAnsi="Arial"/>
          <w:sz w:val="17"/>
          <w:szCs w:val="17"/>
          <w:color w:val="auto"/>
        </w:rPr>
        <w:t>We define average monthly connectivity service revenue per ATG</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62" w:lineRule="exact"/>
        <w:rPr>
          <w:sz w:val="20"/>
          <w:szCs w:val="20"/>
          <w:color w:val="auto"/>
        </w:rPr>
      </w:pPr>
    </w:p>
    <w:p>
      <w:pPr>
        <w:jc w:val="both"/>
        <w:ind w:left="960" w:right="260"/>
        <w:spacing w:after="0" w:line="303" w:lineRule="auto"/>
        <w:rPr>
          <w:sz w:val="20"/>
          <w:szCs w:val="20"/>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 end figures for each month in such period).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3" w:name="page34"/>
    <w:bookmarkEnd w:id="33"/>
    <w:p>
      <w:pPr>
        <w:ind w:left="960"/>
        <w:spacing w:after="0"/>
        <w:rPr>
          <w:sz w:val="20"/>
          <w:szCs w:val="20"/>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ATG or satellite units for which we recognized revenue during the period.</w:t>
      </w:r>
    </w:p>
    <w:p>
      <w:pPr>
        <w:spacing w:after="0" w:line="131"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62" w:lineRule="exact"/>
        <w:rPr>
          <w:sz w:val="20"/>
          <w:szCs w:val="20"/>
          <w:color w:val="auto"/>
        </w:rPr>
      </w:pPr>
    </w:p>
    <w:p>
      <w:pPr>
        <w:ind w:left="960" w:right="300"/>
        <w:spacing w:after="0" w:line="324" w:lineRule="auto"/>
        <w:rPr>
          <w:sz w:val="20"/>
          <w:szCs w:val="20"/>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35" w:lineRule="exact"/>
        <w:rPr>
          <w:sz w:val="20"/>
          <w:szCs w:val="20"/>
          <w:color w:val="auto"/>
        </w:rPr>
      </w:pPr>
    </w:p>
    <w:p>
      <w:pPr>
        <w:ind w:right="540" w:firstLine="509"/>
        <w:spacing w:after="0" w:line="324" w:lineRule="auto"/>
        <w:rPr>
          <w:sz w:val="20"/>
          <w:szCs w:val="20"/>
          <w:color w:val="auto"/>
        </w:rPr>
      </w:pPr>
      <w:r>
        <w:rPr>
          <w:rFonts w:ascii="Arial" w:cs="Arial" w:eastAsia="Arial" w:hAnsi="Arial"/>
          <w:sz w:val="17"/>
          <w:szCs w:val="17"/>
          <w:color w:val="auto"/>
        </w:rPr>
        <w:t>There have been no material changes to our key components of Unaudited Condensed Consolidated Statements of Operations as described in “Management’s Discussion and Analysis of Financial Condition and Results of Operations” (“MD&amp;A”) in our 2020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obligations that meet the definition of an off-balance sheet arrangement.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100" w:firstLine="509"/>
        <w:spacing w:after="0" w:line="287" w:lineRule="auto"/>
        <w:rPr>
          <w:sz w:val="20"/>
          <w:szCs w:val="20"/>
          <w:color w:val="auto"/>
        </w:rPr>
      </w:pPr>
      <w:r>
        <w:rPr>
          <w:rFonts w:ascii="Arial" w:cs="Arial" w:eastAsia="Arial" w:hAnsi="Arial"/>
          <w:sz w:val="17"/>
          <w:szCs w:val="17"/>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8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We believe that the assumptions and estimates associated with revenue recognition, indefinite-lived intangible assets, stock-based compensation and the valuation allowance related to our deferred income tax assets have the greatest potential impact on our Unaudited Condensed Consolidated Financial Statements. Therefore, we consider these to be our critical accounting policies and estimates.</w:t>
      </w:r>
    </w:p>
    <w:p>
      <w:pPr>
        <w:spacing w:after="0" w:line="183"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information presented below updates, and should be read in conjunction with, the critical accounting policies and estimates described in MD&amp;A in our 2020 10-K. Except as set forth below, there have been no material changes to our critical accounting policies and estimates described in MD&amp;A in our 2020 10-K.</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239"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 xml:space="preserve">We account for the valuation allowance on our deferred income tax assets in accordance with Accounting Standards Codification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("ASC 740").</w:t>
      </w:r>
    </w:p>
    <w:p>
      <w:pPr>
        <w:spacing w:after="0" w:line="170" w:lineRule="exact"/>
        <w:rPr>
          <w:sz w:val="20"/>
          <w:szCs w:val="20"/>
          <w:color w:val="auto"/>
        </w:rPr>
      </w:pPr>
    </w:p>
    <w:p>
      <w:pPr>
        <w:ind w:right="100" w:firstLine="509"/>
        <w:spacing w:after="0" w:line="305" w:lineRule="auto"/>
        <w:rPr>
          <w:sz w:val="20"/>
          <w:szCs w:val="20"/>
          <w:color w:val="auto"/>
        </w:rPr>
      </w:pPr>
      <w:r>
        <w:rPr>
          <w:rFonts w:ascii="Arial" w:cs="Arial" w:eastAsia="Arial" w:hAnsi="Arial"/>
          <w:sz w:val="16"/>
          <w:szCs w:val="16"/>
          <w:color w:val="auto"/>
        </w:rPr>
        <w:t>On a recurring basis, we assess the need for a valuation allowance related to our deferred income tax assets, which includes consideration of both positive and negative evidence to determine, based on the weight of the available evidence, whether it is more likely than not that some or all of our deferred tax assets will not be realized. In our assessment, the Company considers recent financial operating results, the scheduled expiration of our net operating losses, future taxable income, the reversal of existing taxable differences, and tax planning strategies. A recent history of financial reporting losses is a source of objectively verifiable negative evidence. Cumulative pre-tax losses in the three-year period ending with the current quarter is considered to be negative evidence regarding future profitability. Cumulative pre-tax losses from continuing operations adjusted for certain non-recurring items resulting in positive normalized income is an objectively verifiable source of positive evidence of the ability of the Company to generate positive earnings in the future. When there is a recent history of operating losses and a return to operating profitability has not yet been demonstrated, we cannot rely on projections of future earnings for purposes of assessing recoverability of our deferred tax assets. In such cases, we use systematic and logical methods to estimate when deferred tax assets will reverse and generate tax deductions. The selection of methodologies and assessment of when temporary differences will result in deductible amounts involves significant management judgment and is inherently complex and subjective.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4" w:name="page35"/>
    <w:bookmarkEnd w:id="34"/>
    <w:p>
      <w:pPr>
        <w:ind w:right="160" w:firstLine="509"/>
        <w:spacing w:after="0" w:line="293" w:lineRule="auto"/>
        <w:rPr>
          <w:sz w:val="20"/>
          <w:szCs w:val="20"/>
          <w:color w:val="auto"/>
        </w:rPr>
      </w:pPr>
      <w:r>
        <w:rPr>
          <w:rFonts w:ascii="Arial" w:cs="Arial" w:eastAsia="Arial" w:hAnsi="Arial"/>
          <w:sz w:val="18"/>
          <w:szCs w:val="18"/>
          <w:color w:val="auto"/>
        </w:rPr>
        <w:t>See Note 16, "Income Tax," to our Unaudited Condensed Consolidated Financial Statements for additional information regarding our valuation allowance related to our deferred income tax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3, “Recent Accounting Pronouncements,” to our Unaudited Condensed Consolidated Financial Statements for additional information.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84" w:right="5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4"/>
              </w:rPr>
              <w:t>For the Three Months</w:t>
            </w:r>
          </w:p>
        </w:tc>
        <w:tc>
          <w:tcPr>
            <w:tcW w:w="280" w:type="dxa"/>
            <w:vAlign w:val="bottom"/>
          </w:tcPr>
          <w:p>
            <w:pPr>
              <w:spacing w:after="0"/>
              <w:rPr>
                <w:sz w:val="15"/>
                <w:szCs w:val="15"/>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Ended September 30,</w:t>
            </w:r>
          </w:p>
        </w:tc>
        <w:tc>
          <w:tcPr>
            <w:tcW w:w="280" w:type="dxa"/>
            <w:vAlign w:val="bottom"/>
          </w:tcPr>
          <w:p>
            <w:pPr>
              <w:spacing w:after="0"/>
              <w:rPr>
                <w:sz w:val="16"/>
                <w:szCs w:val="16"/>
                <w:color w:val="auto"/>
              </w:rPr>
            </w:pPr>
          </w:p>
        </w:tc>
        <w:tc>
          <w:tcPr>
            <w:tcW w:w="23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66,204</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190,326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155,083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Equipment revenue</w:t>
            </w:r>
          </w:p>
        </w:tc>
        <w:tc>
          <w:tcPr>
            <w:tcW w:w="4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20,968</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53,090</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87,172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Cost of service revenue</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12,985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equipment revenue</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8,543</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Engineering, design and development</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15,250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4,160</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11,824</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56,259</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30,913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88,299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(34 )</w:t>
            </w:r>
          </w:p>
        </w:tc>
        <w:tc>
          <w:tcPr>
            <w:tcW w:w="2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(36 )</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(145 )</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(689 )</w:t>
            </w:r>
          </w:p>
        </w:tc>
        <w:tc>
          <w:tcPr>
            <w:tcW w:w="0" w:type="dxa"/>
            <w:vAlign w:val="bottom"/>
          </w:tcPr>
          <w:p>
            <w:pPr>
              <w:spacing w:after="0"/>
              <w:rPr>
                <w:sz w:val="1"/>
                <w:szCs w:val="1"/>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Loss on extinguishment of debt and settlement of convertible notes</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83,961</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other expense</w:t>
            </w:r>
          </w:p>
        </w:tc>
        <w:tc>
          <w:tcPr>
            <w:tcW w:w="4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140,404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w w:val="98"/>
              </w:rPr>
              <w:t>Income (loss) from continuing operations before income taxes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19,861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(8,955 )</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(52,105 )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(32,263 )</w:t>
            </w:r>
          </w:p>
        </w:tc>
        <w:tc>
          <w:tcPr>
            <w:tcW w:w="0" w:type="dxa"/>
            <w:vAlign w:val="bottom"/>
          </w:tcPr>
          <w:p>
            <w:pPr>
              <w:spacing w:after="0"/>
              <w:rPr>
                <w:sz w:val="1"/>
                <w:szCs w:val="1"/>
                <w:color w:val="auto"/>
              </w:rPr>
            </w:pPr>
          </w:p>
        </w:tc>
      </w:tr>
      <w:tr>
        <w:trPr>
          <w:trHeight w:val="256"/>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provision (benefit)</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(65 )</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19,730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(8,890 )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(52,548 )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(32,479 )</w:t>
            </w:r>
          </w:p>
        </w:tc>
        <w:tc>
          <w:tcPr>
            <w:tcW w:w="0" w:type="dxa"/>
            <w:vAlign w:val="bottom"/>
          </w:tcPr>
          <w:p>
            <w:pPr>
              <w:spacing w:after="0"/>
              <w:rPr>
                <w:sz w:val="1"/>
                <w:szCs w:val="1"/>
                <w:color w:val="auto"/>
              </w:rPr>
            </w:pPr>
          </w:p>
        </w:tc>
      </w:tr>
      <w:tr>
        <w:trPr>
          <w:trHeight w:val="257"/>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(8,771 )</w:t>
            </w:r>
          </w:p>
        </w:tc>
        <w:tc>
          <w:tcPr>
            <w:tcW w:w="2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(71,234 )</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(13,426 )</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(218,402 )</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10,959</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(80,124 )</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(65,974 )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(250,881 )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-4522470</wp:posOffset>
            </wp:positionV>
            <wp:extent cx="15430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-4522470</wp:posOffset>
            </wp:positionV>
            <wp:extent cx="685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-4522470</wp:posOffset>
            </wp:positionV>
            <wp:extent cx="5969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-4522470</wp:posOffset>
            </wp:positionV>
            <wp:extent cx="5969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-3039745</wp:posOffset>
            </wp:positionV>
            <wp:extent cx="15430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-3039745</wp:posOffset>
            </wp:positionV>
            <wp:extent cx="15430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-3039745</wp:posOffset>
            </wp:positionV>
            <wp:extent cx="13716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-3039745</wp:posOffset>
            </wp:positionV>
            <wp:extent cx="5969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-2696845</wp:posOffset>
            </wp:positionV>
            <wp:extent cx="15430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-2696845</wp:posOffset>
            </wp:positionV>
            <wp:extent cx="15430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-2696845</wp:posOffset>
            </wp:positionV>
            <wp:extent cx="13716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-2696845</wp:posOffset>
            </wp:positionV>
            <wp:extent cx="5969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-1539240</wp:posOffset>
            </wp:positionV>
            <wp:extent cx="15430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-1539240</wp:posOffset>
            </wp:positionV>
            <wp:extent cx="15430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-1539240</wp:posOffset>
            </wp:positionV>
            <wp:extent cx="13716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-1539240</wp:posOffset>
            </wp:positionV>
            <wp:extent cx="5969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-1042035</wp:posOffset>
            </wp:positionV>
            <wp:extent cx="15430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-1042035</wp:posOffset>
            </wp:positionV>
            <wp:extent cx="15430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-1042035</wp:posOffset>
            </wp:positionV>
            <wp:extent cx="13716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-1042035</wp:posOffset>
            </wp:positionV>
            <wp:extent cx="5969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-708025</wp:posOffset>
            </wp:positionV>
            <wp:extent cx="15430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-708025</wp:posOffset>
            </wp:positionV>
            <wp:extent cx="685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-708025</wp:posOffset>
            </wp:positionV>
            <wp:extent cx="5969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-708025</wp:posOffset>
            </wp:positionV>
            <wp:extent cx="5969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Three and Nine Months Ended September 30, 2021 and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 xml:space="preserve">Revenue and percent change for the three- and nine-month periods ended September 30, 2021 and 2020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For The Nine Months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Ended September 30,</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6"/>
                <w:szCs w:val="16"/>
                <w:color w:val="auto"/>
              </w:rPr>
            </w:pPr>
          </w:p>
        </w:tc>
      </w:tr>
      <w:tr>
        <w:trPr>
          <w:trHeight w:val="179"/>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2021 over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2021 over</w:t>
            </w:r>
          </w:p>
        </w:tc>
      </w:t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6"/>
                <w:szCs w:val="16"/>
                <w:color w:val="auto"/>
              </w:rPr>
            </w:pPr>
          </w:p>
        </w:tc>
      </w:tr>
      <w:tr>
        <w:trPr>
          <w:trHeight w:val="25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66,204</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w:t>
            </w:r>
          </w:p>
        </w:tc>
        <w:tc>
          <w:tcPr>
            <w:tcW w:w="1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24.2 %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190,326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155,083</w:t>
            </w: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22.7 %</w:t>
            </w: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13,201</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58.8 %</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53,090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37,001</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43.5 %</w:t>
            </w:r>
          </w:p>
        </w:tc>
      </w:tr>
      <w:tr>
        <w:trPr>
          <w:trHeight w:val="20"/>
        </w:trPr>
        <w:tc>
          <w:tcPr>
            <w:tcW w:w="3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87,172</w:t>
            </w: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66,525</w:t>
            </w:r>
          </w:p>
        </w:tc>
        <w:tc>
          <w:tcPr>
            <w:tcW w:w="22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243,416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192,084</w:t>
            </w: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26.7 %</w:t>
            </w: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-25400</wp:posOffset>
            </wp:positionV>
            <wp:extent cx="137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137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137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1371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2400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2400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1200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1200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1200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12001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-8255</wp:posOffset>
            </wp:positionV>
            <wp:extent cx="15430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36" w:lineRule="exact"/>
        <w:rPr>
          <w:sz w:val="20"/>
          <w:szCs w:val="20"/>
          <w:color w:val="auto"/>
        </w:rPr>
      </w:pPr>
    </w:p>
    <w:p>
      <w:pPr>
        <w:jc w:val="both"/>
        <w:ind w:right="80" w:firstLine="509"/>
        <w:spacing w:after="0" w:line="324" w:lineRule="auto"/>
        <w:rPr>
          <w:sz w:val="20"/>
          <w:szCs w:val="20"/>
          <w:color w:val="auto"/>
        </w:rPr>
      </w:pPr>
      <w:r>
        <w:rPr>
          <w:rFonts w:ascii="Arial" w:cs="Arial" w:eastAsia="Arial" w:hAnsi="Arial"/>
          <w:sz w:val="17"/>
          <w:szCs w:val="17"/>
          <w:color w:val="auto"/>
        </w:rPr>
        <w:t>Revenue increased to $87.2 million and $243.4 million, respectively, for the three- and nine-month periods ended September 30, 2021, as compared with $66.5 million and $192.1 million, respectively, for the prior-year periods, due to increases in service revenue and equipment revenue.</w:t>
      </w:r>
    </w:p>
    <w:p>
      <w:pPr>
        <w:spacing w:after="0" w:line="147"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Service revenue increased to $66.2 million and $190.3 million, respectively, for the three- and nine-month periods ended September 30, 2021, as compared with $53.3 million and $155.1 million, respectively, for the prior-year periods, primarily due to an increase in average monthly service revenue per aircraft online, an increase in ATG aircraft online and, to a lesser extent, revenue share earned from the ATG Network Sharing Agreement with Intelsat, which went into effect in the fourth quarter of the prior year.</w:t>
      </w:r>
    </w:p>
    <w:p>
      <w:pPr>
        <w:spacing w:after="0" w:line="77"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Equipment revenue increased to $21.0 million and $53.1 million, respectively, for the three- and nine-month periods ended September 30, 2021, as compared with $13.2 million and $37.0 million, respectively, for the prior-year periods, primarily due to increases in the number of ATG units sold, with 266 units and 583 units, respectively, sold during the three- and nine-month periods ended September 30, 2021, as compared with 167 units and 392 units, respectively, sold during the prior-year periods.</w:t>
      </w:r>
    </w:p>
    <w:p>
      <w:pPr>
        <w:spacing w:after="0" w:line="185" w:lineRule="exact"/>
        <w:rPr>
          <w:sz w:val="20"/>
          <w:szCs w:val="20"/>
          <w:color w:val="auto"/>
        </w:rPr>
      </w:pPr>
    </w:p>
    <w:p>
      <w:pPr>
        <w:ind w:right="280" w:firstLine="509"/>
        <w:spacing w:after="0" w:line="324" w:lineRule="auto"/>
        <w:rPr>
          <w:sz w:val="20"/>
          <w:szCs w:val="20"/>
          <w:color w:val="auto"/>
        </w:rPr>
      </w:pPr>
      <w:r>
        <w:rPr>
          <w:rFonts w:ascii="Arial" w:cs="Arial" w:eastAsia="Arial" w:hAnsi="Arial"/>
          <w:sz w:val="17"/>
          <w:szCs w:val="17"/>
          <w:color w:val="auto"/>
        </w:rPr>
        <w:t>We expect service revenue to increase in the future as additional ATG aircraft come online and average monthly connectivity service revenue per ATG aircraft online increases. We expect equipment revenue to increase in the future as additional ATG units are sold.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right="500" w:firstLine="509"/>
        <w:spacing w:after="0" w:line="293" w:lineRule="auto"/>
        <w:rPr>
          <w:sz w:val="20"/>
          <w:szCs w:val="20"/>
          <w:color w:val="auto"/>
        </w:rPr>
      </w:pPr>
      <w:r>
        <w:rPr>
          <w:rFonts w:ascii="Arial" w:cs="Arial" w:eastAsia="Arial" w:hAnsi="Arial"/>
          <w:sz w:val="18"/>
          <w:szCs w:val="18"/>
          <w:color w:val="auto"/>
        </w:rPr>
        <w:t xml:space="preserve">Cost of revenue and percent change for the three- and nine-month periods ended September 30, 2021 and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for percent change)</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For The Nine Months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Ended September 30,</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6"/>
                <w:szCs w:val="16"/>
                <w:color w:val="auto"/>
              </w:rPr>
            </w:pPr>
          </w:p>
        </w:tc>
      </w:tr>
      <w:tr>
        <w:trPr>
          <w:trHeight w:val="179"/>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2021 over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2021 over</w:t>
            </w:r>
          </w:p>
        </w:tc>
      </w:t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6"/>
                <w:szCs w:val="16"/>
                <w:color w:val="auto"/>
              </w:rPr>
            </w:pPr>
          </w:p>
        </w:tc>
      </w:tr>
      <w:tr>
        <w:trPr>
          <w:trHeight w:val="25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12,985</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11,635</w:t>
            </w:r>
          </w:p>
        </w:tc>
        <w:tc>
          <w:tcPr>
            <w:tcW w:w="1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11.6 %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32,809</w:t>
            </w: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28.8 %</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Cost of equipment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12,368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8,543</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44.8 %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31,582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24,036</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31.4 %</w:t>
            </w:r>
          </w:p>
        </w:tc>
      </w:tr>
    </w:tbl>
    <w:p>
      <w:pPr>
        <w:spacing w:after="0" w:line="283" w:lineRule="exact"/>
        <w:rPr>
          <w:sz w:val="20"/>
          <w:szCs w:val="20"/>
          <w:color w:val="auto"/>
        </w:rPr>
      </w:pPr>
    </w:p>
    <w:p>
      <w:pPr>
        <w:jc w:val="both"/>
        <w:ind w:right="40" w:firstLine="509"/>
        <w:spacing w:after="0" w:line="303" w:lineRule="auto"/>
        <w:rPr>
          <w:sz w:val="20"/>
          <w:szCs w:val="20"/>
          <w:color w:val="auto"/>
        </w:rPr>
      </w:pPr>
      <w:r>
        <w:rPr>
          <w:rFonts w:ascii="Arial" w:cs="Arial" w:eastAsia="Arial" w:hAnsi="Arial"/>
          <w:sz w:val="17"/>
          <w:szCs w:val="17"/>
          <w:color w:val="auto"/>
        </w:rPr>
        <w:t>Cost of service revenue increased to $13.0 million and $42.3 million, respectively, for the three- and nine-month periods ended September 30, 2021, as compared with $11.6 million and $32.8 million, respectively, for the prior-year periods, primarily due to an increase in ATG network costs as these costs are no longer shared with the divested CA business, partially offset by a credit for regulatory surcharges that we are now exempt from.</w:t>
      </w:r>
    </w:p>
    <w:p>
      <w:pPr>
        <w:spacing w:after="0" w:line="124"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We expect cost of service revenue to increase over time, primarily due to service revenue growth and increasing ATG network costs associated with Gogo 5G.</w:t>
      </w:r>
    </w:p>
    <w:p>
      <w:pPr>
        <w:spacing w:after="0" w:line="143" w:lineRule="exact"/>
        <w:rPr>
          <w:sz w:val="20"/>
          <w:szCs w:val="20"/>
          <w:color w:val="auto"/>
        </w:rPr>
      </w:pPr>
    </w:p>
    <w:p>
      <w:pPr>
        <w:ind w:right="240" w:firstLine="509"/>
        <w:spacing w:after="0" w:line="359" w:lineRule="auto"/>
        <w:rPr>
          <w:sz w:val="20"/>
          <w:szCs w:val="20"/>
          <w:color w:val="auto"/>
        </w:rPr>
      </w:pPr>
      <w:r>
        <w:rPr>
          <w:rFonts w:ascii="Arial" w:cs="Arial" w:eastAsia="Arial" w:hAnsi="Arial"/>
          <w:sz w:val="16"/>
          <w:szCs w:val="16"/>
          <w:color w:val="auto"/>
        </w:rPr>
        <w:t>Cost of equipment revenue increased to $12.4 million and $31.6 million, respectively, for the three- and nine-month periods ended September 30, 2021, as compared with $8.5 million and $24.0 million, respectively, for the prior-year periods, primarily due to an increase in ATG units sold.</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cost of equipment revenue will increase with growth in ATG units sold.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31" w:lineRule="exact"/>
        <w:rPr>
          <w:sz w:val="20"/>
          <w:szCs w:val="20"/>
          <w:color w:val="auto"/>
        </w:rPr>
      </w:pPr>
    </w:p>
    <w:p>
      <w:pPr>
        <w:ind w:right="420" w:firstLine="509"/>
        <w:spacing w:after="0" w:line="329" w:lineRule="auto"/>
        <w:rPr>
          <w:sz w:val="20"/>
          <w:szCs w:val="20"/>
          <w:color w:val="auto"/>
        </w:rPr>
      </w:pPr>
      <w:r>
        <w:rPr>
          <w:rFonts w:ascii="Arial" w:cs="Arial" w:eastAsia="Arial" w:hAnsi="Arial"/>
          <w:sz w:val="16"/>
          <w:szCs w:val="16"/>
          <w:color w:val="auto"/>
        </w:rPr>
        <w:t>Engineering, design and development expenses increased to $6.0 million and $18.0 million, respectively, for the three- and nine-month periods ended September 30, 2021, as compared with $4.5 million and $17.4 million, respectively, for the prior-year periods, primarily due to an increase in personnel costs resulting from the impact on the prior-year period of cost controls implemented in response to the effect of COVID on our business.</w:t>
      </w:r>
    </w:p>
    <w:p>
      <w:pPr>
        <w:spacing w:after="0" w:line="148" w:lineRule="exact"/>
        <w:rPr>
          <w:sz w:val="20"/>
          <w:szCs w:val="20"/>
          <w:color w:val="auto"/>
        </w:rPr>
      </w:pPr>
    </w:p>
    <w:p>
      <w:pPr>
        <w:ind w:right="560" w:firstLine="509"/>
        <w:spacing w:after="0" w:line="293" w:lineRule="auto"/>
        <w:rPr>
          <w:sz w:val="20"/>
          <w:szCs w:val="20"/>
          <w:color w:val="auto"/>
        </w:rPr>
      </w:pPr>
      <w:r>
        <w:rPr>
          <w:rFonts w:ascii="Arial" w:cs="Arial" w:eastAsia="Arial" w:hAnsi="Arial"/>
          <w:sz w:val="18"/>
          <w:szCs w:val="18"/>
          <w:color w:val="auto"/>
        </w:rPr>
        <w:t>We expect engineering, design and development expenses as a percentage of service revenue to increase in the near term, driven by Gogo 5G development costs, and decrease over the long term as the level of investment decreases and revenue increases.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3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Sales and marketing expenses increased to $5.5 million and $14.1 million, respectively, for the three- and nine-month periods ended September 30, 2021, as compared with $3.8 million and $10.7 million, respectively, for the prior-year periods, primarily due to an increase in personnel costs driven by COVID-related cost controls implemented in the prior-year periods.</w:t>
      </w:r>
    </w:p>
    <w:p>
      <w:pPr>
        <w:spacing w:after="0" w:line="183"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We expect sales and marketing expenses as a percentage of service revenue to remain relatively flat in the long term but increase slightly in the near term driven by Gogo 5G marketing spend.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120" w:firstLine="509"/>
        <w:spacing w:after="0" w:line="329" w:lineRule="auto"/>
        <w:rPr>
          <w:sz w:val="20"/>
          <w:szCs w:val="20"/>
          <w:color w:val="auto"/>
        </w:rPr>
      </w:pPr>
      <w:r>
        <w:rPr>
          <w:rFonts w:ascii="Arial" w:cs="Arial" w:eastAsia="Arial" w:hAnsi="Arial"/>
          <w:sz w:val="16"/>
          <w:szCs w:val="16"/>
          <w:color w:val="auto"/>
        </w:rPr>
        <w:t>General and administrative expenses increased to $15.3 million and $37.4 million, respectively, for the three- and nine-month periods ended September 30, 2021 as compared with $12.5 million and $36.4 million, respectively, for the prior-year periods, primarily due to an increase in stock-based compensation in the current period and an increase in personnel costs driven by COVID-related cost controls implemented in the prior-year period.</w:t>
      </w:r>
    </w:p>
    <w:p>
      <w:pPr>
        <w:spacing w:after="0" w:line="40"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We expect general and administrative expenses as a percentage of service revenue to decrease over time as the business grows given the fixed cost nature of this category and as we realize the full run rate of completed cost savings initiatives.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31" w:lineRule="exact"/>
        <w:rPr>
          <w:sz w:val="20"/>
          <w:szCs w:val="20"/>
          <w:color w:val="auto"/>
        </w:rPr>
      </w:pPr>
    </w:p>
    <w:p>
      <w:pPr>
        <w:ind w:right="560" w:firstLine="509"/>
        <w:spacing w:after="0" w:line="279" w:lineRule="auto"/>
        <w:rPr>
          <w:sz w:val="20"/>
          <w:szCs w:val="20"/>
          <w:color w:val="auto"/>
        </w:rPr>
      </w:pPr>
      <w:r>
        <w:rPr>
          <w:rFonts w:ascii="Arial" w:cs="Arial" w:eastAsia="Arial" w:hAnsi="Arial"/>
          <w:sz w:val="18"/>
          <w:szCs w:val="18"/>
          <w:color w:val="auto"/>
        </w:rPr>
        <w:t>Depreciation and amortization expense increased to $4.2 million and $11.8 million, respectively, for the three- and nine-month periods ended September 30, 2021, as compared with $3.3 million and $10.1 million, respectively, for the prior-year periods, primarily due to the amortization of capitalized software.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depreciation and amortization expense will increase in the future as we launch our Gogo 5G network.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ind w:right="740" w:firstLine="509"/>
        <w:spacing w:after="0" w:line="293" w:lineRule="auto"/>
        <w:rPr>
          <w:sz w:val="20"/>
          <w:szCs w:val="20"/>
          <w:color w:val="auto"/>
        </w:rPr>
      </w:pPr>
      <w:r>
        <w:rPr>
          <w:rFonts w:ascii="Arial" w:cs="Arial" w:eastAsia="Arial" w:hAnsi="Arial"/>
          <w:sz w:val="18"/>
          <w:szCs w:val="18"/>
          <w:color w:val="auto"/>
        </w:rPr>
        <w:t xml:space="preserve">Other (income) expense and percent change for the three- and nine-month periods ended September 30, 2021 and 2020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for percent change)</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For the Three Months</w:t>
            </w: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2021 over 2020</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(36 )</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(5.6 )%</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10,943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31,199</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(64.9 )%</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w w:val="91"/>
              </w:rPr>
              <w:t>Loss on extinguishment of debt and settlement of convertible notes</w:t>
            </w:r>
          </w:p>
        </w:tc>
        <w:tc>
          <w:tcPr>
            <w:tcW w:w="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nm</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0"/>
        </w:trPr>
        <w:tc>
          <w:tcPr>
            <w:tcW w:w="580" w:type="dxa"/>
            <w:vAlign w:val="bottom"/>
          </w:tcPr>
          <w:p>
            <w:pPr>
              <w:spacing w:after="0"/>
              <w:rPr>
                <w:sz w:val="24"/>
                <w:szCs w:val="24"/>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11,052</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31,175</w:t>
            </w:r>
          </w:p>
        </w:tc>
        <w:tc>
          <w:tcPr>
            <w:tcW w:w="22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(64.5 )%</w:t>
            </w:r>
          </w:p>
        </w:tc>
        <w:tc>
          <w:tcPr>
            <w:tcW w:w="560" w:type="dxa"/>
            <w:vAlign w:val="bottom"/>
          </w:tcPr>
          <w:p>
            <w:pPr>
              <w:spacing w:after="0"/>
              <w:rPr>
                <w:sz w:val="24"/>
                <w:szCs w:val="24"/>
                <w:color w:val="auto"/>
              </w:rPr>
            </w:pPr>
          </w:p>
        </w:tc>
      </w:tr>
      <w:tr>
        <w:trPr>
          <w:trHeight w:val="662"/>
        </w:trPr>
        <w:tc>
          <w:tcPr>
            <w:tcW w:w="580" w:type="dxa"/>
            <w:vAlign w:val="bottom"/>
          </w:tcPr>
          <w:p>
            <w:pPr>
              <w:spacing w:after="0"/>
              <w:rPr>
                <w:sz w:val="24"/>
                <w:szCs w:val="24"/>
                <w:color w:val="auto"/>
              </w:rPr>
            </w:pPr>
          </w:p>
        </w:tc>
        <w:tc>
          <w:tcPr>
            <w:tcW w:w="490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jc w:val="right"/>
              <w:ind w:right="470"/>
              <w:spacing w:after="0"/>
              <w:rPr>
                <w:sz w:val="20"/>
                <w:szCs w:val="20"/>
                <w:color w:val="auto"/>
              </w:rPr>
            </w:pPr>
            <w:r>
              <w:rPr>
                <w:rFonts w:ascii="Arial" w:cs="Arial" w:eastAsia="Arial" w:hAnsi="Arial"/>
                <w:sz w:val="18"/>
                <w:szCs w:val="18"/>
                <w:color w:val="auto"/>
              </w:rPr>
              <w:t>37</w:t>
            </w: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-539115</wp:posOffset>
            </wp:positionV>
            <wp:extent cx="15430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-522605</wp:posOffset>
            </wp:positionV>
            <wp:extent cx="1543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-539115</wp:posOffset>
            </wp:positionV>
            <wp:extent cx="1460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-522605</wp:posOffset>
            </wp:positionV>
            <wp:extent cx="14605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-539115</wp:posOffset>
            </wp:positionV>
            <wp:extent cx="23177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-522605</wp:posOffset>
            </wp:positionV>
            <wp:extent cx="2317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tbl>
      <w:tblPr>
        <w:tblLayout w:type="fixed"/>
        <w:tblInd w:w="58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For The Nine Months</w:t>
            </w: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2"/>
        </w:trPr>
        <w:tc>
          <w:tcPr>
            <w:tcW w:w="5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6"/>
                <w:szCs w:val="16"/>
                <w:color w:val="auto"/>
              </w:rPr>
            </w:pPr>
          </w:p>
        </w:tc>
      </w:tr>
      <w:tr>
        <w:trPr>
          <w:trHeight w:val="196"/>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2021 over 2020</w:t>
            </w:r>
          </w:p>
        </w:tc>
        <w:tc>
          <w:tcPr>
            <w:tcW w:w="380" w:type="dxa"/>
            <w:vAlign w:val="bottom"/>
          </w:tcPr>
          <w:p>
            <w:pPr>
              <w:spacing w:after="0"/>
              <w:rPr>
                <w:sz w:val="17"/>
                <w:szCs w:val="17"/>
                <w:color w:val="auto"/>
              </w:rPr>
            </w:pPr>
          </w:p>
        </w:tc>
      </w:tr>
      <w:tr>
        <w:trPr>
          <w:trHeight w:val="25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(689 )</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(79.0 )%</w:t>
            </w:r>
          </w:p>
        </w:tc>
      </w:tr>
      <w:tr>
        <w:trPr>
          <w:trHeight w:val="250"/>
        </w:trPr>
        <w:tc>
          <w:tcPr>
            <w:tcW w:w="56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56,577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93,595</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(39.6 )%</w:t>
            </w:r>
          </w:p>
        </w:tc>
      </w:tr>
      <w:tr>
        <w:trPr>
          <w:trHeight w:val="26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 and settlement of convertible notes</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83,961</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nm</w:t>
            </w:r>
          </w:p>
        </w:tc>
      </w:tr>
      <w:tr>
        <w:trPr>
          <w:trHeight w:val="250"/>
        </w:trPr>
        <w:tc>
          <w:tcPr>
            <w:tcW w:w="568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(8.3 )%</w:t>
            </w:r>
          </w:p>
        </w:tc>
      </w:tr>
      <w:tr>
        <w:trPr>
          <w:trHeight w:val="20"/>
        </w:trPr>
        <w:tc>
          <w:tcPr>
            <w:tcW w:w="5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140,404</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92,918</w:t>
            </w:r>
          </w:p>
        </w:tc>
        <w:tc>
          <w:tcPr>
            <w:tcW w:w="22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51.1 %</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1543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1543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14605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14605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23177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2317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383"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Total other expense decreased to $11.1 million for the three-month period ended September 30, 2021, as compared with $31.2 million for the three-month period ended September 30, 2020, primarily due a decrease in interest expense. Total other expense increased to $140.4 million for the nine-month period ended September 30, 2021, as compared with $92.9 million for the nine-month period ended September 30, 2020, primarily due to the loss on extinguishment of debt and settlement of convertible notes, partially offset by a decrease in interest expense.</w:t>
      </w:r>
    </w:p>
    <w:p>
      <w:pPr>
        <w:spacing w:after="0" w:line="170"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expect our interest expense to decrease in the future as a result of the Refinancing and the conversions and exchanges of 2022 Convertible Notes that have occurred year-to-date and the maturity or earlier conversion of the remaining 2022 Convertible Notes. Additionally, effective November 2021, the applicable margin on the floating interest rate for the Term Loan Facility will decrease 0.5% as a result of a reduction in GIH's senior secured first lien net leverage ratio. See Note 10, “Long-Term Debt and Other Liabilities” to our Unaudited Condensed Consolidated Financial Statements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The effective income tax rates for the three- and nine-month periods ended September 30, 2021 were 0.7% and (0.9)%, respectively, compared to 0.7% and (0.7)%, respectively, for the prior-year periods. For the three- and nine-month periods ended September 30, 2021 and 2020, our income tax expense was not significant primarily due to the full valuation allowance against our deferred income tax assets. See Note 16, "Income Tax" to our Unaudited Condensed Consolidated Financial Statements for additional information.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income tax provision to increase in future periods as we generate positive pre-tax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35"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income (loss) attributable to common stock as a measure of operating results and (iii) use Free Cash Flow in addition to, and not as an alternative to, consolidated net cash provided by operating activities when evaluating our liquidity.</w:t>
      </w:r>
    </w:p>
    <w:p>
      <w:pPr>
        <w:spacing w:after="0" w:line="29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31"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income (loss) attributable to common stock before interest expense, interest income, income taxes and depreciation and amortization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39" w:name="page40"/>
    <w:bookmarkEnd w:id="39"/>
    <w:p>
      <w:pPr>
        <w:ind w:firstLine="509"/>
        <w:spacing w:after="0" w:line="290"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represents EBITDA adjusted for (i) stock-based compensation expense included in the results of continuing operations, (ii) the results of discontinued operations, including stock-based compensation expense, (iii) loss on extinguishment of debt and settlement of convertible notes and (iv) separation costs related to the sale of CA.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76"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63" w:lineRule="exact"/>
        <w:rPr>
          <w:sz w:val="20"/>
          <w:szCs w:val="20"/>
          <w:color w:val="auto"/>
        </w:rPr>
      </w:pPr>
    </w:p>
    <w:p>
      <w:pPr>
        <w:ind w:right="540" w:firstLine="509"/>
        <w:spacing w:after="0" w:line="293" w:lineRule="auto"/>
        <w:rPr>
          <w:sz w:val="20"/>
          <w:szCs w:val="20"/>
          <w:color w:val="auto"/>
        </w:rPr>
      </w:pPr>
      <w:r>
        <w:rPr>
          <w:rFonts w:ascii="Arial" w:cs="Arial" w:eastAsia="Arial" w:hAnsi="Arial"/>
          <w:sz w:val="18"/>
          <w:szCs w:val="18"/>
          <w:color w:val="auto"/>
        </w:rPr>
        <w:t>We believe it is useful for an understanding of our operating performance to exclude the results of our discontinued operations from Adjusted EBITDA because they are not part of our ongoing operations.</w:t>
      </w:r>
    </w:p>
    <w:p>
      <w:pPr>
        <w:spacing w:after="0" w:line="170" w:lineRule="exact"/>
        <w:rPr>
          <w:sz w:val="20"/>
          <w:szCs w:val="20"/>
          <w:color w:val="auto"/>
        </w:rPr>
      </w:pPr>
    </w:p>
    <w:p>
      <w:pPr>
        <w:ind w:right="840" w:firstLine="509"/>
        <w:spacing w:after="0" w:line="293" w:lineRule="auto"/>
        <w:rPr>
          <w:sz w:val="20"/>
          <w:szCs w:val="20"/>
          <w:color w:val="auto"/>
        </w:rPr>
      </w:pPr>
      <w:r>
        <w:rPr>
          <w:rFonts w:ascii="Arial" w:cs="Arial" w:eastAsia="Arial" w:hAnsi="Arial"/>
          <w:sz w:val="18"/>
          <w:szCs w:val="18"/>
          <w:color w:val="auto"/>
        </w:rPr>
        <w:t>We believe it is useful for an understanding of our operating performance to exclude the loss on extinguishment of debt and settlement of convertible notes from Adjusted EBITDA because of the infrequently occurring nature of these activities.</w:t>
      </w:r>
    </w:p>
    <w:p>
      <w:pPr>
        <w:spacing w:after="0" w:line="170" w:lineRule="exact"/>
        <w:rPr>
          <w:sz w:val="20"/>
          <w:szCs w:val="20"/>
          <w:color w:val="auto"/>
        </w:rPr>
      </w:pPr>
    </w:p>
    <w:p>
      <w:pPr>
        <w:ind w:right="560" w:firstLine="509"/>
        <w:spacing w:after="0" w:line="293" w:lineRule="auto"/>
        <w:rPr>
          <w:sz w:val="20"/>
          <w:szCs w:val="20"/>
          <w:color w:val="auto"/>
        </w:rPr>
      </w:pPr>
      <w:r>
        <w:rPr>
          <w:rFonts w:ascii="Arial" w:cs="Arial" w:eastAsia="Arial" w:hAnsi="Arial"/>
          <w:sz w:val="18"/>
          <w:szCs w:val="18"/>
          <w:color w:val="auto"/>
        </w:rPr>
        <w:t>We believe it is useful for an understanding of our operating performance to exclude separation costs related to the sale of CA from Adjusted EBITDA because of the non-recurring nature of this activity.</w:t>
      </w:r>
    </w:p>
    <w:p>
      <w:pPr>
        <w:spacing w:after="0" w:line="170"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183" w:lineRule="exact"/>
        <w:rPr>
          <w:sz w:val="20"/>
          <w:szCs w:val="20"/>
          <w:color w:val="auto"/>
        </w:rPr>
      </w:pPr>
    </w:p>
    <w:p>
      <w:pPr>
        <w:ind w:right="360" w:firstLine="562"/>
        <w:spacing w:after="0" w:line="293"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represents net cash provided by operating activities, less purchases of property and equipment and the acquisition of intangible assets. We believe that Free Cash Flow provides meaningful information regarding our liquidity.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Gogo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5"/>
                <w:szCs w:val="15"/>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r>
      <w:tr>
        <w:trPr>
          <w:trHeight w:val="196"/>
        </w:trPr>
        <w:tc>
          <w:tcPr>
            <w:tcW w:w="57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Net income (loss) attributable to common stock (GAAP)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10,959</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(80,124 )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(65,974 )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(250,881 )</w:t>
            </w:r>
          </w:p>
        </w:tc>
      </w:tr>
      <w:tr>
        <w:trPr>
          <w:trHeight w:val="263"/>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93,595</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(34 )</w:t>
            </w: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(36 )</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(145 )</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(689 )</w:t>
            </w:r>
          </w:p>
        </w:tc>
      </w:tr>
      <w:tr>
        <w:trPr>
          <w:trHeight w:val="263"/>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(65 )</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r>
      <w:tr>
        <w:trPr>
          <w:trHeight w:val="257"/>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(45,706 )</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(147,642 )</w:t>
            </w:r>
          </w:p>
        </w:tc>
      </w:tr>
      <w:tr>
        <w:trPr>
          <w:trHeight w:val="250"/>
        </w:trPr>
        <w:tc>
          <w:tcPr>
            <w:tcW w:w="57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21"/>
                <w:szCs w:val="21"/>
                <w:color w:val="auto"/>
              </w:rPr>
            </w:pPr>
          </w:p>
        </w:tc>
      </w:tr>
      <w:tr>
        <w:trPr>
          <w:trHeight w:val="263"/>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71,234</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13,426</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218,402</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380"/>
              <w:spacing w:after="0"/>
              <w:rPr>
                <w:sz w:val="20"/>
                <w:szCs w:val="20"/>
                <w:color w:val="auto"/>
              </w:rPr>
            </w:pPr>
            <w:r>
              <w:rPr>
                <w:rFonts w:ascii="Arial" w:cs="Arial" w:eastAsia="Arial" w:hAnsi="Arial"/>
                <w:sz w:val="18"/>
                <w:szCs w:val="18"/>
                <w:color w:val="auto"/>
                <w:w w:val="99"/>
              </w:rPr>
              <w:t>Loss on extinguishment of debt and settlement of convertible notes</w:t>
            </w:r>
          </w:p>
        </w:tc>
        <w:tc>
          <w:tcPr>
            <w:tcW w:w="2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Separation costs related to CA sale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7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40,783</w:t>
            </w: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30,208</w:t>
            </w: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111,426</w:t>
            </w: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79,043</w:t>
            </w:r>
          </w:p>
        </w:tc>
        <w:tc>
          <w:tcPr>
            <w:tcW w:w="100" w:type="dxa"/>
            <w:vAlign w:val="bottom"/>
            <w:tcBorders>
              <w:top w:val="single" w:sz="8" w:color="CFF0FC"/>
            </w:tcBorders>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Free Cash Flow:</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 (GAAP)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26,754</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21,498</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36,355</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20,315</w:t>
            </w:r>
          </w:p>
        </w:tc>
        <w:tc>
          <w:tcPr>
            <w:tcW w:w="100" w:type="dxa"/>
            <w:vAlign w:val="bottom"/>
          </w:tcPr>
          <w:p>
            <w:pPr>
              <w:spacing w:after="0"/>
              <w:rPr>
                <w:sz w:val="21"/>
                <w:szCs w:val="21"/>
                <w:color w:val="auto"/>
              </w:rPr>
            </w:pPr>
          </w:p>
        </w:tc>
      </w:tr>
      <w:tr>
        <w:trPr>
          <w:trHeight w:val="257"/>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Consolidated capital expenditures</w:t>
            </w:r>
          </w:p>
        </w:tc>
        <w:tc>
          <w:tcPr>
            <w:tcW w:w="2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(2,178 )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(1,293 )</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(4,004 )</w:t>
            </w: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(6,363 )</w:t>
            </w:r>
          </w:p>
        </w:tc>
      </w:tr>
      <w:tr>
        <w:trPr>
          <w:trHeight w:val="250"/>
        </w:trPr>
        <w:tc>
          <w:tcPr>
            <w:tcW w:w="57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Free cash flow</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20,205</w:t>
            </w: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32,351</w:t>
            </w: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tcBorders>
              <w:top w:val="single" w:sz="8" w:color="CFF0FC"/>
            </w:tcBorders>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-1042035</wp:posOffset>
            </wp:positionV>
            <wp:extent cx="15430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-1042035</wp:posOffset>
            </wp:positionV>
            <wp:extent cx="15430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-1042035</wp:posOffset>
            </wp:positionV>
            <wp:extent cx="13716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-1042035</wp:posOffset>
            </wp:positionV>
            <wp:extent cx="5969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-193675</wp:posOffset>
            </wp:positionV>
            <wp:extent cx="15430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-193675</wp:posOffset>
            </wp:positionV>
            <wp:extent cx="15430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3716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5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Material limitations of Non-GAAP measures</w:t>
      </w:r>
    </w:p>
    <w:p>
      <w:pPr>
        <w:spacing w:after="0" w:line="13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Although EBITDA and Adjusted EBITDA are measurements frequently used by investors and securities analysts in their evaluations of companies, EBITDA and Adjusted EBITDA each have limitations as an analytical tool, and you should not consider them in isolation or as a substitute for, or more meaningful than, amounts determined in accordance with GAAP.</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include: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EBITDA and Adjusted EBITDA do not reflect interest income or expense;</w:t>
      </w:r>
    </w:p>
    <w:p>
      <w:pPr>
        <w:spacing w:after="0" w:line="131" w:lineRule="exact"/>
        <w:rPr>
          <w:sz w:val="20"/>
          <w:szCs w:val="20"/>
          <w:color w:val="auto"/>
        </w:rPr>
      </w:pPr>
    </w:p>
    <w:p>
      <w:pPr>
        <w:ind w:left="960" w:hanging="44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30" w:lineRule="exact"/>
        <w:rPr>
          <w:rFonts w:ascii="Arial" w:cs="Arial" w:eastAsia="Arial" w:hAnsi="Arial"/>
          <w:sz w:val="18"/>
          <w:szCs w:val="18"/>
          <w:color w:val="auto"/>
        </w:rPr>
      </w:pPr>
    </w:p>
    <w:p>
      <w:pPr>
        <w:ind w:left="960" w:right="60" w:hanging="441"/>
        <w:spacing w:after="0" w:line="293"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1" w:lineRule="exact"/>
        <w:rPr>
          <w:rFonts w:ascii="Arial" w:cs="Arial" w:eastAsia="Arial" w:hAnsi="Arial"/>
          <w:sz w:val="18"/>
          <w:szCs w:val="18"/>
          <w:color w:val="auto"/>
        </w:rPr>
      </w:pPr>
    </w:p>
    <w:p>
      <w:pPr>
        <w:ind w:left="960" w:hanging="44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30" w:lineRule="exact"/>
        <w:rPr>
          <w:rFonts w:ascii="Arial" w:cs="Arial" w:eastAsia="Arial" w:hAnsi="Arial"/>
          <w:sz w:val="18"/>
          <w:szCs w:val="18"/>
          <w:color w:val="auto"/>
        </w:rPr>
      </w:pPr>
    </w:p>
    <w:p>
      <w:pPr>
        <w:ind w:left="960" w:hanging="44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the results of discontinued operations;</w:t>
      </w:r>
    </w:p>
    <w:p>
      <w:pPr>
        <w:spacing w:after="0" w:line="130" w:lineRule="exact"/>
        <w:rPr>
          <w:rFonts w:ascii="Arial" w:cs="Arial" w:eastAsia="Arial" w:hAnsi="Arial"/>
          <w:sz w:val="18"/>
          <w:szCs w:val="18"/>
          <w:color w:val="auto"/>
        </w:rPr>
      </w:pPr>
    </w:p>
    <w:p>
      <w:pPr>
        <w:ind w:left="960" w:hanging="44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the separation costs related to the sale of CA;</w:t>
      </w:r>
    </w:p>
    <w:p>
      <w:pPr>
        <w:spacing w:after="0" w:line="130" w:lineRule="exact"/>
        <w:rPr>
          <w:rFonts w:ascii="Arial" w:cs="Arial" w:eastAsia="Arial" w:hAnsi="Arial"/>
          <w:sz w:val="18"/>
          <w:szCs w:val="18"/>
          <w:color w:val="auto"/>
        </w:rPr>
      </w:pPr>
    </w:p>
    <w:p>
      <w:pPr>
        <w:ind w:left="960" w:hanging="44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the loss on extinguishment of debt and settlement of convertible notes;</w:t>
      </w:r>
    </w:p>
    <w:p>
      <w:pPr>
        <w:spacing w:after="0" w:line="130" w:lineRule="exact"/>
        <w:rPr>
          <w:rFonts w:ascii="Arial" w:cs="Arial" w:eastAsia="Arial" w:hAnsi="Arial"/>
          <w:sz w:val="18"/>
          <w:szCs w:val="18"/>
          <w:color w:val="auto"/>
        </w:rPr>
      </w:pPr>
    </w:p>
    <w:p>
      <w:pPr>
        <w:ind w:left="960" w:hanging="44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our cash balance for the period; and</w:t>
      </w:r>
    </w:p>
    <w:p>
      <w:pPr>
        <w:spacing w:after="0" w:line="130" w:lineRule="exact"/>
        <w:rPr>
          <w:rFonts w:ascii="Arial" w:cs="Arial" w:eastAsia="Arial" w:hAnsi="Arial"/>
          <w:sz w:val="18"/>
          <w:szCs w:val="18"/>
          <w:color w:val="auto"/>
        </w:rPr>
      </w:pPr>
    </w:p>
    <w:p>
      <w:pPr>
        <w:ind w:left="960" w:right="880" w:hanging="441"/>
        <w:spacing w:after="0" w:line="293"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For the Nine Months</w:t>
      </w:r>
    </w:p>
    <w:p>
      <w:pPr>
        <w:spacing w:after="0" w:line="2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17913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Continuing operations cash flow activity:</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36,355</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(11,633 )</w:t>
            </w:r>
          </w:p>
        </w:tc>
        <w:tc>
          <w:tcPr>
            <w:tcW w:w="3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(6,363 )</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(326,223 )</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 cash flow activity</w:t>
            </w: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(809 )</w:t>
            </w:r>
          </w:p>
        </w:tc>
        <w:tc>
          <w:tcPr>
            <w:tcW w:w="3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(84,505 )</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(302,282 )</w:t>
            </w:r>
          </w:p>
        </w:tc>
        <w:tc>
          <w:tcPr>
            <w:tcW w:w="3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(54,531 )</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0"/>
                <w:szCs w:val="20"/>
                <w:color w:val="auto"/>
              </w:rPr>
            </w:pPr>
            <w:r>
              <w:rPr>
                <w:rFonts w:ascii="Arial" w:cs="Arial" w:eastAsia="Arial" w:hAnsi="Arial"/>
                <w:sz w:val="18"/>
                <w:szCs w:val="18"/>
                <w:color w:val="auto"/>
                <w:w w:val="98"/>
              </w:rPr>
              <w:t>Cash, cash equivalents and restricted cash at the beginning of</w:t>
            </w:r>
          </w:p>
        </w:tc>
        <w:tc>
          <w:tcPr>
            <w:tcW w:w="32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435,870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177,675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Cash, cash equivalents and restricted cash at the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133,588</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123,144</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w w:val="97"/>
              </w:rPr>
              <w:t>Cash, cash equivalents and restricted cash at the end of period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133,588</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123,144</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8"/>
                <w:szCs w:val="18"/>
                <w:color w:val="auto"/>
              </w:rPr>
              <w:t>Less: current restricted cash</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Less: non-current restricted cash</w:t>
            </w: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5,101</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133,233</w:t>
            </w: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-873760</wp:posOffset>
            </wp:positionV>
            <wp:extent cx="137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-856615</wp:posOffset>
            </wp:positionV>
            <wp:extent cx="137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-873760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-856615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-193675</wp:posOffset>
            </wp:positionV>
            <wp:extent cx="13716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have historically financed our growth and cash needs primarily through the issuance of common stock, non-convertible debt, senior convertible preferred stock, convertible debt, credit facilities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ind w:right="20" w:firstLine="509"/>
        <w:spacing w:after="0" w:line="329" w:lineRule="auto"/>
        <w:rPr>
          <w:sz w:val="20"/>
          <w:szCs w:val="20"/>
          <w:color w:val="auto"/>
        </w:rPr>
      </w:pPr>
      <w:r>
        <w:rPr>
          <w:rFonts w:ascii="Arial" w:cs="Arial" w:eastAsia="Arial" w:hAnsi="Arial"/>
          <w:sz w:val="16"/>
          <w:szCs w:val="16"/>
          <w:color w:val="auto"/>
        </w:rPr>
        <w:t>Based on our current plans, we believe that our cash and cash equivalents and cash flows provided by operating activities will be sufficient to meet our operating obligations, including our committed capital expenditure requirements, any cash we elect to use to settle our 2022 Convertible Notes and any cash required to pay the principal amount of any 2022 Convertible Notes that remain outstanding at maturity, for at least the next twelve months.</w:t>
      </w:r>
    </w:p>
    <w:p>
      <w:pPr>
        <w:spacing w:after="0" w:line="40"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As detailed in Note 10, “Long-Term Debt and Other Liabilities,” to our Unaudited Condensed Consolidated Financial Statements, on April 30, 2021, GIH entered into the 2021 Credit Agreement with Gogo, the lenders and issuing banks party thereto and Morgan Stanley Senior Funding, Inc., as administrative agent, which provides for the Term Loan Facility in an aggregate principal amount of $725 million, issued with a discount of 0.5%, and the Revolving Facility, which includes a letter of credit sub-facility. 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68"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 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73"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and except during the first six months following the closing of the Facilities during which certain prepayments of the Term Loan Facility are subject to a prepayment premium), subject to minimum principal payment amount requirements. 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42" w:name="page43"/>
    <w:bookmarkEnd w:id="42"/>
    <w:p>
      <w:pPr>
        <w:ind w:right="40"/>
        <w:spacing w:after="0" w:line="359" w:lineRule="auto"/>
        <w:rPr>
          <w:sz w:val="20"/>
          <w:szCs w:val="20"/>
          <w:color w:val="auto"/>
        </w:rPr>
      </w:pPr>
      <w:r>
        <w:rPr>
          <w:rFonts w:ascii="Arial" w:cs="Arial" w:eastAsia="Arial" w:hAnsi="Arial"/>
          <w:sz w:val="16"/>
          <w:szCs w:val="16"/>
          <w:color w:val="auto"/>
        </w:rPr>
        <w:t>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17"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75"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196"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66"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2022 Convertible Notes mature on May 15, 2022, unless earlier repurchased or converted into shares of our common stock under certain circumstances described in Note 10, “Long-term Debt and Other Liabilities,” to our Unaudited Condensed Consolidated Financial Statements. Upon conversion, Gogo currently expects to settle in shares for the amount of the 2022 Convertible Notes then outstanding. Gogo may elect to deliver cash in lieu of all or a portion of such shares, and borrowings under the Revolving Facility are permitted to be used for this purpose. To the extent any 2022 Convertible Notes remain outstanding at maturity, we currently expect to pay such principal amount through cash on hand or borrowings under the Revolving Facility.</w:t>
      </w:r>
    </w:p>
    <w:p>
      <w:pPr>
        <w:spacing w:after="0" w:line="83"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For additional information on the 2021 Credit Agreement and 2022 Convertibles Notes, see Note 10, “Long-Term Debt and Other Liabilities,” to our Unaudited Condensed Consolidated Financial Statements.</w:t>
      </w:r>
    </w:p>
    <w:p>
      <w:pPr>
        <w:spacing w:after="0" w:line="62"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In May 2021, we purchased interest rate caps with an aggregate notional amount of $650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56"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For additional information on the interest rate caps, see Note 11, “Derivative Instruments and Hedging Activities,” to our Unaudited Condensed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For the Nine Months</w:t>
      </w:r>
    </w:p>
    <w:p>
      <w:pPr>
        <w:spacing w:after="0" w:line="25"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18002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(52,548 )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(32,479 )</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110,273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34,312</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(21,370 )</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18,482</w:t>
            </w:r>
          </w:p>
        </w:tc>
        <w:tc>
          <w:tcPr>
            <w:tcW w:w="12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4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36,355</w:t>
            </w:r>
          </w:p>
        </w:tc>
        <w:tc>
          <w:tcPr>
            <w:tcW w:w="22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20,315</w:t>
            </w:r>
          </w:p>
        </w:tc>
        <w:tc>
          <w:tcPr>
            <w:tcW w:w="120" w:type="dxa"/>
            <w:vAlign w:val="bottom"/>
            <w:tcBorders>
              <w:top w:val="single" w:sz="8" w:color="CFF0FC"/>
            </w:tcBorders>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80" w:type="dxa"/>
            <w:vAlign w:val="bottom"/>
            <w:vMerge w:val="restart"/>
          </w:tcPr>
          <w:p>
            <w:pPr>
              <w:jc w:val="right"/>
              <w:ind w:right="790"/>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-708025</wp:posOffset>
            </wp:positionV>
            <wp:extent cx="14605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-708025</wp:posOffset>
            </wp:positionV>
            <wp:extent cx="6858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right="240" w:firstLine="509"/>
        <w:spacing w:after="0" w:line="279" w:lineRule="auto"/>
        <w:rPr>
          <w:sz w:val="20"/>
          <w:szCs w:val="20"/>
          <w:color w:val="auto"/>
        </w:rPr>
      </w:pPr>
      <w:r>
        <w:rPr>
          <w:rFonts w:ascii="Arial" w:cs="Arial" w:eastAsia="Arial" w:hAnsi="Arial"/>
          <w:sz w:val="18"/>
          <w:szCs w:val="18"/>
          <w:color w:val="auto"/>
        </w:rPr>
        <w:t>For the nine-month period ended September 30, 2021, net cash provided by operating activities was $36.4 million as compared with net cash provided by operating activities of $20.3 million in the prior-year period. The principal contributors to the year-over-year change in operating cash flows were:</w:t>
      </w:r>
    </w:p>
    <w:p>
      <w:pPr>
        <w:spacing w:after="0" w:line="75" w:lineRule="exact"/>
        <w:rPr>
          <w:sz w:val="20"/>
          <w:szCs w:val="20"/>
          <w:color w:val="auto"/>
        </w:rPr>
      </w:pPr>
    </w:p>
    <w:p>
      <w:pPr>
        <w:ind w:left="960" w:right="1340"/>
        <w:spacing w:after="0" w:line="391" w:lineRule="auto"/>
        <w:rPr>
          <w:sz w:val="20"/>
          <w:szCs w:val="20"/>
          <w:color w:val="auto"/>
        </w:rPr>
      </w:pPr>
      <w:r>
        <w:rPr>
          <w:rFonts w:ascii="Arial" w:cs="Arial" w:eastAsia="Arial" w:hAnsi="Arial"/>
          <w:sz w:val="18"/>
          <w:szCs w:val="18"/>
          <w:color w:val="auto"/>
        </w:rPr>
        <w:t>A $55.9 million improvement in net loss and non-cash charges and credits, as noted above under “—Results of Operations.” A $39.9 million decrease in cash flows related to operating assets and liabilities resulting from:</w:t>
      </w:r>
    </w:p>
    <w:p>
      <w:pPr>
        <w:spacing w:after="0" w:line="1" w:lineRule="exact"/>
        <w:rPr>
          <w:sz w:val="20"/>
          <w:szCs w:val="20"/>
          <w:color w:val="auto"/>
        </w:rPr>
      </w:pPr>
    </w:p>
    <w:p>
      <w:pPr>
        <w:ind w:left="1460" w:hanging="432"/>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in cash flows due to the following:</w:t>
      </w:r>
    </w:p>
    <w:p>
      <w:pPr>
        <w:spacing w:after="0" w:line="131" w:lineRule="exact"/>
        <w:rPr>
          <w:sz w:val="20"/>
          <w:szCs w:val="20"/>
          <w:color w:val="auto"/>
        </w:rPr>
      </w:pPr>
    </w:p>
    <w:p>
      <w:pPr>
        <w:ind w:left="2320" w:right="180"/>
        <w:spacing w:after="0" w:line="293" w:lineRule="auto"/>
        <w:rPr>
          <w:sz w:val="20"/>
          <w:szCs w:val="20"/>
          <w:color w:val="auto"/>
        </w:rPr>
      </w:pPr>
      <w:r>
        <w:rPr>
          <w:rFonts w:ascii="Arial" w:cs="Arial" w:eastAsia="Arial" w:hAnsi="Arial"/>
          <w:sz w:val="18"/>
          <w:szCs w:val="18"/>
          <w:color w:val="auto"/>
        </w:rPr>
        <w:t>Changes in accrued interest primarily due to the timing of interest payments as compared with the prior-year and reduced interest payments resulting from the Refinancing; and</w:t>
      </w:r>
    </w:p>
    <w:p>
      <w:pPr>
        <w:spacing w:after="0" w:line="6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Changes in accounts receivable due to the timing of payments.</w:t>
      </w:r>
    </w:p>
    <w:p>
      <w:pPr>
        <w:spacing w:after="0" w:line="131" w:lineRule="exact"/>
        <w:rPr>
          <w:sz w:val="20"/>
          <w:szCs w:val="20"/>
          <w:color w:val="auto"/>
        </w:rPr>
      </w:pPr>
    </w:p>
    <w:p>
      <w:pPr>
        <w:ind w:left="1460" w:hanging="432"/>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Partially offset by an increase in cash flows due to changes in contract assets during the current-year period.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nine-month period ended September 30, 2021, our free cash flow improved to $32.4 million as compared to $14.0 million for the prior-year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31" w:lineRule="exact"/>
        <w:rPr>
          <w:sz w:val="20"/>
          <w:szCs w:val="20"/>
          <w:color w:val="auto"/>
        </w:rPr>
      </w:pPr>
    </w:p>
    <w:p>
      <w:pPr>
        <w:ind w:right="400" w:firstLine="509"/>
        <w:spacing w:after="0" w:line="279" w:lineRule="auto"/>
        <w:rPr>
          <w:sz w:val="20"/>
          <w:szCs w:val="20"/>
          <w:color w:val="auto"/>
        </w:rPr>
      </w:pPr>
      <w:r>
        <w:rPr>
          <w:rFonts w:ascii="Arial" w:cs="Arial" w:eastAsia="Arial" w:hAnsi="Arial"/>
          <w:sz w:val="18"/>
          <w:szCs w:val="18"/>
          <w:color w:val="auto"/>
        </w:rPr>
        <w:t>Cash used in investing activities is primarily for capital expenditures related to cell site construction, software development, and data center upgrades, see “— Capital Expenditures” below. Additionally, cash used in investing activities includes the purchase of the interest rate caps during the nine-month period ended September 30,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Cash used in financing activities for the nine-month period ended September 30, 2021 was $326.2 million primarily due to the redemption of all of our outstanding 2024 Senior Secured Notes (including the make-whole premium payable under the indenture governing the 2024 Senior Secured Notes) for a redemption price totaling $1,023.1 million and the payment of $20.3 million of deferred financing fees associated with the issuance of the Facilities, offset in part by $721.4 million of gross proceeds from the Term Loan Facility.</w:t>
      </w:r>
    </w:p>
    <w:p>
      <w:pPr>
        <w:spacing w:after="0" w:line="77" w:lineRule="exact"/>
        <w:rPr>
          <w:sz w:val="20"/>
          <w:szCs w:val="20"/>
          <w:color w:val="auto"/>
        </w:rPr>
      </w:pPr>
    </w:p>
    <w:p>
      <w:pPr>
        <w:jc w:val="both"/>
        <w:ind w:right="400" w:firstLine="509"/>
        <w:spacing w:after="0" w:line="279" w:lineRule="auto"/>
        <w:rPr>
          <w:sz w:val="20"/>
          <w:szCs w:val="20"/>
          <w:color w:val="auto"/>
        </w:rPr>
      </w:pPr>
      <w:r>
        <w:rPr>
          <w:rFonts w:ascii="Arial" w:cs="Arial" w:eastAsia="Arial" w:hAnsi="Arial"/>
          <w:sz w:val="18"/>
          <w:szCs w:val="18"/>
          <w:color w:val="auto"/>
        </w:rPr>
        <w:t>Cash provided by financing activities for the nine-month period ended September 30, 2020 was $16.0 million primarily due to $26.0 million of proceeds from the ABL Credit Facility offset in part by the repayment of $6.0 million under the ABL Credit Facility and repayment on maturity of the outstanding $2.5 million in aggregate principal amount of the 2020 Convertible Notes on March 1,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35"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Our operations require capital expenditures associated with our ATG network and data centers. We capitalize software development costs related to network technology solutions. We also capitalize costs related to the build out of our office locations.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 expenditures for the nine-month periods ended September 30, 2021 and 2020 were $4.0 million and $6.4 million, respectively.</w:t>
      </w:r>
    </w:p>
    <w:p>
      <w:pPr>
        <w:spacing w:after="0" w:line="239"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We expect that our capital expenditures will increase in the near-term as we build out Gogo 5G and further invest in capitalized software and decrease substantially after the Gogo 5G build out is completed.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Other</w:t>
      </w:r>
    </w:p>
    <w:p>
      <w:pPr>
        <w:spacing w:after="0" w:line="135"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13, “Leases,” to our Unaudited Condensed Consolidated Financial Statements for additional information.</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5"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3" w:lineRule="exact"/>
        <w:rPr>
          <w:sz w:val="20"/>
          <w:szCs w:val="20"/>
          <w:color w:val="auto"/>
        </w:rPr>
      </w:pPr>
    </w:p>
    <w:p>
      <w:pPr>
        <w:ind w:right="360" w:firstLine="509"/>
        <w:spacing w:after="0" w:line="275"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140" w:firstLine="509"/>
        <w:spacing w:after="0" w:line="309" w:lineRule="auto"/>
        <w:rPr>
          <w:sz w:val="20"/>
          <w:szCs w:val="20"/>
          <w:color w:val="auto"/>
        </w:rPr>
      </w:pPr>
      <w:r>
        <w:rPr>
          <w:rFonts w:ascii="Arial" w:cs="Arial" w:eastAsia="Arial" w:hAnsi="Arial"/>
          <w:sz w:val="16"/>
          <w:szCs w:val="16"/>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September 30, 2021 and December 31, 2020 included amounts in bank deposit accounts and money market funds, and we did not have any short-term investments as of either such date. We believe that a change in average interest rates would not affect our interest income and results of operations by a material amount.</w:t>
      </w:r>
    </w:p>
    <w:p>
      <w:pPr>
        <w:spacing w:after="0" w:line="164" w:lineRule="exact"/>
        <w:rPr>
          <w:sz w:val="20"/>
          <w:szCs w:val="20"/>
          <w:color w:val="auto"/>
        </w:rPr>
      </w:pPr>
    </w:p>
    <w:p>
      <w:pPr>
        <w:jc w:val="both"/>
        <w:ind w:right="520" w:firstLine="509"/>
        <w:spacing w:after="0" w:line="303"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56"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interest rate risk on our variable rate indebtedness, which includes borrowings under the Term Loan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September 30, 2021, we had interest rate cap agreements to hedge a portion of our exposure to interest rate movements of our variable rate debt and to manage our interest expense. We receive payments in the amounts calculated pursuant to the caps for any period in which the three-month USD LIBOR rate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8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notional amount of outstanding debt associated with interest rate cap agreements as of September 30, 2021 was $650.0 million. Based on our September 30, 2021 outstanding variable rate debt balance, a hypothetical one percentage point increase in the three-month LIBOR interest rate would impact our annual interest expense by approximately $0.3 million, which includes the impact of our interest rate cap at a strike rate of 0.75%. Excluding the impact of our interest rate caps, a hypothetical one percentage point increase in the three-month LIBOR interest rate would impact our annual interest expense by approximately $2.7 million. A hypothetical one percentage point decrease in the three-month LIBOR interest rate would not impact our annual interest expense due to the LIBOR floor of 0.75% in our Term Loan Facility.</w:t>
      </w:r>
    </w:p>
    <w:p>
      <w:pPr>
        <w:spacing w:after="0" w:line="191" w:lineRule="exact"/>
        <w:rPr>
          <w:sz w:val="20"/>
          <w:szCs w:val="20"/>
          <w:color w:val="auto"/>
        </w:rPr>
      </w:pPr>
    </w:p>
    <w:p>
      <w:pPr>
        <w:ind w:right="160" w:firstLine="509"/>
        <w:spacing w:after="0" w:line="319" w:lineRule="auto"/>
        <w:rPr>
          <w:sz w:val="20"/>
          <w:szCs w:val="20"/>
          <w:color w:val="auto"/>
        </w:rPr>
      </w:pPr>
      <w:r>
        <w:rPr>
          <w:rFonts w:ascii="Arial" w:cs="Arial" w:eastAsia="Arial" w:hAnsi="Arial"/>
          <w:sz w:val="16"/>
          <w:szCs w:val="16"/>
          <w:color w:val="auto"/>
        </w:rPr>
        <w:t>Our earnings are affected by changes in interest rates due to the impact those changes have on interest income generated from our cash and cash equivalents. Our cash and cash equivalents as of both September 30, 2021 and December 31, 2020 included amounts in bank deposit accounts and money market funds. We believe we have minimal interest rate risk related to our cash and cash equivalents, as a 10% decrease in the average interest rate on our portfolio would have reduced interest income for the three- and nine-month periods ended September 30, 2021 and 2020 by immaterial amounts.</w:t>
      </w:r>
    </w:p>
    <w:p>
      <w:pPr>
        <w:spacing w:after="0" w:line="156" w:lineRule="exact"/>
        <w:rPr>
          <w:sz w:val="20"/>
          <w:szCs w:val="20"/>
          <w:color w:val="auto"/>
        </w:rPr>
      </w:pPr>
    </w:p>
    <w:p>
      <w:pPr>
        <w:ind w:right="640" w:firstLine="509"/>
        <w:spacing w:after="0" w:line="293"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960" w:hanging="44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September 30, 2021. Based upon this evaluation, our Chief Executive Officer and the Chief Financial Officer have concluded that our disclosure controls and procedures were effective as of September 30, 2021.</w:t>
      </w:r>
    </w:p>
    <w:p>
      <w:pPr>
        <w:spacing w:after="0" w:line="93" w:lineRule="exact"/>
        <w:rPr>
          <w:sz w:val="20"/>
          <w:szCs w:val="20"/>
          <w:color w:val="auto"/>
        </w:rPr>
      </w:pPr>
    </w:p>
    <w:p>
      <w:pPr>
        <w:ind w:left="960" w:hanging="443"/>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740" w:firstLine="509"/>
        <w:spacing w:after="0" w:line="293" w:lineRule="auto"/>
        <w:rPr>
          <w:sz w:val="20"/>
          <w:szCs w:val="20"/>
          <w:color w:val="auto"/>
        </w:rPr>
      </w:pPr>
      <w:r>
        <w:rPr>
          <w:rFonts w:ascii="Arial" w:cs="Arial" w:eastAsia="Arial" w:hAnsi="Arial"/>
          <w:sz w:val="18"/>
          <w:szCs w:val="18"/>
          <w:color w:val="auto"/>
        </w:rPr>
        <w:t>We are subject to a number of lawsuits arising out of the conduct of our business. See Note 14, “Commitments and Contingencies”, to our Unaudited Condensed Consolidated Financial Statements for a discussion of litigation matters.</w:t>
      </w:r>
    </w:p>
    <w:p>
      <w:pPr>
        <w:spacing w:after="0" w:line="170"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1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48" w:lineRule="exact"/>
        <w:rPr>
          <w:sz w:val="20"/>
          <w:szCs w:val="20"/>
          <w:color w:val="auto"/>
        </w:rPr>
      </w:pPr>
    </w:p>
    <w:p>
      <w:pPr>
        <w:ind w:right="340" w:firstLine="509"/>
        <w:spacing w:after="0" w:line="293" w:lineRule="auto"/>
        <w:rPr>
          <w:sz w:val="20"/>
          <w:szCs w:val="20"/>
          <w:color w:val="auto"/>
        </w:rPr>
      </w:pPr>
      <w:r>
        <w:rPr>
          <w:rFonts w:ascii="Arial" w:cs="Arial" w:eastAsia="Arial" w:hAnsi="Arial"/>
          <w:sz w:val="18"/>
          <w:szCs w:val="18"/>
          <w:color w:val="auto"/>
        </w:rPr>
        <w:t>“Item 1A. Risk Factors” of our Form 10-K includes a discussion of our risk factors. Except as set forth in Item 1A of the 2021 Q1 10-Q and the 2021 Q2 10-Q, there have been no material changes to the risk factors previously disclosed in our 2020 10-K.</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ind w:left="1140" w:right="7059" w:hanging="758"/>
        <w:spacing w:after="0" w:line="391" w:lineRule="auto"/>
        <w:tabs>
          <w:tab w:leader="none" w:pos="71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1140" w:right="5259" w:hanging="758"/>
        <w:spacing w:after="0" w:line="389" w:lineRule="auto"/>
        <w:tabs>
          <w:tab w:leader="none" w:pos="71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ITEM 6. Exhibits</w:t>
      </w:r>
    </w:p>
    <w:p>
      <w:pPr>
        <w:sectPr>
          <w:pgSz w:w="11900" w:h="16838" w:orient="portrait"/>
          <w:cols w:equalWidth="0" w:num="1">
            <w:col w:w="11220"/>
          </w:cols>
          <w:pgMar w:left="320" w:top="364" w:right="359" w:bottom="1440" w:gutter="0" w:footer="0" w:header="0"/>
        </w:sectPr>
      </w:pPr>
    </w:p>
    <w:p>
      <w:pPr>
        <w:spacing w:after="0" w:line="17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00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634365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24" w:lineRule="exact"/>
        <w:rPr>
          <w:sz w:val="20"/>
          <w:szCs w:val="20"/>
          <w:color w:val="auto"/>
        </w:rPr>
      </w:pPr>
    </w:p>
    <w:p>
      <w:pPr>
        <w:ind w:right="120"/>
        <w:spacing w:after="0" w:line="293" w:lineRule="auto"/>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of Chief Executive Officer pursuant to Exchange Act Rules 13a-14(a) and 15d-14(a), as adopted pursuant to Section 302 of</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62769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2769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14719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471930" cy="8255"/>
                    </a:xfrm>
                    <a:prstGeom prst="rect">
                      <a:avLst/>
                    </a:prstGeom>
                    <a:noFill/>
                  </pic:spPr>
                </pic:pic>
              </a:graphicData>
            </a:graphic>
          </wp:anchor>
        </w:drawing>
      </w:r>
    </w:p>
    <w:p>
      <w:pPr>
        <w:spacing w:after="0" w:line="82" w:lineRule="exact"/>
        <w:rPr>
          <w:sz w:val="20"/>
          <w:szCs w:val="20"/>
          <w:color w:val="auto"/>
        </w:rPr>
      </w:pPr>
    </w:p>
    <w:p>
      <w:pPr>
        <w:ind w:right="160"/>
        <w:spacing w:after="0" w:line="293" w:lineRule="auto"/>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Chief Financial Officer pursuant to Exchange Act Rules 13a-14(a) and 15d-14(a), as adopted pursuant to Section 302 of</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62452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245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14719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471930" cy="825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840" w:space="420"/>
            <w:col w:w="9960"/>
          </w:cols>
          <w:pgMar w:left="320" w:top="364" w:right="359" w:bottom="1440" w:gutter="0" w:footer="0" w:header="0"/>
          <w:type w:val="continuous"/>
        </w:sectPr>
      </w:pPr>
    </w:p>
    <w:tbl>
      <w:tblPr>
        <w:tblLayout w:type="fixed"/>
        <w:tblInd w:w="240" w:type="dxa"/>
        <w:tblCellMar>
          <w:top w:w="0" w:type="dxa"/>
          <w:left w:w="0" w:type="dxa"/>
          <w:bottom w:w="0" w:type="dxa"/>
          <w:right w:w="0" w:type="dxa"/>
        </w:tblCellMar>
      </w:tblPr>
      <w:tr>
        <w:trPr>
          <w:trHeight w:val="207"/>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93"/>
              </w:rPr>
              <w:t>32.1 *</w:t>
            </w:r>
          </w:p>
        </w:tc>
        <w:tc>
          <w:tcPr>
            <w:tcW w:w="9960" w:type="dxa"/>
            <w:vAlign w:val="bottom"/>
            <w:gridSpan w:val="4"/>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8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960" w:type="dxa"/>
            <w:vAlign w:val="bottom"/>
            <w:gridSpan w:val="4"/>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Act of 2002</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ind w:right="250"/>
              <w:spacing w:after="0"/>
              <w:rPr>
                <w:sz w:val="20"/>
                <w:szCs w:val="20"/>
                <w:color w:val="auto"/>
              </w:rPr>
            </w:pPr>
            <w:r>
              <w:rPr>
                <w:rFonts w:ascii="Arial" w:cs="Arial" w:eastAsia="Arial" w:hAnsi="Arial"/>
                <w:sz w:val="18"/>
                <w:szCs w:val="18"/>
                <w:color w:val="auto"/>
                <w:w w:val="93"/>
              </w:rPr>
              <w:t>32.2 *</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vMerge w:val="continue"/>
          </w:tcPr>
          <w:p>
            <w:pPr>
              <w:spacing w:after="0"/>
              <w:rPr>
                <w:sz w:val="24"/>
                <w:szCs w:val="24"/>
                <w:color w:val="auto"/>
              </w:rPr>
            </w:pPr>
          </w:p>
        </w:tc>
        <w:tc>
          <w:tcPr>
            <w:tcW w:w="9960" w:type="dxa"/>
            <w:vAlign w:val="bottom"/>
            <w:gridSpan w:val="4"/>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7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960" w:type="dxa"/>
            <w:vAlign w:val="bottom"/>
            <w:gridSpan w:val="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92"/>
              </w:rPr>
              <w:t>101.INS</w:t>
            </w:r>
          </w:p>
        </w:tc>
        <w:tc>
          <w:tcPr>
            <w:tcW w:w="9960" w:type="dxa"/>
            <w:vAlign w:val="bottom"/>
            <w:gridSpan w:val="4"/>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96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64"/>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0"/>
              </w:rPr>
              <w:t>101.SCH</w:t>
            </w:r>
          </w:p>
        </w:tc>
        <w:tc>
          <w:tcPr>
            <w:tcW w:w="99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5"/>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97"/>
              </w:rPr>
              <w:t>101.CAL</w:t>
            </w:r>
          </w:p>
        </w:tc>
        <w:tc>
          <w:tcPr>
            <w:tcW w:w="99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98"/>
              </w:rPr>
              <w:t>101.LAB</w:t>
            </w:r>
          </w:p>
        </w:tc>
        <w:tc>
          <w:tcPr>
            <w:tcW w:w="99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65"/>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88"/>
              </w:rPr>
              <w:t>101.PRE</w:t>
            </w:r>
          </w:p>
        </w:tc>
        <w:tc>
          <w:tcPr>
            <w:tcW w:w="99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4"/>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2"/>
              </w:rPr>
              <w:t>101.DEF</w:t>
            </w:r>
          </w:p>
        </w:tc>
        <w:tc>
          <w:tcPr>
            <w:tcW w:w="99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hanging="820"/>
        <w:spacing w:after="0"/>
        <w:tabs>
          <w:tab w:leader="none" w:pos="12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8" w:lineRule="exact"/>
        <w:rPr>
          <w:rFonts w:ascii="Arial" w:cs="Arial" w:eastAsia="Arial" w:hAnsi="Arial"/>
          <w:sz w:val="18"/>
          <w:szCs w:val="18"/>
          <w:color w:val="auto"/>
        </w:rPr>
      </w:pPr>
    </w:p>
    <w:p>
      <w:pPr>
        <w:ind w:right="420"/>
        <w:spacing w:after="0" w:line="329" w:lineRule="auto"/>
        <w:rPr>
          <w:rFonts w:ascii="Arial" w:cs="Arial" w:eastAsia="Arial" w:hAnsi="Arial"/>
          <w:sz w:val="18"/>
          <w:szCs w:val="18"/>
          <w:color w:val="auto"/>
        </w:rPr>
      </w:pPr>
      <w:r>
        <w:rPr>
          <w:rFonts w:ascii="Arial" w:cs="Arial" w:eastAsia="Arial" w:hAnsi="Arial"/>
          <w:sz w:val="16"/>
          <w:szCs w:val="16"/>
          <w:color w:val="auto"/>
        </w:rPr>
        <w:t>* 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49" w:name="page50"/>
    <w:bookmarkEnd w:id="49"/>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2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Gogo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9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721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7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Oakleigh Thorne</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721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Barry Rowan</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256"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76"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rFonts w:ascii="Arial" w:cs="Arial" w:eastAsia="Arial" w:hAnsi="Arial"/>
          <w:sz w:val="18"/>
          <w:szCs w:val="18"/>
          <w:color w:val="auto"/>
        </w:rPr>
      </w:pPr>
    </w:p>
    <w:p>
      <w:pPr>
        <w:ind w:left="520" w:right="360" w:hanging="512"/>
        <w:spacing w:after="0" w:line="314" w:lineRule="auto"/>
        <w:tabs>
          <w:tab w:leader="none" w:pos="3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right="260" w:hanging="512"/>
        <w:spacing w:after="0" w:line="279" w:lineRule="auto"/>
        <w:tabs>
          <w:tab w:leader="none" w:pos="3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8"/>
          <w:szCs w:val="18"/>
          <w:color w:val="auto"/>
        </w:rPr>
      </w:pPr>
    </w:p>
    <w:p>
      <w:pPr>
        <w:ind w:left="1020" w:right="480" w:hanging="479"/>
        <w:spacing w:after="0" w:line="334" w:lineRule="auto"/>
        <w:tabs>
          <w:tab w:leader="none" w:pos="8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20" w:hanging="479"/>
        <w:spacing w:after="0" w:line="279" w:lineRule="auto"/>
        <w:tabs>
          <w:tab w:leader="none" w:pos="8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rFonts w:ascii="Arial" w:cs="Arial" w:eastAsia="Arial" w:hAnsi="Arial"/>
          <w:sz w:val="18"/>
          <w:szCs w:val="18"/>
          <w:color w:val="auto"/>
        </w:rPr>
      </w:pPr>
    </w:p>
    <w:p>
      <w:pPr>
        <w:ind w:left="520" w:right="300" w:hanging="512"/>
        <w:spacing w:after="0" w:line="314" w:lineRule="auto"/>
        <w:tabs>
          <w:tab w:leader="none" w:pos="3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20" w:right="40" w:hanging="479"/>
        <w:spacing w:after="0" w:line="314" w:lineRule="auto"/>
        <w:tabs>
          <w:tab w:leader="none" w:pos="89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Oakleigh Thorne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Barry Rowan, certify that:</w:t>
      </w:r>
    </w:p>
    <w:p>
      <w:pPr>
        <w:spacing w:after="0" w:line="256"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76"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rFonts w:ascii="Arial" w:cs="Arial" w:eastAsia="Arial" w:hAnsi="Arial"/>
          <w:sz w:val="18"/>
          <w:szCs w:val="18"/>
          <w:color w:val="auto"/>
        </w:rPr>
      </w:pPr>
    </w:p>
    <w:p>
      <w:pPr>
        <w:ind w:left="520" w:right="360" w:hanging="512"/>
        <w:spacing w:after="0" w:line="314" w:lineRule="auto"/>
        <w:tabs>
          <w:tab w:leader="none" w:pos="3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right="260" w:hanging="512"/>
        <w:spacing w:after="0" w:line="279" w:lineRule="auto"/>
        <w:tabs>
          <w:tab w:leader="none" w:pos="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8"/>
          <w:szCs w:val="18"/>
          <w:color w:val="auto"/>
        </w:rPr>
      </w:pPr>
    </w:p>
    <w:p>
      <w:pPr>
        <w:ind w:left="1020" w:right="480" w:hanging="479"/>
        <w:spacing w:after="0" w:line="334" w:lineRule="auto"/>
        <w:tabs>
          <w:tab w:leader="none" w:pos="895"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20" w:hanging="479"/>
        <w:spacing w:after="0" w:line="279" w:lineRule="auto"/>
        <w:tabs>
          <w:tab w:leader="none" w:pos="8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rFonts w:ascii="Arial" w:cs="Arial" w:eastAsia="Arial" w:hAnsi="Arial"/>
          <w:sz w:val="18"/>
          <w:szCs w:val="18"/>
          <w:color w:val="auto"/>
        </w:rPr>
      </w:pPr>
    </w:p>
    <w:p>
      <w:pPr>
        <w:ind w:left="520" w:right="300" w:hanging="512"/>
        <w:spacing w:after="0" w:line="314" w:lineRule="auto"/>
        <w:tabs>
          <w:tab w:leader="none" w:pos="3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20" w:right="40" w:hanging="479"/>
        <w:spacing w:after="0" w:line="314" w:lineRule="auto"/>
        <w:tabs>
          <w:tab w:leader="none" w:pos="895"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Barry Rowan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1"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183" w:lineRule="exact"/>
        <w:rPr>
          <w:sz w:val="20"/>
          <w:szCs w:val="20"/>
          <w:color w:val="auto"/>
        </w:rPr>
      </w:pPr>
    </w:p>
    <w:p>
      <w:pPr>
        <w:ind w:left="700" w:right="940" w:hanging="318"/>
        <w:spacing w:after="0" w:line="293"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2021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20" w:right="160" w:firstLine="362"/>
        <w:spacing w:after="0" w:line="571"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4, 2021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Oakleigh Thorne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1"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83" w:lineRule="exact"/>
        <w:rPr>
          <w:sz w:val="20"/>
          <w:szCs w:val="20"/>
          <w:color w:val="auto"/>
        </w:rPr>
      </w:pPr>
    </w:p>
    <w:p>
      <w:pPr>
        <w:ind w:left="700" w:right="940" w:hanging="318"/>
        <w:spacing w:after="0" w:line="29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2021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20" w:right="160" w:firstLine="362"/>
        <w:spacing w:after="0" w:line="571"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4, 2021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Barry Rowan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1."/>
      <w:numFmt w:val="decimal"/>
      <w:start w:val="7"/>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1)"/>
      <w:numFmt w:val="lowerRoman"/>
      <w:start w:val="2"/>
    </w:lvl>
  </w:abstractNum>
  <w:abstractNum w:abstractNumId="15">
    <w:nsid w:val="B03E0C6"/>
    <w:multiLevelType w:val="hybridMultilevel"/>
    <w:lvl w:ilvl="0">
      <w:lvlJc w:val="left"/>
      <w:lvlText w:val="%1."/>
      <w:numFmt w:val="decimal"/>
      <w:start w:val="11"/>
    </w:lvl>
  </w:abstractNum>
  <w:abstractNum w:abstractNumId="16">
    <w:nsid w:val="189A769B"/>
    <w:multiLevelType w:val="hybridMultilevel"/>
    <w:lvl w:ilvl="0">
      <w:lvlJc w:val="left"/>
      <w:lvlText w:val="%1."/>
      <w:numFmt w:val="decimal"/>
      <w:start w:val="12"/>
    </w:lvl>
  </w:abstractNum>
  <w:abstractNum w:abstractNumId="17">
    <w:nsid w:val="54E49EB4"/>
    <w:multiLevelType w:val="hybridMultilevel"/>
    <w:lvl w:ilvl="0">
      <w:lvlJc w:val="left"/>
      <w:lvlText w:val="%1."/>
      <w:numFmt w:val="decimal"/>
      <w:start w:val="13"/>
    </w:lvl>
  </w:abstractNum>
  <w:abstractNum w:abstractNumId="18">
    <w:nsid w:val="71F32454"/>
    <w:multiLevelType w:val="hybridMultilevel"/>
    <w:lvl w:ilvl="0">
      <w:lvlJc w:val="left"/>
      <w:lvlText w:val="%1."/>
      <w:numFmt w:val="decimal"/>
      <w:start w:val="14"/>
    </w:lvl>
  </w:abstractNum>
  <w:abstractNum w:abstractNumId="19">
    <w:nsid w:val="2CA88611"/>
    <w:multiLevelType w:val="hybridMultilevel"/>
    <w:lvl w:ilvl="0">
      <w:lvlJc w:val="left"/>
      <w:lvlText w:val="%1."/>
      <w:numFmt w:val="decimal"/>
      <w:start w:val="15"/>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6"/>
    </w:lvl>
  </w:abstractNum>
  <w:abstractNum w:abstractNumId="22">
    <w:nsid w:val="3A95F874"/>
    <w:multiLevelType w:val="hybridMultilevel"/>
    <w:lvl w:ilvl="0">
      <w:lvlJc w:val="left"/>
      <w:lvlText w:val="%1."/>
      <w:numFmt w:val="decimal"/>
      <w:start w:val="17"/>
    </w:lvl>
  </w:abstractNum>
  <w:abstractNum w:abstractNumId="23">
    <w:nsid w:val="8138641"/>
    <w:multiLevelType w:val="hybridMultilevel"/>
    <w:lvl w:ilvl="0">
      <w:lvlJc w:val="left"/>
      <w:lvlText w:val="%1."/>
      <w:numFmt w:val="decimal"/>
      <w:start w:val="18"/>
    </w:lvl>
  </w:abstractNum>
  <w:abstractNum w:abstractNumId="24">
    <w:nsid w:val="1E7FF521"/>
    <w:multiLevelType w:val="hybridMultilevel"/>
    <w:lvl w:ilvl="0">
      <w:lvlJc w:val="left"/>
      <w:lvlText w:val="%1."/>
      <w:numFmt w:val="decimal"/>
      <w:start w:val="19"/>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o"/>
      <w:numFmt w:val="bullet"/>
      <w:start w:val="1"/>
    </w:lvl>
  </w:abstractNum>
  <w:abstractNum w:abstractNumId="27">
    <w:nsid w:val="6CEAF087"/>
    <w:multiLevelType w:val="hybridMultilevel"/>
    <w:lvl w:ilvl="0">
      <w:lvlJc w:val="left"/>
      <w:lvlText w:val="o"/>
      <w:numFmt w:val="bullet"/>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
      <w:numFmt w:val="bullet"/>
      <w:start w:val="1"/>
    </w:lvl>
    <w:lvl w:ilvl="1">
      <w:lvlJc w:val="left"/>
      <w:lvlText w:val="%2"/>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2021-11-04T12:30:47Z</dcterms:created>
  <dcterms:modified xsi:type="dcterms:W3CDTF">2021-11-04T12:30:47Z</dcterms:modified>
</cp:coreProperties>
</file>