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pPr>
      <w:bookmarkStart w:id="0" w:name="gogo-20230630.htm"/>
      <w:bookmarkStart w:id="1" w:name="ksgogo20230630"/>
      <w:bookmarkEnd w:id="0"/>
      <w:bookmarkEnd w:id="1"/>
      <w:r>
        <w:rPr/>
        <w:t> </w:t>
      </w:r>
    </w:p>
    <w:p>
      <w:pPr>
        <w:pStyle w:val="TextBody"/>
        <w:bidi w:val="0"/>
        <w:spacing w:before="0" w:after="0"/>
        <w:jc w:val="right"/>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2"/>
        </w:rPr>
      </w:pPr>
      <w:r>
        <w:rPr>
          <w:rFonts w:ascii="Times New Roman;serif" w:hAnsi="Times New Roman;serif"/>
          <w:b/>
          <w:sz w:val="22"/>
        </w:rPr>
        <w:t>Washington, D.C. 20549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(Mark One):</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40" w:after="0"/>
              <w:ind w:left="0" w:right="0" w:hanging="0"/>
              <w:jc w:val="left"/>
              <w:rPr>
                <w:rFonts w:ascii="Times New Roman;serif" w:hAnsi="Times New Roman;serif"/>
                <w:b/>
                <w:sz w:val="16"/>
              </w:rPr>
            </w:pPr>
            <w:r>
              <w:rPr>
                <w:rFonts w:ascii="Times New Roman;serif" w:hAnsi="Times New Roman;serif"/>
                <w:b/>
                <w:sz w:val="16"/>
              </w:rPr>
              <w:t>For the quarterly period ended June 30, 2023</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40" w:after="0"/>
              <w:ind w:left="0" w:right="0" w:hanging="0"/>
              <w:jc w:val="left"/>
              <w:rPr>
                <w:rFonts w:ascii="Times New Roman;serif" w:hAnsi="Times New Roman;serif"/>
                <w:b/>
                <w:sz w:val="16"/>
              </w:rPr>
            </w:pPr>
            <w:r>
              <w:rPr>
                <w:rFonts w:ascii="Times New Roman;serif" w:hAnsi="Times New Roman;serif"/>
                <w:b/>
                <w:sz w:val="16"/>
              </w:rPr>
              <w:t>For the transition period from __________ to __________</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Commission File Number: 001-35975</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drawing>
          <wp:inline distT="0" distB="0" distL="0" distR="0">
            <wp:extent cx="7334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3425" cy="457200"/>
                    </a:xfrm>
                    <a:prstGeom prst="rect">
                      <a:avLst/>
                    </a:prstGeom>
                  </pic:spPr>
                </pic:pic>
              </a:graphicData>
            </a:graphic>
          </wp:inline>
        </w:drawing>
      </w: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Gogo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bidi w:val="0"/>
        <w:spacing w:before="0" w:after="0"/>
        <w:jc w:val="left"/>
        <w:rPr/>
      </w:pPr>
      <w:r>
        <w:rPr/>
        <w:t> </w:t>
      </w:r>
    </w:p>
    <w:tbl>
      <w:tblPr>
        <w:tblW w:w="3868" w:type="dxa"/>
        <w:jc w:val="left"/>
        <w:tblInd w:w="0" w:type="dxa"/>
        <w:tblLayout w:type="fixed"/>
        <w:tblCellMar>
          <w:top w:w="28" w:type="dxa"/>
          <w:left w:w="28" w:type="dxa"/>
          <w:bottom w:w="28" w:type="dxa"/>
          <w:right w:w="28" w:type="dxa"/>
        </w:tblCellMar>
      </w:tblPr>
      <w:tblGrid>
        <w:gridCol w:w="2281"/>
        <w:gridCol w:w="146"/>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vAlign w:val="center"/>
          </w:tcPr>
          <w:p>
            <w:pPr>
              <w:pStyle w:val="TableContents"/>
              <w:bidi w:val="0"/>
              <w:spacing w:before="0" w:after="0"/>
              <w:ind w:left="0" w:right="0" w:hanging="0"/>
              <w:jc w:val="center"/>
              <w:rPr/>
            </w:pPr>
            <w:r>
              <w:rPr/>
              <w:t> </w:t>
            </w:r>
          </w:p>
        </w:tc>
        <w:tc>
          <w:tcPr>
            <w:tcW w:w="144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27-1650905</w:t>
            </w:r>
          </w:p>
        </w:tc>
      </w:tr>
      <w:tr>
        <w:trPr/>
        <w:tc>
          <w:tcPr>
            <w:tcW w:w="228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(State or other jurisdiction of</w:t>
            </w:r>
          </w:p>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4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(I.R.S. Employer</w:t>
            </w:r>
          </w:p>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Identification No.)</w:t>
            </w:r>
          </w:p>
        </w:tc>
      </w:tr>
    </w:tbl>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105 Edgeview Dr., Suite 300</w:t>
      </w:r>
    </w:p>
    <w:p>
      <w:pPr>
        <w:pStyle w:val="TextBody"/>
        <w:bidi w:val="0"/>
        <w:spacing w:before="0" w:after="0"/>
        <w:jc w:val="center"/>
        <w:rPr>
          <w:rFonts w:ascii="Times New Roman" w:hAnsi="Times New Roman"/>
          <w:sz w:val="20"/>
        </w:rPr>
      </w:pPr>
      <w:r>
        <w:rPr>
          <w:rFonts w:ascii="Times New Roman;serif" w:hAnsi="Times New Roman;serif"/>
          <w:b/>
          <w:sz w:val="20"/>
        </w:rPr>
        <w:t>Broomfield, CO</w:t>
      </w:r>
      <w:r>
        <w:rPr>
          <w:rFonts w:ascii="Times New Roman" w:hAnsi="Times New Roman"/>
          <w:sz w:val="20"/>
        </w:rPr>
        <w:t xml:space="preserve"> </w:t>
      </w:r>
      <w:r>
        <w:rPr>
          <w:rFonts w:ascii="Times New Roman;serif" w:hAnsi="Times New Roman;serif"/>
          <w:b/>
          <w:sz w:val="20"/>
        </w:rPr>
        <w:t>80021</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(Address of principal executive offices)</w:t>
      </w:r>
    </w:p>
    <w:p>
      <w:pPr>
        <w:pStyle w:val="TextBody"/>
        <w:bidi w:val="0"/>
        <w:spacing w:before="120" w:after="0"/>
        <w:jc w:val="center"/>
        <w:rPr>
          <w:rFonts w:ascii="Times New Roman;serif" w:hAnsi="Times New Roman;serif"/>
          <w:b/>
          <w:sz w:val="20"/>
        </w:rPr>
      </w:pPr>
      <w:r>
        <w:rPr>
          <w:rFonts w:ascii="Times New Roman;serif" w:hAnsi="Times New Roman;serif"/>
          <w:b/>
          <w:sz w:val="20"/>
        </w:rPr>
        <w:t>Telephone Number (303) 301-3271</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(Registrant’s telephone number, including area code)</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bidi w:val="0"/>
        <w:spacing w:before="0" w:after="0"/>
        <w:jc w:val="left"/>
        <w:rPr/>
      </w:pPr>
      <w:r>
        <w:rPr/>
        <w:t> </w:t>
      </w:r>
    </w:p>
    <w:tbl>
      <w:tblPr>
        <w:tblW w:w="8245" w:type="dxa"/>
        <w:jc w:val="left"/>
        <w:tblInd w:w="0" w:type="dxa"/>
        <w:tblLayout w:type="fixed"/>
        <w:tblCellMar>
          <w:top w:w="28" w:type="dxa"/>
          <w:left w:w="28" w:type="dxa"/>
          <w:bottom w:w="28" w:type="dxa"/>
          <w:right w:w="28" w:type="dxa"/>
        </w:tblCellMar>
      </w:tblPr>
      <w:tblGrid>
        <w:gridCol w:w="3256"/>
        <w:gridCol w:w="146"/>
        <w:gridCol w:w="1291"/>
        <w:gridCol w:w="146"/>
        <w:gridCol w:w="340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u w:val="single"/>
              </w:rPr>
            </w:pPr>
            <w:r>
              <w:rPr>
                <w:rFonts w:ascii="Times New Roman;serif" w:hAnsi="Times New Roman;serif"/>
                <w:b w:val="false"/>
                <w:sz w:val="16"/>
                <w:u w:val="single"/>
              </w:rPr>
              <w:t>Title of Class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u w:val="single"/>
              </w:rPr>
              <w:t>Trading Symbol</w:t>
            </w:r>
            <w:r>
              <w:rPr>
                <w:rFonts w:ascii="Times New Roman" w:hAnsi="Times New Roman"/>
                <w:sz w:val="16"/>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u w:val="single"/>
              </w:rPr>
              <w:t>Name of Each Exchange on Which Registered</w:t>
            </w:r>
            <w:r>
              <w:rPr>
                <w:rFonts w:ascii="Times New Roman" w:hAnsi="Times New Roman"/>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sz w:val="16"/>
              </w:rPr>
            </w:pPr>
            <w:r>
              <w:rPr>
                <w:rFonts w:ascii="Times New Roman;serif" w:hAnsi="Times New Roman;serif"/>
                <w:b w:val="false"/>
                <w:sz w:val="16"/>
              </w:rPr>
              <w:t>Common stock, par value $0.0001 per share</w:t>
            </w:r>
            <w:r>
              <w:rPr>
                <w:rFonts w:ascii="Times New Roman;serif" w:hAnsi="Times New Roman;serif"/>
                <w:sz w:val="16"/>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t>GOGO</w:t>
            </w:r>
            <w:r>
              <w:rPr>
                <w:rFonts w:ascii="Times New Roman" w:hAnsi="Times New Roman"/>
                <w:sz w:val="16"/>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t>NASDAQ</w:t>
            </w:r>
            <w:r>
              <w:rPr>
                <w:rFonts w:ascii="Times New Roman" w:hAnsi="Times New Roman"/>
                <w:sz w:val="16"/>
              </w:rPr>
              <w:t> </w:t>
            </w:r>
            <w:r>
              <w:rPr>
                <w:rFonts w:ascii="Times New Roman;serif" w:hAnsi="Times New Roman;serif"/>
                <w:b w:val="false"/>
                <w:sz w:val="16"/>
              </w:rPr>
              <w:t>Global Select Market</w:t>
            </w:r>
            <w:r>
              <w:rPr>
                <w:rFonts w:ascii="Times New Roman" w:hAnsi="Times New Roman"/>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29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GOGO</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NASDAQ</w:t>
            </w:r>
            <w:r>
              <w:rPr>
                <w:rFonts w:ascii="Times New Roman" w:hAnsi="Times New Roman"/>
                <w:sz w:val="20"/>
              </w:rPr>
              <w:t> </w:t>
            </w:r>
            <w:r>
              <w:rPr>
                <w:rFonts w:ascii="Times New Roman;serif" w:hAnsi="Times New Roman;serif"/>
                <w:b w:val="false"/>
                <w:sz w:val="16"/>
              </w:rPr>
              <w:t>Global Select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w:t>
      </w:r>
    </w:p>
    <w:p>
      <w:pPr>
        <w:pStyle w:val="TextBody"/>
        <w:bidi w:val="0"/>
        <w:spacing w:before="8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6"/>
        </w:rPr>
        <w:t>Indicate by check mark whether the registrant is a shell company (as defined in Rule 12b-2 of the Exchange Act). Yes</w:t>
      </w:r>
      <w:r>
        <w:rPr>
          <w:rFonts w:ascii="Times New Roman" w:hAnsi="Times New Roman"/>
          <w:sz w:val="20"/>
        </w:rPr>
        <w:t>☐</w:t>
      </w:r>
      <w:r>
        <w:rPr>
          <w:rFonts w:ascii="Times New Roman;serif" w:hAnsi="Times New Roman;serif"/>
          <w:b w:val="false"/>
          <w:sz w:val="16"/>
        </w:rPr>
        <w:t>No</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16"/>
        </w:rPr>
        <w:t>As of August 3, 2023, 128,697,082</w:t>
      </w:r>
      <w:r>
        <w:rPr>
          <w:rFonts w:ascii="Times New Roman" w:hAnsi="Times New Roman"/>
          <w:sz w:val="20"/>
        </w:rPr>
        <w:t xml:space="preserve"> </w:t>
      </w:r>
      <w:r>
        <w:rPr>
          <w:rFonts w:ascii="Times New Roman;serif" w:hAnsi="Times New Roman;serif"/>
          <w:b w:val="false"/>
          <w:sz w:val="16"/>
        </w:rPr>
        <w:t>shares of $0.0001 par value common stock were outstanding.</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Gogo</w:t>
      </w:r>
      <w:r>
        <w:rPr>
          <w:rFonts w:ascii="Times New Roman" w:hAnsi="Times New Roman"/>
          <w:sz w:val="20"/>
        </w:rPr>
        <w:t xml:space="preserve"> </w:t>
      </w:r>
      <w:r>
        <w:rPr>
          <w:rFonts w:ascii="Times New Roman;serif" w:hAnsi="Times New Roman;serif"/>
          <w:b/>
          <w:sz w:val="20"/>
        </w:rPr>
        <w:t>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INDEX</w:t>
      </w:r>
    </w:p>
    <w:p>
      <w:pPr>
        <w:pStyle w:val="TextBody"/>
        <w:bidi w:val="0"/>
        <w:spacing w:before="0" w:after="0"/>
        <w:jc w:val="left"/>
        <w:rPr/>
      </w:pPr>
      <w:r>
        <w:rPr/>
        <w:t> </w:t>
      </w:r>
    </w:p>
    <w:tbl>
      <w:tblPr>
        <w:tblW w:w="8709" w:type="dxa"/>
        <w:jc w:val="left"/>
        <w:tblInd w:w="0" w:type="dxa"/>
        <w:tblLayout w:type="fixed"/>
        <w:tblCellMar>
          <w:top w:w="28" w:type="dxa"/>
          <w:left w:w="28" w:type="dxa"/>
          <w:bottom w:w="28" w:type="dxa"/>
          <w:right w:w="28" w:type="dxa"/>
        </w:tblCellMar>
      </w:tblPr>
      <w:tblGrid>
        <w:gridCol w:w="862"/>
        <w:gridCol w:w="7366"/>
        <w:gridCol w:w="481"/>
      </w:tblGrid>
      <w:tr>
        <w:trPr/>
        <w:tc>
          <w:tcPr>
            <w:tcW w:w="862"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62"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Page</w:t>
            </w:r>
          </w:p>
        </w:tc>
      </w:tr>
      <w:tr>
        <w:trPr/>
        <w:tc>
          <w:tcPr>
            <w:tcW w:w="86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Financial Information</w:t>
              </w:r>
            </w:hyperlink>
          </w:p>
        </w:tc>
        <w:tc>
          <w:tcPr>
            <w:tcW w:w="481" w:type="dxa"/>
            <w:tcBorders/>
            <w:vAlign w:val="center"/>
          </w:tcPr>
          <w:p>
            <w:pPr>
              <w:pStyle w:val="TableContents"/>
              <w:bidi w:val="0"/>
              <w:spacing w:before="0" w:after="0"/>
              <w:ind w:left="0" w:right="0" w:hanging="0"/>
              <w:jc w:val="right"/>
              <w:rPr/>
            </w:pPr>
            <w:r>
              <w:rPr/>
              <w:t> </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62" w:type="dxa"/>
            <w:tcBorders/>
            <w:vAlign w:val="center"/>
          </w:tcPr>
          <w:p>
            <w:pPr>
              <w:pStyle w:val="TableContents"/>
              <w:bidi w:val="0"/>
              <w:spacing w:before="0" w:after="0"/>
              <w:ind w:left="0" w:right="0" w:firstLine="186"/>
              <w:jc w:val="left"/>
              <w:rPr/>
            </w:pPr>
            <w:r>
              <w:rPr/>
              <w:t> </w:t>
            </w:r>
          </w:p>
        </w:tc>
        <w:tc>
          <w:tcPr>
            <w:tcW w:w="7366" w:type="dxa"/>
            <w:tcBorders/>
            <w:vAlign w:val="center"/>
          </w:tcPr>
          <w:p>
            <w:pPr>
              <w:pStyle w:val="TableContents"/>
              <w:pBdr/>
              <w:bidi w:val="0"/>
              <w:spacing w:before="0" w:after="0"/>
              <w:ind w:left="0" w:right="0" w:hanging="186"/>
              <w:jc w:val="left"/>
              <w:rPr/>
            </w:pPr>
            <w:hyperlink w:anchor="unaudited_condensed_consolidated_balance">
              <w:r>
                <w:rPr>
                  <w:rStyle w:val="InternetLink"/>
                  <w:rFonts w:ascii="Times New Roman;serif" w:hAnsi="Times New Roman;serif"/>
                  <w:b w:val="false"/>
                  <w:sz w:val="20"/>
                  <w:u w:val="single"/>
                </w:rPr>
                <w:t>Unaudited Condensed Consolidated Balance Sheets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862" w:type="dxa"/>
            <w:tcBorders/>
            <w:vAlign w:val="center"/>
          </w:tcPr>
          <w:p>
            <w:pPr>
              <w:pStyle w:val="TableContents"/>
              <w:bidi w:val="0"/>
              <w:spacing w:before="0" w:after="0"/>
              <w:ind w:left="0" w:right="0" w:firstLine="186"/>
              <w:jc w:val="left"/>
              <w:rPr/>
            </w:pPr>
            <w:r>
              <w:rPr/>
              <w:t> </w:t>
            </w:r>
          </w:p>
        </w:tc>
        <w:tc>
          <w:tcPr>
            <w:tcW w:w="7366" w:type="dxa"/>
            <w:tcBorders/>
            <w:vAlign w:val="center"/>
          </w:tcPr>
          <w:p>
            <w:pPr>
              <w:pStyle w:val="TableContents"/>
              <w:pBdr/>
              <w:bidi w:val="0"/>
              <w:spacing w:before="0" w:after="0"/>
              <w:ind w:left="0" w:right="0" w:hanging="186"/>
              <w:jc w:val="left"/>
              <w:rPr/>
            </w:pPr>
            <w:hyperlink w:anchor="unaudited_condensed_consolidated_stateme">
              <w:r>
                <w:rPr>
                  <w:rStyle w:val="InternetLink"/>
                  <w:rFonts w:ascii="Times New Roman;serif" w:hAnsi="Times New Roman;serif"/>
                  <w:b w:val="false"/>
                  <w:sz w:val="20"/>
                  <w:u w:val="single"/>
                </w:rPr>
                <w:t>Unaudited Condensed Consolidated Statements of Operations</w:t>
              </w:r>
            </w:hyperlink>
            <w:hyperlink w:anchor="unaudited_condensed_consolidated_stateme">
              <w:r>
                <w:rPr>
                  <w:rStyle w:val="InternetLink"/>
                  <w:rFonts w:ascii="Times New Roman" w:hAnsi="Times New Roman"/>
                  <w:sz w:val="20"/>
                </w:rPr>
                <w:t xml:space="preserve"> </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862" w:type="dxa"/>
            <w:tcBorders/>
            <w:vAlign w:val="center"/>
          </w:tcPr>
          <w:p>
            <w:pPr>
              <w:pStyle w:val="TableContents"/>
              <w:bidi w:val="0"/>
              <w:spacing w:before="0" w:after="0"/>
              <w:ind w:left="0" w:right="0" w:firstLine="186"/>
              <w:jc w:val="left"/>
              <w:rPr/>
            </w:pPr>
            <w:r>
              <w:rPr/>
              <w:t> </w:t>
            </w:r>
          </w:p>
        </w:tc>
        <w:tc>
          <w:tcPr>
            <w:tcW w:w="7366" w:type="dxa"/>
            <w:tcBorders/>
            <w:vAlign w:val="center"/>
          </w:tcPr>
          <w:p>
            <w:pPr>
              <w:pStyle w:val="TableContents"/>
              <w:pBdr/>
              <w:bidi w:val="0"/>
              <w:spacing w:before="0" w:after="0"/>
              <w:ind w:left="0" w:right="0" w:hanging="186"/>
              <w:jc w:val="left"/>
              <w:rPr/>
            </w:pPr>
            <w:hyperlink w:anchor="unaudited_condensed_comp_loss">
              <w:r>
                <w:rPr>
                  <w:rStyle w:val="InternetLink"/>
                  <w:rFonts w:ascii="Times New Roman;serif" w:hAnsi="Times New Roman;serif"/>
                  <w:b w:val="false"/>
                  <w:sz w:val="20"/>
                  <w:u w:val="single"/>
                </w:rPr>
                <w:t>Unaudited Condensed Consolidated Statements of Comprehensive Income</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862" w:type="dxa"/>
            <w:tcBorders/>
            <w:vAlign w:val="center"/>
          </w:tcPr>
          <w:p>
            <w:pPr>
              <w:pStyle w:val="TableContents"/>
              <w:bidi w:val="0"/>
              <w:spacing w:before="0" w:after="0"/>
              <w:ind w:left="0" w:right="0" w:firstLine="186"/>
              <w:jc w:val="left"/>
              <w:rPr/>
            </w:pPr>
            <w:r>
              <w:rPr/>
              <w:t> </w:t>
            </w:r>
          </w:p>
        </w:tc>
        <w:tc>
          <w:tcPr>
            <w:tcW w:w="7366" w:type="dxa"/>
            <w:tcBorders/>
            <w:vAlign w:val="center"/>
          </w:tcPr>
          <w:p>
            <w:pPr>
              <w:pStyle w:val="TableContents"/>
              <w:pBdr/>
              <w:bidi w:val="0"/>
              <w:spacing w:before="0" w:after="0"/>
              <w:ind w:left="0" w:right="0" w:hanging="186"/>
              <w:jc w:val="left"/>
              <w:rPr/>
            </w:pPr>
            <w:hyperlink w:anchor="unaudited_condensed_consolidated_sta_cf">
              <w:r>
                <w:rPr>
                  <w:rStyle w:val="InternetLink"/>
                  <w:rFonts w:ascii="Times New Roman;serif" w:hAnsi="Times New Roman;serif"/>
                  <w:b w:val="false"/>
                  <w:sz w:val="20"/>
                  <w:u w:val="single"/>
                </w:rPr>
                <w:t>Unaudited Condensed Consolidated Statements of Cash Flows</w:t>
              </w:r>
            </w:hyperlink>
            <w:hyperlink w:anchor="unaudited_condensed_consolidated_sta_cf">
              <w:r>
                <w:rPr>
                  <w:rStyle w:val="InternetLink"/>
                  <w:rFonts w:ascii="Times New Roman" w:hAnsi="Times New Roman"/>
                  <w:sz w:val="20"/>
                </w:rPr>
                <w:t xml:space="preserve"> </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62" w:type="dxa"/>
            <w:tcBorders/>
            <w:vAlign w:val="center"/>
          </w:tcPr>
          <w:p>
            <w:pPr>
              <w:pStyle w:val="TableContents"/>
              <w:bidi w:val="0"/>
              <w:spacing w:before="0" w:after="0"/>
              <w:ind w:left="0" w:right="0" w:firstLine="186"/>
              <w:jc w:val="left"/>
              <w:rPr/>
            </w:pPr>
            <w:r>
              <w:rPr/>
              <w:t> </w:t>
            </w:r>
          </w:p>
        </w:tc>
        <w:tc>
          <w:tcPr>
            <w:tcW w:w="7366" w:type="dxa"/>
            <w:tcBorders/>
            <w:vAlign w:val="center"/>
          </w:tcPr>
          <w:p>
            <w:pPr>
              <w:pStyle w:val="TableContents"/>
              <w:pBdr/>
              <w:bidi w:val="0"/>
              <w:spacing w:before="0" w:after="0"/>
              <w:ind w:left="0" w:right="0" w:hanging="186"/>
              <w:jc w:val="left"/>
              <w:rPr/>
            </w:pPr>
            <w:hyperlink w:anchor="unaudited_condensed_consolidated_sta_equ">
              <w:r>
                <w:rPr>
                  <w:rStyle w:val="InternetLink"/>
                  <w:rFonts w:ascii="Times New Roman;serif" w:hAnsi="Times New Roman;serif"/>
                  <w:b w:val="false"/>
                  <w:sz w:val="20"/>
                  <w:u w:val="single"/>
                </w:rPr>
                <w:t>Unaudited Condensed Consolidated Statements of Stockholders’ Equity (Deficit)</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62"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62" w:type="dxa"/>
            <w:tcBorders/>
            <w:vAlign w:val="center"/>
          </w:tcPr>
          <w:p>
            <w:pPr>
              <w:pStyle w:val="TableContents"/>
              <w:bidi w:val="0"/>
              <w:spacing w:before="0" w:after="0"/>
              <w:ind w:left="0" w:right="0" w:firstLine="186"/>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pBdr/>
              <w:bidi w:val="0"/>
              <w:spacing w:before="0" w:after="0"/>
              <w:ind w:left="6" w:right="0" w:hanging="18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r>
      <w:tr>
        <w:trPr/>
        <w:tc>
          <w:tcPr>
            <w:tcW w:w="862"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481" w:type="dxa"/>
            <w:tcBorders/>
            <w:vAlign w:val="center"/>
          </w:tcPr>
          <w:p>
            <w:pPr>
              <w:pStyle w:val="TableContents"/>
              <w:bidi w:val="0"/>
              <w:spacing w:before="0" w:after="0"/>
              <w:ind w:left="0" w:right="0" w:hanging="0"/>
              <w:jc w:val="right"/>
              <w:rPr/>
            </w:pPr>
            <w:r>
              <w:rPr/>
              <w:t> </w:t>
            </w:r>
          </w:p>
        </w:tc>
      </w:tr>
      <w:tr>
        <w:trPr/>
        <w:tc>
          <w:tcPr>
            <w:tcW w:w="86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Other Information</w:t>
              </w:r>
            </w:hyperlink>
          </w:p>
        </w:tc>
        <w:tc>
          <w:tcPr>
            <w:tcW w:w="481" w:type="dxa"/>
            <w:tcBorders/>
            <w:vAlign w:val="center"/>
          </w:tcPr>
          <w:p>
            <w:pPr>
              <w:pStyle w:val="TableContents"/>
              <w:bidi w:val="0"/>
              <w:spacing w:before="0" w:after="0"/>
              <w:ind w:left="0" w:right="0" w:hanging="0"/>
              <w:jc w:val="right"/>
              <w:rPr/>
            </w:pPr>
            <w:r>
              <w:rPr/>
              <w:t> </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risk_factors">
              <w:r>
                <w:rPr>
                  <w:rStyle w:val="InternetLink"/>
                  <w:rFonts w:ascii="Times New Roman;serif" w:hAnsi="Times New Roman;serif"/>
                  <w:b w:val="false"/>
                  <w:sz w:val="20"/>
                  <w:u w:val="single"/>
                </w:rPr>
                <w:t>Risk Factors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unregistered_sales_equity_securities_use">
              <w:r>
                <w:rPr>
                  <w:rStyle w:val="InternetLink"/>
                  <w:rFonts w:ascii="Times New Roman;serif" w:hAnsi="Times New Roman;serif"/>
                  <w:b w:val="false"/>
                  <w:sz w:val="20"/>
                  <w:u w:val="single"/>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defaults_upon_senior_securities">
              <w:r>
                <w:rPr>
                  <w:rStyle w:val="InternetLink"/>
                  <w:rFonts w:ascii="Times New Roman;serif" w:hAnsi="Times New Roman;serif"/>
                  <w:b w:val="false"/>
                  <w:sz w:val="20"/>
                  <w:u w:val="single"/>
                </w:rPr>
                <w:t>Defaults Upon Senior Securities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mine_safety_disclosures">
              <w:r>
                <w:rPr>
                  <w:rStyle w:val="InternetLink"/>
                  <w:rFonts w:ascii="Times New Roman;serif" w:hAnsi="Times New Roman;serif"/>
                  <w:b w:val="false"/>
                  <w:sz w:val="20"/>
                  <w:u w:val="single"/>
                </w:rPr>
                <w:t>Mine Safety Disclosures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or_information">
              <w:r>
                <w:rPr>
                  <w:rStyle w:val="InternetLink"/>
                  <w:rFonts w:ascii="Times New Roman;serif" w:hAnsi="Times New Roman;serif"/>
                  <w:b w:val="false"/>
                  <w:sz w:val="20"/>
                  <w:u w:val="single"/>
                </w:rPr>
                <w:t>Other Information</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r>
      <w:tr>
        <w:trPr/>
        <w:tc>
          <w:tcPr>
            <w:tcW w:w="8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r>
      <w:tr>
        <w:trPr/>
        <w:tc>
          <w:tcPr>
            <w:tcW w:w="8228"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 FINANCIAL INFORMATION</w:t>
      </w:r>
    </w:p>
    <w:p>
      <w:pPr>
        <w:pStyle w:val="TextBody"/>
        <w:bidi w:val="0"/>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12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bookmarkStart w:id="4" w:name="unaudited_condensed_consolidated_balance"/>
      <w:bookmarkEnd w:id="4"/>
      <w:r>
        <w:rPr>
          <w:rFonts w:ascii="Times New Roman;serif" w:hAnsi="Times New Roman;serif"/>
          <w:b/>
          <w:sz w:val="20"/>
        </w:rPr>
        <w:t>Unaudited Condensed Consolidated Balance Sheets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532"/>
        <w:gridCol w:w="146"/>
        <w:gridCol w:w="211"/>
        <w:gridCol w:w="991"/>
        <w:gridCol w:w="166"/>
        <w:gridCol w:w="146"/>
        <w:gridCol w:w="211"/>
        <w:gridCol w:w="991"/>
        <w:gridCol w:w="811"/>
      </w:tblGrid>
      <w:tr>
        <w:trPr/>
        <w:tc>
          <w:tcPr>
            <w:tcW w:w="6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811" w:type="dxa"/>
            <w:tcBorders/>
            <w:vAlign w:val="center"/>
          </w:tcPr>
          <w:p>
            <w:pPr>
              <w:pStyle w:val="TableContents"/>
              <w:bidi w:val="0"/>
              <w:spacing w:before="0" w:after="0"/>
              <w:ind w:left="0" w:right="0" w:hanging="0"/>
              <w:jc w:val="center"/>
              <w:rPr/>
            </w:pPr>
            <w:r>
              <w:rPr/>
              <w:t> </w:t>
            </w:r>
          </w:p>
        </w:tc>
      </w:tr>
      <w:tr>
        <w:trPr/>
        <w:tc>
          <w:tcPr>
            <w:tcW w:w="65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150,550</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24,796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cash, cash equivalents and 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175,346</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Accounts receivable, net of allowances of $1,943</w:t>
            </w:r>
            <w:r>
              <w:rPr>
                <w:rFonts w:ascii="Times New Roman" w:hAnsi="Times New Roman"/>
                <w:sz w:val="20"/>
              </w:rPr>
              <w:t> </w:t>
            </w:r>
            <w:r>
              <w:rPr>
                <w:rFonts w:ascii="Times New Roman;serif" w:hAnsi="Times New Roman;serif"/>
                <w:b w:val="false"/>
                <w:sz w:val="20"/>
              </w:rPr>
              <w:t>and $1,778,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54,210</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49,493</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45,100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256,760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324,149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Non-current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104,595</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49,509</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75,261</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 w:hAnsi="Times New Roman"/>
                <w:sz w:val="20"/>
              </w:rPr>
            </w:pPr>
            <w:r>
              <w:rPr>
                <w:rFonts w:ascii="Times New Roman;serif" w:hAnsi="Times New Roman;serif"/>
                <w:b w:val="false"/>
                <w:sz w:val="20"/>
              </w:rPr>
              <w:t>Other non-current assets, net of allowances of $513</w:t>
            </w:r>
            <w:r>
              <w:rPr>
                <w:rFonts w:ascii="Times New Roman" w:hAnsi="Times New Roman"/>
                <w:sz w:val="20"/>
              </w:rPr>
              <w:t> </w:t>
            </w:r>
            <w:r>
              <w:rPr>
                <w:rFonts w:ascii="Times New Roman;serif" w:hAnsi="Times New Roman;serif"/>
                <w:b w:val="false"/>
                <w:sz w:val="20"/>
              </w:rPr>
              <w:t>and $501,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43,355</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223,997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162,657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488,753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435,377</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759,526</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 (deficit)</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13,646</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60,056</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3,418</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84,370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Non-current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400"/>
              <w:jc w:val="righ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590,051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690,173</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79,241</w:t>
            </w:r>
          </w:p>
        </w:tc>
        <w:tc>
          <w:tcPr>
            <w:tcW w:w="811" w:type="dxa"/>
            <w:tcBorders/>
            <w:vAlign w:val="center"/>
          </w:tcPr>
          <w:p>
            <w:pPr>
              <w:pStyle w:val="TableContents"/>
              <w:bidi w:val="0"/>
              <w:spacing w:before="0" w:after="0"/>
              <w:ind w:left="0" w:right="0" w:firstLine="400"/>
              <w:jc w:val="left"/>
              <w:rPr/>
            </w:pPr>
            <w:r>
              <w:rPr/>
              <w:t> </w:t>
            </w:r>
          </w:p>
        </w:tc>
      </w:tr>
      <w:tr>
        <w:trPr/>
        <w:tc>
          <w:tcPr>
            <w:tcW w:w="65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673,890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777,025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736,301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861,395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 (Note 11)</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 </w:t>
            </w:r>
          </w:p>
        </w:tc>
      </w:tr>
      <w:tr>
        <w:trPr/>
        <w:tc>
          <w:tcPr>
            <w:tcW w:w="65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Stockholders’ equity (deficit)</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653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par value $0.0001</w:t>
            </w:r>
            <w:r>
              <w:rPr>
                <w:rFonts w:ascii="Times New Roman" w:hAnsi="Times New Roman"/>
                <w:sz w:val="20"/>
              </w:rPr>
              <w:t> </w:t>
            </w:r>
            <w:r>
              <w:rPr>
                <w:rFonts w:ascii="Times New Roman;serif" w:hAnsi="Times New Roman;serif"/>
                <w:b w:val="false"/>
                <w:sz w:val="20"/>
              </w:rPr>
              <w:t>per share; 500,000,000</w:t>
            </w:r>
            <w:r>
              <w:rPr>
                <w:rFonts w:ascii="Times New Roman" w:hAnsi="Times New Roman"/>
                <w:sz w:val="20"/>
              </w:rPr>
              <w:t> </w:t>
            </w:r>
            <w:r>
              <w:rPr>
                <w:rFonts w:ascii="Times New Roman;serif" w:hAnsi="Times New Roman;serif"/>
                <w:b w:val="false"/>
                <w:sz w:val="20"/>
              </w:rPr>
              <w:t>shares authorized at June 30, 2023 and December 31, 2022; 137,387,432</w:t>
            </w:r>
            <w:r>
              <w:rPr>
                <w:rFonts w:ascii="Times New Roman" w:hAnsi="Times New Roman"/>
                <w:sz w:val="20"/>
              </w:rPr>
              <w:t> </w:t>
            </w:r>
            <w:r>
              <w:rPr>
                <w:rFonts w:ascii="Times New Roman;serif" w:hAnsi="Times New Roman;serif"/>
                <w:b w:val="false"/>
                <w:sz w:val="20"/>
              </w:rPr>
              <w:t>and 136,531,362</w:t>
            </w:r>
            <w:r>
              <w:rPr>
                <w:rFonts w:ascii="Times New Roman" w:hAnsi="Times New Roman"/>
                <w:sz w:val="20"/>
              </w:rPr>
              <w:t> </w:t>
            </w:r>
            <w:r>
              <w:rPr>
                <w:rFonts w:ascii="Times New Roman;serif" w:hAnsi="Times New Roman;serif"/>
                <w:b w:val="false"/>
                <w:sz w:val="20"/>
              </w:rPr>
              <w:t>shares issued at June 30, 2023 and December 31, 2022, respectively; and 128,696,883</w:t>
            </w:r>
            <w:r>
              <w:rPr>
                <w:rFonts w:ascii="Times New Roman" w:hAnsi="Times New Roman"/>
                <w:sz w:val="20"/>
              </w:rPr>
              <w:t> </w:t>
            </w:r>
            <w:r>
              <w:rPr>
                <w:rFonts w:ascii="Times New Roman;serif" w:hAnsi="Times New Roman;serif"/>
                <w:b w:val="false"/>
                <w:sz w:val="20"/>
              </w:rPr>
              <w:t>and 127,840,813</w:t>
            </w:r>
            <w:r>
              <w:rPr>
                <w:rFonts w:ascii="Times New Roman" w:hAnsi="Times New Roman"/>
                <w:sz w:val="20"/>
              </w:rPr>
              <w:t> </w:t>
            </w:r>
            <w:r>
              <w:rPr>
                <w:rFonts w:ascii="Times New Roman;serif" w:hAnsi="Times New Roman;serif"/>
                <w:b w:val="false"/>
                <w:sz w:val="20"/>
              </w:rPr>
              <w:t>shares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811" w:type="dxa"/>
            <w:tcBorders/>
            <w:vAlign w:val="center"/>
          </w:tcPr>
          <w:p>
            <w:pPr>
              <w:pStyle w:val="TableContents"/>
              <w:bidi w:val="0"/>
              <w:spacing w:before="0" w:after="0"/>
              <w:ind w:left="0" w:right="0" w:firstLine="200"/>
              <w:jc w:val="lef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1,391,692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1,385,933</w:t>
            </w:r>
          </w:p>
        </w:tc>
        <w:tc>
          <w:tcPr>
            <w:tcW w:w="811" w:type="dxa"/>
            <w:tcBorders/>
            <w:vAlign w:val="center"/>
          </w:tcPr>
          <w:p>
            <w:pPr>
              <w:pStyle w:val="TableContents"/>
              <w:bidi w:val="0"/>
              <w:spacing w:before="0" w:after="0"/>
              <w:ind w:left="0" w:right="0" w:firstLine="200"/>
              <w:jc w:val="lef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30,128</w:t>
            </w:r>
          </w:p>
        </w:tc>
        <w:tc>
          <w:tcPr>
            <w:tcW w:w="811" w:type="dxa"/>
            <w:tcBorders/>
            <w:vAlign w:val="center"/>
          </w:tcPr>
          <w:p>
            <w:pPr>
              <w:pStyle w:val="TableContents"/>
              <w:bidi w:val="0"/>
              <w:spacing w:before="0" w:after="0"/>
              <w:ind w:left="0" w:right="0" w:firstLine="200"/>
              <w:jc w:val="left"/>
              <w:rPr/>
            </w:pPr>
            <w:r>
              <w:rPr/>
              <w:t> </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Treasury stock, at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(158,375</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(1,249,271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(1,359,569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532" w:type="dxa"/>
            <w:tcBorders/>
            <w:vAlign w:val="center"/>
          </w:tcPr>
          <w:p>
            <w:pPr>
              <w:pStyle w:val="TableContents"/>
              <w:bidi w:val="0"/>
              <w:spacing w:before="0" w:after="0"/>
              <w:ind w:left="600" w:right="0" w:hanging="0"/>
              <w:jc w:val="left"/>
              <w:rPr>
                <w:rFonts w:ascii="Times New Roman;serif" w:hAnsi="Times New Roman;serif"/>
                <w:b/>
                <w:sz w:val="20"/>
              </w:rPr>
            </w:pPr>
            <w:r>
              <w:rPr>
                <w:rFonts w:ascii="Times New Roman;serif" w:hAnsi="Times New Roman;serif"/>
                <w:b/>
                <w:sz w:val="20"/>
              </w:rPr>
              <w:t>Total stockholders’ equity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(101,869</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53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stockholders’ equity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745,513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759,526</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the Notes to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bookmarkStart w:id="5" w:name="unaudited_condensed_consolidated_stateme"/>
      <w:bookmarkEnd w:id="5"/>
      <w:r>
        <w:rPr>
          <w:rFonts w:ascii="Times New Roman;serif" w:hAnsi="Times New Roman;serif"/>
          <w:b/>
          <w:sz w:val="20"/>
        </w:rPr>
        <w:t>Unaudited Condensed Consolidated Statements of Operations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143,731</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190,586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service revenue (exclusive of amounts shown below)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30,386</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equipment revenue (exclusive of amounts shown below)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31,149</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Engineering, design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13,358</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12,299</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28,815</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67,289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20,661</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564"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46,852</w:t>
            </w:r>
          </w:p>
        </w:tc>
        <w:tc>
          <w:tcPr>
            <w:tcW w:w="591" w:type="dxa"/>
            <w:tcBorders/>
            <w:vAlign w:val="center"/>
          </w:tcPr>
          <w:p>
            <w:pPr>
              <w:pStyle w:val="TableContents"/>
              <w:bidi w:val="0"/>
              <w:spacing w:before="0" w:after="0"/>
              <w:ind w:left="0" w:right="0" w:firstLine="200"/>
              <w:jc w:val="left"/>
              <w:rPr/>
            </w:pPr>
            <w:r>
              <w:rPr/>
              <w:t> </w:t>
            </w:r>
          </w:p>
        </w:tc>
      </w:tr>
      <w:tr>
        <w:trPr/>
        <w:tc>
          <w:tcPr>
            <w:tcW w:w="456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 provision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attributable to common stock per share: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100"/>
              <w:jc w:val="right"/>
              <w:rPr/>
            </w:pPr>
            <w:r>
              <w:rPr/>
              <w:t> </w:t>
            </w:r>
          </w:p>
        </w:tc>
      </w:tr>
      <w:tr>
        <w:trPr/>
        <w:tc>
          <w:tcPr>
            <w:tcW w:w="456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0.38</w:t>
            </w:r>
          </w:p>
        </w:tc>
        <w:tc>
          <w:tcPr>
            <w:tcW w:w="591" w:type="dxa"/>
            <w:tcBorders/>
            <w:vAlign w:val="center"/>
          </w:tcPr>
          <w:p>
            <w:pPr>
              <w:pStyle w:val="TableContents"/>
              <w:bidi w:val="0"/>
              <w:spacing w:before="0" w:after="0"/>
              <w:ind w:left="0" w:right="0" w:firstLine="100"/>
              <w:jc w:val="left"/>
              <w:rPr/>
            </w:pPr>
            <w:r>
              <w:rPr/>
              <w:t> </w:t>
            </w:r>
          </w:p>
        </w:tc>
      </w:tr>
      <w:tr>
        <w:trPr/>
        <w:tc>
          <w:tcPr>
            <w:tcW w:w="456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0.35</w:t>
            </w:r>
          </w:p>
        </w:tc>
        <w:tc>
          <w:tcPr>
            <w:tcW w:w="591" w:type="dxa"/>
            <w:tcBorders/>
            <w:vAlign w:val="center"/>
          </w:tcPr>
          <w:p>
            <w:pPr>
              <w:pStyle w:val="TableContents"/>
              <w:bidi w:val="0"/>
              <w:spacing w:before="0" w:after="0"/>
              <w:ind w:left="0" w:right="0" w:hanging="0"/>
              <w:jc w:val="left"/>
              <w:rPr/>
            </w:pPr>
            <w:r>
              <w:rPr/>
              <w:t> </w:t>
            </w:r>
          </w:p>
        </w:tc>
      </w:tr>
      <w:tr>
        <w:trPr/>
        <w:tc>
          <w:tcPr>
            <w:tcW w:w="456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100"/>
              <w:jc w:val="right"/>
              <w:rPr/>
            </w:pPr>
            <w:r>
              <w:rPr/>
              <w:t> </w:t>
            </w:r>
          </w:p>
        </w:tc>
      </w:tr>
      <w:tr>
        <w:trPr/>
        <w:tc>
          <w:tcPr>
            <w:tcW w:w="456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123,252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117,375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56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133,228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134,718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133,407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134,474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the Notes to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bookmarkStart w:id="6" w:name="unaudited_condensed_comp_loss"/>
      <w:bookmarkEnd w:id="6"/>
      <w:r>
        <w:rPr>
          <w:rFonts w:ascii="Times New Roman;serif" w:hAnsi="Times New Roman;serif"/>
          <w:b/>
          <w:sz w:val="20"/>
        </w:rPr>
        <w:t>Unaudited Condensed Consolidated Statements of Comprehensive Income</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before="0" w:after="0"/>
        <w:jc w:val="left"/>
        <w:rPr/>
      </w:pPr>
      <w:r>
        <w:rPr/>
        <w:t> </w:t>
      </w:r>
    </w:p>
    <w:tbl>
      <w:tblPr>
        <w:tblW w:w="9827" w:type="dxa"/>
        <w:jc w:val="left"/>
        <w:tblInd w:w="0" w:type="dxa"/>
        <w:tblLayout w:type="fixed"/>
        <w:tblCellMar>
          <w:top w:w="28" w:type="dxa"/>
          <w:left w:w="28" w:type="dxa"/>
          <w:bottom w:w="28" w:type="dxa"/>
          <w:right w:w="28" w:type="dxa"/>
        </w:tblCellMar>
      </w:tblPr>
      <w:tblGrid>
        <w:gridCol w:w="4321"/>
        <w:gridCol w:w="146"/>
        <w:gridCol w:w="211"/>
        <w:gridCol w:w="676"/>
        <w:gridCol w:w="146"/>
        <w:gridCol w:w="146"/>
        <w:gridCol w:w="211"/>
        <w:gridCol w:w="676"/>
        <w:gridCol w:w="166"/>
        <w:gridCol w:w="146"/>
        <w:gridCol w:w="211"/>
        <w:gridCol w:w="781"/>
        <w:gridCol w:w="166"/>
        <w:gridCol w:w="146"/>
        <w:gridCol w:w="211"/>
        <w:gridCol w:w="676"/>
        <w:gridCol w:w="7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44,213</w:t>
            </w:r>
          </w:p>
        </w:tc>
        <w:tc>
          <w:tcPr>
            <w:tcW w:w="791" w:type="dxa"/>
            <w:tcBorders/>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Currency translation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79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flow hedges: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600"/>
              <w:jc w:val="right"/>
              <w:rPr/>
            </w:pPr>
            <w:r>
              <w:rPr/>
              <w:t> </w:t>
            </w:r>
          </w:p>
        </w:tc>
      </w:tr>
      <w:tr>
        <w:trPr/>
        <w:tc>
          <w:tcPr>
            <w:tcW w:w="432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Amount recognized in other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21,159</w:t>
            </w:r>
          </w:p>
        </w:tc>
        <w:tc>
          <w:tcPr>
            <w:tcW w:w="791" w:type="dxa"/>
            <w:tcBorders/>
            <w:vAlign w:val="center"/>
          </w:tcPr>
          <w:p>
            <w:pPr>
              <w:pStyle w:val="TableContents"/>
              <w:bidi w:val="0"/>
              <w:spacing w:before="0" w:after="0"/>
              <w:ind w:left="0" w:right="0" w:firstLine="600"/>
              <w:jc w:val="left"/>
              <w:rPr/>
            </w:pPr>
            <w:r>
              <w:rPr/>
              <w:t> </w:t>
            </w:r>
          </w:p>
        </w:tc>
      </w:tr>
      <w:tr>
        <w:trPr/>
        <w:tc>
          <w:tcPr>
            <w:tcW w:w="432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Less: income realized and reclassified to earnings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fair value of cash flow hedges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3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(loss), net of tax</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20,631</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64,844</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serif" w:hAnsi="Times New Roman;serif"/>
          <w:b w:val="false"/>
          <w:i/>
          <w:sz w:val="20"/>
        </w:rPr>
      </w:pPr>
      <w:r>
        <w:rPr>
          <w:rFonts w:ascii="Times New Roman;serif" w:hAnsi="Times New Roman;serif"/>
          <w:b w:val="false"/>
          <w:i/>
          <w:sz w:val="20"/>
        </w:rPr>
        <w:t>See the Notes to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bookmarkStart w:id="7" w:name="unaudited_condensed_consolidated_sta_cf"/>
      <w:bookmarkEnd w:id="7"/>
      <w:r>
        <w:rPr>
          <w:rFonts w:ascii="Times New Roman;serif" w:hAnsi="Times New Roman;serif"/>
          <w:b/>
          <w:sz w:val="20"/>
        </w:rPr>
        <w:t>Unaudited Condensed Consolidated Statements of Cash Flows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bidi w:val="0"/>
        <w:spacing w:before="0" w:after="0"/>
        <w:jc w:val="left"/>
        <w:rPr/>
      </w:pPr>
      <w:r>
        <w:rPr/>
        <w:t> </w:t>
      </w:r>
    </w:p>
    <w:tbl>
      <w:tblPr>
        <w:tblW w:w="8764" w:type="dxa"/>
        <w:jc w:val="left"/>
        <w:tblInd w:w="0" w:type="dxa"/>
        <w:tblLayout w:type="fixed"/>
        <w:tblCellMar>
          <w:top w:w="28" w:type="dxa"/>
          <w:left w:w="28" w:type="dxa"/>
          <w:bottom w:w="28" w:type="dxa"/>
          <w:right w:w="28" w:type="dxa"/>
        </w:tblCellMar>
      </w:tblPr>
      <w:tblGrid>
        <w:gridCol w:w="5461"/>
        <w:gridCol w:w="146"/>
        <w:gridCol w:w="196"/>
        <w:gridCol w:w="751"/>
        <w:gridCol w:w="166"/>
        <w:gridCol w:w="146"/>
        <w:gridCol w:w="196"/>
        <w:gridCol w:w="691"/>
        <w:gridCol w:w="10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4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200"/>
              <w:jc w:val="right"/>
              <w:rPr/>
            </w:pPr>
            <w:r>
              <w:rPr/>
              <w:t> </w:t>
            </w:r>
          </w:p>
        </w:tc>
      </w:tr>
      <w:tr>
        <w:trPr/>
        <w:tc>
          <w:tcPr>
            <w:tcW w:w="5461"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44,213</w:t>
            </w:r>
          </w:p>
        </w:tc>
        <w:tc>
          <w:tcPr>
            <w:tcW w:w="1011" w:type="dxa"/>
            <w:tcBorders/>
            <w:vAlign w:val="center"/>
          </w:tcPr>
          <w:p>
            <w:pPr>
              <w:pStyle w:val="TableContents"/>
              <w:bidi w:val="0"/>
              <w:spacing w:before="0" w:after="0"/>
              <w:ind w:left="0" w:right="0" w:firstLine="200"/>
              <w:jc w:val="left"/>
              <w:rPr/>
            </w:pPr>
            <w:r>
              <w:rPr/>
              <w:t> </w:t>
            </w:r>
          </w:p>
        </w:tc>
      </w:tr>
      <w:tr>
        <w:trPr/>
        <w:tc>
          <w:tcPr>
            <w:tcW w:w="546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Adjustments to reconcile net income to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7,290</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Loss on asset disposals, abandonments and write-downs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Provision for expected credit losses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498</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Deferred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2,540</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9,411</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deferred financing costs and interest rate caps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1,777</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of debt discount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600"/>
              <w:jc w:val="right"/>
              <w:rPr/>
            </w:pPr>
            <w:r>
              <w:rPr/>
              <w:t> </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(7,270</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Inventories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(8,567</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Contract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(2,748</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858</w:t>
            </w:r>
          </w:p>
        </w:tc>
        <w:tc>
          <w:tcPr>
            <w:tcW w:w="1011" w:type="dxa"/>
            <w:tcBorders/>
            <w:vAlign w:val="center"/>
          </w:tcPr>
          <w:p>
            <w:pPr>
              <w:pStyle w:val="TableContents"/>
              <w:bidi w:val="0"/>
              <w:spacing w:before="0" w:after="0"/>
              <w:ind w:left="0" w:right="0" w:firstLine="600"/>
              <w:jc w:val="left"/>
              <w:rPr/>
            </w:pPr>
            <w:r>
              <w:rPr/>
              <w:t> </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(2,043</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Deferred revenue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interest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Other non-current assets and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(1,503</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44,240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(17,481</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Acquisition of intangible assets—capitalized software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(2,469</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interest rate caps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Redemptions of short-term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of short-term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5461"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(19,950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Payments on term loan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(103,625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(3,625</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Payments on financing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Stock-based compensation activity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(2,515</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(111,469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(6,243</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46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Effect of exchange rate changes on cash</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(Decrease)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(53,350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18,055</w:t>
            </w:r>
          </w:p>
        </w:tc>
        <w:tc>
          <w:tcPr>
            <w:tcW w:w="1011" w:type="dxa"/>
            <w:tcBorders/>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150,880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146,268</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97,530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164,323</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164,323</w:t>
            </w:r>
          </w:p>
        </w:tc>
        <w:tc>
          <w:tcPr>
            <w:tcW w:w="1011" w:type="dxa"/>
            <w:tcBorders/>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Less: non-current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163,993</w:t>
            </w:r>
          </w:p>
        </w:tc>
        <w:tc>
          <w:tcPr>
            <w:tcW w:w="10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Cash paid for interest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39,759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19,680</w:t>
            </w:r>
          </w:p>
        </w:tc>
        <w:tc>
          <w:tcPr>
            <w:tcW w:w="1011" w:type="dxa"/>
            <w:tcBorders/>
            <w:vAlign w:val="center"/>
          </w:tcPr>
          <w:p>
            <w:pPr>
              <w:pStyle w:val="TableContents"/>
              <w:bidi w:val="0"/>
              <w:spacing w:before="0" w:after="0"/>
              <w:ind w:left="0" w:right="0" w:firstLine="400"/>
              <w:jc w:val="lef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Cash paid for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011" w:type="dxa"/>
            <w:tcBorders/>
            <w:vAlign w:val="center"/>
          </w:tcPr>
          <w:p>
            <w:pPr>
              <w:pStyle w:val="TableContents"/>
              <w:bidi w:val="0"/>
              <w:spacing w:before="0" w:after="0"/>
              <w:ind w:left="0" w:right="0" w:hanging="0"/>
              <w:jc w:val="left"/>
              <w:rPr/>
            </w:pPr>
            <w:r>
              <w:rPr/>
              <w:t> </w:t>
            </w:r>
          </w:p>
        </w:tc>
      </w:tr>
      <w:tr>
        <w:trPr/>
        <w:tc>
          <w:tcPr>
            <w:tcW w:w="54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Non-cash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546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of property and equipment in current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13,089</w:t>
            </w:r>
          </w:p>
        </w:tc>
        <w:tc>
          <w:tcPr>
            <w:tcW w:w="10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the Notes to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bookmarkStart w:id="8" w:name="unaudited_condensed_consolidated_sta_equ"/>
      <w:bookmarkEnd w:id="8"/>
      <w:r>
        <w:rPr>
          <w:rFonts w:ascii="Times New Roman;serif" w:hAnsi="Times New Roman;serif"/>
          <w:b/>
          <w:sz w:val="20"/>
        </w:rPr>
        <w:t>Unaudited Condensed Consolidated Statements of Stockholders’ Equity (Deficit)</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except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933"/>
        <w:gridCol w:w="146"/>
        <w:gridCol w:w="146"/>
        <w:gridCol w:w="841"/>
        <w:gridCol w:w="146"/>
        <w:gridCol w:w="146"/>
        <w:gridCol w:w="181"/>
        <w:gridCol w:w="346"/>
        <w:gridCol w:w="146"/>
        <w:gridCol w:w="146"/>
        <w:gridCol w:w="181"/>
        <w:gridCol w:w="691"/>
        <w:gridCol w:w="151"/>
        <w:gridCol w:w="146"/>
        <w:gridCol w:w="266"/>
        <w:gridCol w:w="755"/>
        <w:gridCol w:w="146"/>
        <w:gridCol w:w="146"/>
        <w:gridCol w:w="181"/>
        <w:gridCol w:w="736"/>
        <w:gridCol w:w="151"/>
        <w:gridCol w:w="146"/>
        <w:gridCol w:w="146"/>
        <w:gridCol w:w="691"/>
        <w:gridCol w:w="146"/>
        <w:gridCol w:w="146"/>
        <w:gridCol w:w="181"/>
        <w:gridCol w:w="631"/>
        <w:gridCol w:w="151"/>
        <w:gridCol w:w="146"/>
        <w:gridCol w:w="181"/>
        <w:gridCol w:w="556"/>
        <w:gridCol w:w="357"/>
      </w:tblGrid>
      <w:tr>
        <w:trPr/>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9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69"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Three Months Ended June 30, 2023</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0"/>
              <w:ind w:left="0" w:right="0" w:hanging="0"/>
              <w:jc w:val="center"/>
              <w:rPr/>
            </w:pPr>
            <w:r>
              <w:rPr/>
              <w:t> </w:t>
            </w:r>
          </w:p>
        </w:tc>
      </w:tr>
      <w:tr>
        <w:trPr/>
        <w:tc>
          <w:tcPr>
            <w:tcW w:w="9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0"/>
              <w:ind w:left="0" w:right="0" w:hanging="0"/>
              <w:jc w:val="center"/>
              <w:rPr/>
            </w:pPr>
            <w:r>
              <w:rPr/>
              <w:t> </w:t>
            </w:r>
          </w:p>
        </w:tc>
      </w:tr>
      <w:tr>
        <w:trPr/>
        <w:tc>
          <w:tcPr>
            <w:tcW w:w="9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pPr>
            <w:r>
              <w:rPr/>
              <w:t> </w:t>
            </w:r>
          </w:p>
        </w:tc>
        <w:tc>
          <w:tcPr>
            <w:tcW w:w="357" w:type="dxa"/>
            <w:tcBorders/>
            <w:vAlign w:val="center"/>
          </w:tcPr>
          <w:p>
            <w:pPr>
              <w:pStyle w:val="TableContents"/>
              <w:bidi w:val="0"/>
              <w:spacing w:before="0" w:after="0"/>
              <w:ind w:left="0" w:right="0" w:hanging="0"/>
              <w:jc w:val="center"/>
              <w:rPr/>
            </w:pPr>
            <w:r>
              <w:rPr/>
              <w:t> </w:t>
            </w:r>
          </w:p>
        </w:tc>
      </w:tr>
      <w:tr>
        <w:trPr/>
        <w:tc>
          <w:tcPr>
            <w:tcW w:w="9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128,585,935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1,386,295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(1,339,120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8,690,549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(158,375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(88,143</w:t>
            </w:r>
          </w:p>
        </w:tc>
        <w:tc>
          <w:tcPr>
            <w:tcW w:w="357"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89,849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89,849</w:t>
            </w:r>
          </w:p>
        </w:tc>
        <w:tc>
          <w:tcPr>
            <w:tcW w:w="357" w:type="dxa"/>
            <w:tcBorders/>
            <w:vAlign w:val="center"/>
          </w:tcPr>
          <w:p>
            <w:pPr>
              <w:pStyle w:val="TableContents"/>
              <w:bidi w:val="0"/>
              <w:spacing w:before="0" w:after="0"/>
              <w:ind w:left="0" w:right="0" w:firstLine="160"/>
              <w:jc w:val="left"/>
              <w:rPr/>
            </w:pPr>
            <w:r>
              <w:rPr/>
              <w:t> </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Currency translation adjustments,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w:t>
            </w:r>
          </w:p>
        </w:tc>
        <w:tc>
          <w:tcPr>
            <w:tcW w:w="357" w:type="dxa"/>
            <w:tcBorders/>
            <w:vAlign w:val="center"/>
          </w:tcPr>
          <w:p>
            <w:pPr>
              <w:pStyle w:val="TableContents"/>
              <w:bidi w:val="0"/>
              <w:spacing w:before="0" w:after="0"/>
              <w:ind w:left="0" w:right="0" w:firstLine="160"/>
              <w:jc w:val="left"/>
              <w:rPr/>
            </w:pPr>
            <w:r>
              <w:rPr/>
              <w:t> </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Fair value adjustments of cash flow hedges,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1,925</w:t>
            </w:r>
          </w:p>
        </w:tc>
        <w:tc>
          <w:tcPr>
            <w:tcW w:w="357" w:type="dxa"/>
            <w:tcBorders/>
            <w:vAlign w:val="center"/>
          </w:tcPr>
          <w:p>
            <w:pPr>
              <w:pStyle w:val="TableContents"/>
              <w:bidi w:val="0"/>
              <w:spacing w:before="0" w:after="0"/>
              <w:ind w:left="0" w:right="0" w:firstLine="160"/>
              <w:jc w:val="left"/>
              <w:rPr/>
            </w:pPr>
            <w:r>
              <w:rPr/>
              <w:t> </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5,453</w:t>
            </w:r>
          </w:p>
        </w:tc>
        <w:tc>
          <w:tcPr>
            <w:tcW w:w="357" w:type="dxa"/>
            <w:tcBorders/>
            <w:vAlign w:val="center"/>
          </w:tcPr>
          <w:p>
            <w:pPr>
              <w:pStyle w:val="TableContents"/>
              <w:bidi w:val="0"/>
              <w:spacing w:before="0" w:after="0"/>
              <w:ind w:left="0" w:right="0" w:firstLine="160"/>
              <w:jc w:val="left"/>
              <w:rPr/>
            </w:pPr>
            <w:r>
              <w:rPr/>
              <w:t> </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46,251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w:t>
            </w:r>
          </w:p>
        </w:tc>
        <w:tc>
          <w:tcPr>
            <w:tcW w:w="357" w:type="dxa"/>
            <w:tcBorders/>
            <w:vAlign w:val="center"/>
          </w:tcPr>
          <w:p>
            <w:pPr>
              <w:pStyle w:val="TableContents"/>
              <w:bidi w:val="0"/>
              <w:spacing w:before="0" w:after="0"/>
              <w:ind w:left="0" w:right="0" w:firstLine="160"/>
              <w:jc w:val="left"/>
              <w:rPr/>
            </w:pPr>
            <w:r>
              <w:rPr/>
              <w:t> </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firstLine="160"/>
              <w:jc w:val="left"/>
              <w:rPr/>
            </w:pPr>
            <w:r>
              <w:rPr/>
              <w:t> </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Tax withholding related to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(402</w:t>
            </w:r>
          </w:p>
        </w:tc>
        <w:tc>
          <w:tcPr>
            <w:tcW w:w="357"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3"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226</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3"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128,696,883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1,391,692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(1,249,271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8,690,549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(158,375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87" w:type="dxa"/>
        <w:jc w:val="left"/>
        <w:tblInd w:w="0" w:type="dxa"/>
        <w:tblLayout w:type="fixed"/>
        <w:tblCellMar>
          <w:top w:w="28" w:type="dxa"/>
          <w:left w:w="28" w:type="dxa"/>
          <w:bottom w:w="28" w:type="dxa"/>
          <w:right w:w="28" w:type="dxa"/>
        </w:tblCellMar>
      </w:tblPr>
      <w:tblGrid>
        <w:gridCol w:w="93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631"/>
        <w:gridCol w:w="35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54"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Three Months Ended June 30, 2022</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111,784,217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1,259,223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17,961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(1,429,432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6,615,449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(128,803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(281,040</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22,017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22,017</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Currency translation adjustments,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Fair value adjustments of cash flow hedges,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4,579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4,579</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5,404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5,404</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303,840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838</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29,803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Tax withholding related to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170</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Settlement of convertible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17,131,332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102,786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102,788</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Settlement of prepaid forward shares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(575,100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575,100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128,688,372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1,379,356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22,420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(1,407,415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7,190,549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(140,000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(145,626</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bl>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82" w:type="dxa"/>
        <w:jc w:val="left"/>
        <w:tblInd w:w="0" w:type="dxa"/>
        <w:tblLayout w:type="fixed"/>
        <w:tblCellMar>
          <w:top w:w="28" w:type="dxa"/>
          <w:left w:w="28" w:type="dxa"/>
          <w:bottom w:w="28" w:type="dxa"/>
          <w:right w:w="28" w:type="dxa"/>
        </w:tblCellMar>
      </w:tblPr>
      <w:tblGrid>
        <w:gridCol w:w="931"/>
        <w:gridCol w:w="146"/>
        <w:gridCol w:w="146"/>
        <w:gridCol w:w="841"/>
        <w:gridCol w:w="146"/>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631"/>
        <w:gridCol w:w="35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49"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Six Months Ended June 30, 2023</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127,840,813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1,385,933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30,128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(1,359,569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8,690,549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(158,375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(101,869</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110,298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110,298</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Currency translation adjustments,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Fair value adjustments of cash flow hedges,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(5,235</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10,494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10,494</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114,771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299</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Tax withholding related to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(5,439</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29,257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405</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128,696,883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1,391,692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25,152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(1,249,271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8,690,549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(158,375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9,212</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87" w:type="dxa"/>
        <w:jc w:val="left"/>
        <w:tblInd w:w="0" w:type="dxa"/>
        <w:tblLayout w:type="fixed"/>
        <w:tblCellMar>
          <w:top w:w="28" w:type="dxa"/>
          <w:left w:w="28" w:type="dxa"/>
          <w:bottom w:w="28" w:type="dxa"/>
          <w:right w:w="28" w:type="dxa"/>
        </w:tblCellMar>
      </w:tblPr>
      <w:tblGrid>
        <w:gridCol w:w="93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631"/>
        <w:gridCol w:w="35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54" w:type="dxa"/>
            <w:gridSpan w:val="3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For the Six Months Ended June 30,2022</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41" w:type="dxa"/>
            <w:gridSpan w:val="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pPr>
            <w:r>
              <w:rPr/>
              <w:t> </w:t>
            </w:r>
          </w:p>
        </w:tc>
        <w:tc>
          <w:tcPr>
            <w:tcW w:w="356"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110,791,954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1,258,477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(1,451,628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6,615,449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(128,803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(320,154</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44,213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44,213</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Currency translation adjustments,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Fair value adjustments of cash flow hedges,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20,640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20,640</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9,411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9,411</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727,423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1,944</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upon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585,037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Tax withholding related to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(4,778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(4,778</w:t>
            </w:r>
          </w:p>
        </w:tc>
        <w:tc>
          <w:tcPr>
            <w:tcW w:w="356"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Issuance of common stock in connection with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27,726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319</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Settlement of convertible notes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17,131,332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102,786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102,788</w:t>
            </w:r>
          </w:p>
        </w:tc>
        <w:tc>
          <w:tcPr>
            <w:tcW w:w="356"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Settlement of prepaid forward shares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(575,100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575,100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(11,197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128,688,372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1,379,356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22,420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(1,407,415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7,190,549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(140,000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(145,626</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bl>
    <w:p>
      <w:pPr>
        <w:pStyle w:val="TextBody"/>
        <w:bidi w:val="0"/>
        <w:spacing w:before="0" w:after="0"/>
        <w:jc w:val="center"/>
        <w:rPr>
          <w:rFonts w:ascii="Times New Roman;serif" w:hAnsi="Times New Roman;serif"/>
          <w:b w:val="false"/>
          <w:i/>
          <w:sz w:val="16"/>
        </w:rPr>
      </w:pPr>
      <w:r>
        <w:rPr>
          <w:rFonts w:ascii="Times New Roman;serif" w:hAnsi="Times New Roman;serif"/>
          <w:b w:val="false"/>
          <w:i/>
          <w:sz w:val="16"/>
        </w:rPr>
        <w:t>See the Notes to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bookmarkStart w:id="9" w:name="notes_to_unaudited_condensed_consolidate"/>
      <w:bookmarkEnd w:id="9"/>
      <w:r>
        <w:rPr>
          <w:rFonts w:ascii="Times New Roman;serif" w:hAnsi="Times New Roman;serif"/>
          <w:b/>
          <w:sz w:val="20"/>
        </w:rPr>
        <w:t>Notes to Unaudited Condensed Consolidated Financial Statements</w:t>
      </w:r>
    </w:p>
    <w:p>
      <w:pPr>
        <w:pStyle w:val="TextBody"/>
        <w:bidi w:val="0"/>
        <w:spacing w:before="240" w:after="0"/>
        <w:jc w:val="left"/>
        <w:rPr>
          <w:rFonts w:ascii="Times New Roman" w:hAnsi="Times New Roman"/>
          <w:b/>
          <w:sz w:val="20"/>
        </w:rPr>
      </w:pPr>
      <w:r>
        <w:rPr>
          <w:rFonts w:ascii="Times New Roman" w:hAnsi="Times New Roman"/>
          <w:b/>
          <w:sz w:val="20"/>
        </w:rPr>
        <w:t>1.</w:t>
      </w:r>
    </w:p>
    <w:p>
      <w:pPr>
        <w:pStyle w:val="TextBody"/>
        <w:bidi w:val="0"/>
        <w:spacing w:before="240" w:after="283"/>
        <w:jc w:val="left"/>
        <w:rPr>
          <w:rFonts w:ascii="Times New Roman;serif" w:hAnsi="Times New Roman;serif"/>
          <w:b/>
          <w:sz w:val="20"/>
        </w:rPr>
      </w:pPr>
      <w:r>
        <w:rPr>
          <w:rFonts w:ascii="Times New Roman;serif" w:hAnsi="Times New Roman;serif"/>
          <w:b/>
          <w:sz w:val="20"/>
        </w:rPr>
        <w:t>Basis of Presentation</w:t>
      </w:r>
    </w:p>
    <w:p>
      <w:pPr>
        <w:pStyle w:val="TextBody"/>
        <w:bidi w:val="0"/>
        <w:spacing w:before="240" w:after="0"/>
        <w:jc w:val="left"/>
        <w:rPr>
          <w:rFonts w:ascii="Times New Roman" w:hAnsi="Times New Roman"/>
          <w:sz w:val="20"/>
        </w:rPr>
      </w:pPr>
      <w:r>
        <w:rPr>
          <w:rFonts w:ascii="Times New Roman;serif" w:hAnsi="Times New Roman;serif"/>
          <w:b/>
          <w:i/>
          <w:sz w:val="20"/>
        </w:rPr>
        <w:t>The Business –</w:t>
      </w:r>
      <w:r>
        <w:rPr>
          <w:rFonts w:ascii="Times New Roman" w:hAnsi="Times New Roman"/>
          <w:sz w:val="20"/>
        </w:rPr>
        <w:t xml:space="preserve"> </w:t>
      </w:r>
      <w:r>
        <w:rPr>
          <w:rFonts w:ascii="Times New Roman;serif" w:hAnsi="Times New Roman;serif"/>
          <w:b w:val="false"/>
          <w:sz w:val="20"/>
        </w:rPr>
        <w:t>Gogo Inc. (“Gogo,” the “Company,” “we,” “us,” or “our”)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approximately mid-year 2024.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(“Gogo Galileo”). The service will use an electronically steered antenna, specifically designed to address a broad range of business aviation aircraft, operating on a low earth orbit (“LEO”) satellite network and is targeted for commercial launch in the second half of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 </w:t>
      </w:r>
      <w:r>
        <w:rPr>
          <w:rFonts w:ascii="Times New Roman;serif" w:hAnsi="Times New Roman;serif"/>
          <w:b w:val="false"/>
          <w:sz w:val="20"/>
        </w:rPr>
        <w:t>The accompanying Unaudited Condensed Consolidated Financial Statements and notes have been prepared in accordance 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2022 as filed with the Securities and Exchange Commission (the “SEC”) on February 28, 2023 (the “2022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results of operations and cash flows for the three- and six-month periods ended June 30, 2023 are not necessarily indicative of the results that may be expected for the fiscal year ending December 31, 2023.</w:t>
      </w:r>
    </w:p>
    <w:p>
      <w:pPr>
        <w:pStyle w:val="TextBody"/>
        <w:bidi w:val="0"/>
        <w:spacing w:before="120" w:after="0"/>
        <w:jc w:val="left"/>
        <w:rPr>
          <w:rFonts w:ascii="Times New Roman" w:hAnsi="Times New Roman"/>
          <w:sz w:val="20"/>
        </w:rPr>
      </w:pPr>
      <w:r>
        <w:rPr>
          <w:rFonts w:ascii="Times New Roman;serif" w:hAnsi="Times New Roman;serif"/>
          <w:b w:val="false"/>
          <w:sz w:val="20"/>
        </w:rPr>
        <w:t>We had one</w:t>
      </w:r>
      <w:r>
        <w:rPr>
          <w:rFonts w:ascii="Times New Roman" w:hAnsi="Times New Roman"/>
          <w:sz w:val="20"/>
        </w:rPr>
        <w:t xml:space="preserve"> </w:t>
      </w:r>
      <w:r>
        <w:rPr>
          <w:rFonts w:ascii="Times New Roman;serif" w:hAnsi="Times New Roman;serif"/>
          <w:b w:val="false"/>
          <w:sz w:val="20"/>
        </w:rPr>
        <w:t>class of common stock outstanding as of June 30, 2023 and December 31, 2022.</w:t>
      </w:r>
    </w:p>
    <w:p>
      <w:pPr>
        <w:pStyle w:val="TextBody"/>
        <w:bidi w:val="0"/>
        <w:spacing w:before="12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 </w:t>
      </w:r>
      <w:r>
        <w:rPr>
          <w:rFonts w:ascii="Times New Roman;serif" w:hAnsi="Times New Roman;serif"/>
          <w:b w:val="false"/>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pStyle w:val="TextBody"/>
        <w:bidi w:val="0"/>
        <w:spacing w:before="120" w:after="0"/>
        <w:jc w:val="left"/>
        <w:rPr>
          <w:rFonts w:ascii="Times New Roman" w:hAnsi="Times New Roman"/>
          <w:sz w:val="20"/>
        </w:rPr>
      </w:pPr>
      <w:r>
        <w:rPr>
          <w:rFonts w:ascii="Times New Roman;serif" w:hAnsi="Times New Roman;serif"/>
          <w:b/>
          <w:i/>
          <w:sz w:val="20"/>
        </w:rPr>
        <w:t>Federal Communications Commission's (“FCC”) Secure and Trusted Communications Networks Reimbursement Program (the “FCC Reimbursement Program”)</w:t>
      </w:r>
      <w:r>
        <w:rPr>
          <w:rFonts w:ascii="Times New Roman" w:hAnsi="Times New Roman"/>
          <w:sz w:val="20"/>
        </w:rPr>
        <w:t xml:space="preserve"> – </w:t>
      </w:r>
      <w:r>
        <w:rPr>
          <w:rFonts w:ascii="Times New Roman;serif" w:hAnsi="Times New Roman;serif"/>
          <w:b w:val="false"/>
          <w:sz w:val="20"/>
        </w:rPr>
        <w:t xml:space="preserve">In July 2023, the Company elected to participate the FCC Reimbursement Program. There is no applicable authoritative guidance under GAAP to account for this government grant. Therefore, we have elected to apply International Accounting Standard (“IAS”) 20 </w:t>
      </w:r>
      <w:r>
        <w:rPr>
          <w:rFonts w:ascii="Times New Roman;serif" w:hAnsi="Times New Roman;serif"/>
          <w:b w:val="false"/>
          <w:i/>
          <w:sz w:val="20"/>
        </w:rPr>
        <w:t xml:space="preserve">Accounting for Government Grants and Disclosure of Government Assistance </w:t>
      </w:r>
      <w:r>
        <w:rPr>
          <w:rFonts w:ascii="Times New Roman;serif" w:hAnsi="Times New Roman;serif"/>
          <w:b w:val="false"/>
          <w:sz w:val="20"/>
        </w:rPr>
        <w:t>by analogy. Under IAS 20, government grants related to assets are presented as either deferred income that is recognized on a systematic basis over the useful life of the asset or by deducting the grant from the carrying value of the asset. The Company has elected to deduct the grant from the carrying value of the asset. For grants related to income, the Company has elected to recognize these grants as a deduction from the related expense. Grant receivables from the FCC are recorded by the Company once there is reasonable assurance that we will comply with the conditions of the grant and the grant will be received. See Note 16, “Government Assistance,” for additional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As a result of our determination to participate in the FCC Reimbursement Program, we reassessed and shortened the estimated useful lives of affected network equipment to be consistent with our estimated date to complete the program. This change in accounting estimate was effective beginning the second quarter of 2023 and resulted in increased depreciation expense of $1.7</w:t>
      </w:r>
      <w:r>
        <w:rPr>
          <w:rFonts w:ascii="Times New Roman" w:hAnsi="Times New Roman"/>
          <w:sz w:val="20"/>
        </w:rPr>
        <w:t xml:space="preserve"> </w:t>
      </w:r>
      <w:r>
        <w:rPr>
          <w:rFonts w:ascii="Times New Roman;serif" w:hAnsi="Times New Roman;serif"/>
          <w:b w:val="false"/>
          <w:sz w:val="20"/>
        </w:rPr>
        <w:t>million for the three- and six-month periods ended June 30, 2023. Net income per basic and diluted share decreased by $0.01, respectively, for both the three- and six-month periods ended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Shareholder Rights Plan</w:t>
      </w:r>
      <w:r>
        <w:rPr>
          <w:rFonts w:ascii="Times New Roman" w:hAnsi="Times New Roman"/>
          <w:sz w:val="20"/>
        </w:rPr>
        <w:t xml:space="preserve"> – </w:t>
      </w:r>
      <w:r>
        <w:rPr>
          <w:rFonts w:ascii="Times New Roman;serif" w:hAnsi="Times New Roman;serif"/>
          <w:b w:val="false"/>
          <w:sz w:val="20"/>
        </w:rPr>
        <w:t>On September 23, 2020, our Board of Directors adopted a Section 382 Rights Agreement (the “Rights Agreement”), between the Company and Computershare Trust Company, N.A., as rights agent. The Rights Agreement is intended to reduce the likelihood of an ownership change under Section 382 of the Internal Revenue Code of 1986, as amended, by deterring any person or group from acquiring beneficial ownership of 4.9% or more of the shares of the Company’s common stock then-outstanding. On April 27, 2023,</w:t>
      </w:r>
      <w:r>
        <w:rPr>
          <w:rFonts w:ascii="Times New Roman" w:hAnsi="Times New Roman"/>
          <w:sz w:val="20"/>
        </w:rPr>
        <w:t xml:space="preserve"> </w:t>
      </w:r>
      <w:r>
        <w:rPr>
          <w:rFonts w:ascii="Times New Roman;serif" w:hAnsi="Times New Roman;serif"/>
          <w:b w:val="false"/>
          <w:sz w:val="20"/>
        </w:rPr>
        <w:t>the Board of Directors granted a request by the Vanguard Group Inc. (“Vanguard”) that it be deemed an “Exempt Person” under the Rights Agreement, subject to Vanguard satisfying certain ownership conditions, including that neither Vanguard nor any subsidiary or individual fund will have an economic interest of 4.9% or more of the Company’s common stock. The Rights Agreement expires on September 23, 2023 and the Board of Directors has voted not to renew the agreement.</w:t>
      </w:r>
    </w:p>
    <w:p>
      <w:pPr>
        <w:pStyle w:val="TextBody"/>
        <w:bidi w:val="0"/>
        <w:spacing w:before="240" w:after="0"/>
        <w:jc w:val="left"/>
        <w:rPr>
          <w:rFonts w:ascii="Times New Roman" w:hAnsi="Times New Roman"/>
          <w:b/>
          <w:sz w:val="20"/>
        </w:rPr>
      </w:pPr>
      <w:r>
        <w:rPr>
          <w:rFonts w:ascii="Times New Roman" w:hAnsi="Times New Roman"/>
          <w:b/>
          <w:sz w:val="20"/>
        </w:rPr>
        <w:t>2.</w:t>
      </w:r>
    </w:p>
    <w:p>
      <w:pPr>
        <w:pStyle w:val="TextBody"/>
        <w:bidi w:val="0"/>
        <w:spacing w:before="240" w:after="283"/>
        <w:jc w:val="left"/>
        <w:rPr>
          <w:rFonts w:ascii="Times New Roman;serif" w:hAnsi="Times New Roman;serif"/>
          <w:b/>
          <w:sz w:val="20"/>
        </w:rPr>
      </w:pPr>
      <w:r>
        <w:rPr>
          <w:rFonts w:ascii="Times New Roman;serif" w:hAnsi="Times New Roman;serif"/>
          <w:b/>
          <w:sz w:val="20"/>
        </w:rPr>
        <w:t>Revenue Recognition</w:t>
      </w:r>
    </w:p>
    <w:p>
      <w:pPr>
        <w:pStyle w:val="TextBody"/>
        <w:bidi w:val="0"/>
        <w:spacing w:before="120" w:after="0"/>
        <w:jc w:val="left"/>
        <w:rPr>
          <w:rFonts w:ascii="Times New Roman" w:hAnsi="Times New Roman"/>
          <w:sz w:val="20"/>
        </w:rPr>
      </w:pPr>
      <w:r>
        <w:rPr>
          <w:rFonts w:ascii="Times New Roman;serif" w:hAnsi="Times New Roman;serif"/>
          <w:b/>
          <w:sz w:val="20"/>
        </w:rPr>
        <w:t>Remaining performance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aggregate amount of the transaction price in our contracts allocated to the remaining unsatisfied performance obligations (“RPO”) was approximately $83</w:t>
      </w:r>
      <w:r>
        <w:rPr>
          <w:rFonts w:ascii="Times New Roman" w:hAnsi="Times New Roman"/>
          <w:sz w:val="20"/>
        </w:rPr>
        <w:t xml:space="preserve"> </w:t>
      </w:r>
      <w:r>
        <w:rPr>
          <w:rFonts w:ascii="Times New Roman;serif" w:hAnsi="Times New Roman;serif"/>
          <w:b w:val="false"/>
          <w:sz w:val="20"/>
        </w:rPr>
        <w:t>million and excludes consideration from contracts that have an original duration of one year or less. Approximately $69</w:t>
      </w:r>
      <w:r>
        <w:rPr>
          <w:rFonts w:ascii="Times New Roman" w:hAnsi="Times New Roman"/>
          <w:sz w:val="20"/>
        </w:rPr>
        <w:t xml:space="preserve"> </w:t>
      </w:r>
      <w:r>
        <w:rPr>
          <w:rFonts w:ascii="Times New Roman;serif" w:hAnsi="Times New Roman;serif"/>
          <w:b w:val="false"/>
          <w:sz w:val="20"/>
        </w:rPr>
        <w:t>million of the RPO primarily represents connectivity and entertainment service revenues which are recognized as services are provided, which is expected to occur through the remaining term of the contracts. The remaining $14</w:t>
      </w:r>
      <w:r>
        <w:rPr>
          <w:rFonts w:ascii="Times New Roman" w:hAnsi="Times New Roman"/>
          <w:sz w:val="20"/>
        </w:rPr>
        <w:t xml:space="preserve"> </w:t>
      </w:r>
      <w:r>
        <w:rPr>
          <w:rFonts w:ascii="Times New Roman;serif" w:hAnsi="Times New Roman;serif"/>
          <w:b w:val="false"/>
          <w:sz w:val="20"/>
        </w:rPr>
        <w:t>million of the RPO represents future equipment revenue that is expected to be recognized primarily within the next two years.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Disaggregation of revenue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following table presents our revenue disaggregated by category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8452" w:type="dxa"/>
        <w:jc w:val="left"/>
        <w:tblInd w:w="0" w:type="dxa"/>
        <w:tblLayout w:type="fixed"/>
        <w:tblCellMar>
          <w:top w:w="28" w:type="dxa"/>
          <w:left w:w="28" w:type="dxa"/>
          <w:bottom w:w="28" w:type="dxa"/>
          <w:right w:w="28" w:type="dxa"/>
        </w:tblCellMar>
      </w:tblPr>
      <w:tblGrid>
        <w:gridCol w:w="3376"/>
        <w:gridCol w:w="146"/>
        <w:gridCol w:w="211"/>
        <w:gridCol w:w="781"/>
        <w:gridCol w:w="146"/>
        <w:gridCol w:w="146"/>
        <w:gridCol w:w="211"/>
        <w:gridCol w:w="676"/>
        <w:gridCol w:w="146"/>
        <w:gridCol w:w="146"/>
        <w:gridCol w:w="211"/>
        <w:gridCol w:w="781"/>
        <w:gridCol w:w="146"/>
        <w:gridCol w:w="146"/>
        <w:gridCol w:w="211"/>
        <w:gridCol w:w="78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Service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Connectivity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77,799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141,330</w:t>
            </w:r>
          </w:p>
        </w:tc>
        <w:tc>
          <w:tcPr>
            <w:tcW w:w="19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Entertainment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143,731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Equipment 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ATG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38,642</w:t>
            </w:r>
          </w:p>
        </w:tc>
        <w:tc>
          <w:tcPr>
            <w:tcW w:w="19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Narrowband satellite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5,553</w:t>
            </w:r>
          </w:p>
        </w:tc>
        <w:tc>
          <w:tcPr>
            <w:tcW w:w="19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equipment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Customer type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Aircraft owner/operator/service provider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143,731</w:t>
            </w:r>
          </w:p>
        </w:tc>
        <w:tc>
          <w:tcPr>
            <w:tcW w:w="19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OEM and aftermarket dealer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190,586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sz w:val="20"/>
        </w:rPr>
      </w:pPr>
      <w:r>
        <w:rPr>
          <w:rFonts w:ascii="Times New Roman;serif" w:hAnsi="Times New Roman;serif"/>
          <w:b/>
          <w:sz w:val="20"/>
        </w:rPr>
        <w:t>Contract balances</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and non-current contract asset balances totaled $20.3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$19.9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Contract assets represent the aggregate amount of revenue recognized in excess of billings primarily for certain sales programs.</w:t>
      </w:r>
    </w:p>
    <w:p>
      <w:pPr>
        <w:pStyle w:val="TextBody"/>
        <w:bidi w:val="0"/>
        <w:spacing w:before="120" w:after="0"/>
        <w:jc w:val="left"/>
        <w:rPr>
          <w:rFonts w:ascii="Times New Roman" w:hAnsi="Times New Roman"/>
          <w:sz w:val="20"/>
        </w:rPr>
      </w:pPr>
      <w:r>
        <w:rPr>
          <w:rFonts w:ascii="Times New Roman;serif" w:hAnsi="Times New Roman;serif"/>
          <w:b w:val="false"/>
          <w:sz w:val="20"/>
        </w:rPr>
        <w:t>Our current and non-current deferred revenue balances totaled $1.9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Deferred revenue includes, among other things, prepayments for equipment and subscription connectivity products.</w:t>
      </w:r>
    </w:p>
    <w:p>
      <w:pPr>
        <w:pStyle w:val="TextBody"/>
        <w:bidi w:val="0"/>
        <w:spacing w:before="120" w:after="0"/>
        <w:jc w:val="left"/>
        <w:rPr>
          <w:rFonts w:ascii="Times New Roman;serif" w:hAnsi="Times New Roman;serif"/>
          <w:b/>
          <w:sz w:val="20"/>
        </w:rPr>
      </w:pPr>
      <w:r>
        <w:rPr>
          <w:rFonts w:ascii="Times New Roman;serif" w:hAnsi="Times New Roman;serif"/>
          <w:b/>
          <w:sz w:val="20"/>
        </w:rPr>
        <w:t>Major Customers</w:t>
      </w:r>
    </w:p>
    <w:p>
      <w:pPr>
        <w:pStyle w:val="TextBody"/>
        <w:bidi w:val="0"/>
        <w:spacing w:before="12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customer accounted for more than 10% of total revenue during the three- and six-month periods ended June 30, 2023 and 2022 and no</w:t>
      </w:r>
      <w:r>
        <w:rPr>
          <w:rFonts w:ascii="Times New Roman" w:hAnsi="Times New Roman"/>
          <w:sz w:val="20"/>
        </w:rPr>
        <w:t xml:space="preserve"> </w:t>
      </w:r>
      <w:r>
        <w:rPr>
          <w:rFonts w:ascii="Times New Roman;serif" w:hAnsi="Times New Roman;serif"/>
          <w:b w:val="false"/>
          <w:sz w:val="20"/>
        </w:rPr>
        <w:t>customer accounted for more than 10% of accounts receivable as of June 30, 2023 or December 31,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3.</w:t>
      </w:r>
    </w:p>
    <w:p>
      <w:pPr>
        <w:pStyle w:val="TextBody"/>
        <w:bidi w:val="0"/>
        <w:spacing w:before="240" w:after="283"/>
        <w:jc w:val="left"/>
        <w:rPr>
          <w:rFonts w:ascii="Times New Roman;serif" w:hAnsi="Times New Roman;serif"/>
          <w:b/>
          <w:sz w:val="20"/>
        </w:rPr>
      </w:pPr>
      <w:r>
        <w:rPr>
          <w:rFonts w:ascii="Times New Roman;serif" w:hAnsi="Times New Roman;serif"/>
          <w:b/>
          <w:sz w:val="20"/>
        </w:rPr>
        <w:t>Earnings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and diluted earnings per share have been calculated using the weighted average number of common shares outstanding for the period.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shares of common stock effectively repurchased in connection with the Forward Transactions (as defined and described in Note 6, “Long-Term Debt and Other Liabilities”) were considered participating securities requiring the two-class method to calculate basic and diluted earnings per share. Net earnings were allocated between common shares and participating securities on a one-to-one basis. Refer to Note 6, “Long-Term Debt and Other Liabilities,” for further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The diluted earnings per share calculations exclude the effect of stock options, deferred stock units, restricted stock units and convertible notes when the computation is anti-dilutive. For the three- and six-month periods ended June 30, 2023, the weighted average number of shares excluded from the computation was 1.8</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respectively. For both the three- and six-month periods ended June 30, 2022, the weighted average number of shares excluded from the computation was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computation of basic and diluted earnings per share for the three- and six-month periods ended June 30, 2023 and 2022; however, for the reasons described above, while outstanding, the shares of common stock associated with the Forward Transactions were excluded from the computation of basic earnings per share (</w:t>
      </w:r>
      <w:r>
        <w:rPr>
          <w:rFonts w:ascii="Times New Roman;serif" w:hAnsi="Times New Roman;serif"/>
          <w:b w:val="false"/>
          <w:i/>
          <w:sz w:val="20"/>
        </w:rPr>
        <w:t>in thousands, except per share amounts</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81"/>
        <w:gridCol w:w="281"/>
        <w:gridCol w:w="820"/>
        <w:gridCol w:w="146"/>
        <w:gridCol w:w="146"/>
        <w:gridCol w:w="240"/>
        <w:gridCol w:w="996"/>
        <w:gridCol w:w="146"/>
        <w:gridCol w:w="146"/>
        <w:gridCol w:w="307"/>
        <w:gridCol w:w="639"/>
        <w:gridCol w:w="146"/>
        <w:gridCol w:w="146"/>
        <w:gridCol w:w="281"/>
        <w:gridCol w:w="820"/>
        <w:gridCol w:w="146"/>
        <w:gridCol w:w="146"/>
        <w:gridCol w:w="240"/>
        <w:gridCol w:w="996"/>
        <w:gridCol w:w="146"/>
        <w:gridCol w:w="146"/>
        <w:gridCol w:w="307"/>
        <w:gridCol w:w="639"/>
        <w:gridCol w:w="198"/>
      </w:tblGrid>
      <w:tr>
        <w:trPr/>
        <w:tc>
          <w:tcPr>
            <w:tcW w:w="19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pPr>
            <w:r>
              <w:rPr/>
              <w:t> </w:t>
            </w:r>
          </w:p>
        </w:tc>
        <w:tc>
          <w:tcPr>
            <w:tcW w:w="802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Three Months Ended June 30,</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386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6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 (Numerator)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 (Denominator)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 Share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 (Numerator)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 (Denominator)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 Share Amount</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Net income</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89,849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22,017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Less: participation rights on Forward Transactions</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Basic earnings per share</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Undistributed income</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89,849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129,814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21,953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123,252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0.18</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Effect of dilutive securities</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w:t>
            </w:r>
          </w:p>
        </w:tc>
        <w:tc>
          <w:tcPr>
            <w:tcW w:w="28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2022 Convertible Notes</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6,405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Diluted earnings per share</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Undistributed income and assumed conversions</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89,849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133,228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134,718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0.17</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Earnings per share - basic</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0.69</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0.18</w:t>
            </w:r>
          </w:p>
        </w:tc>
        <w:tc>
          <w:tcPr>
            <w:tcW w:w="19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Earnings per share - diluted</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0.67</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0.17</w:t>
            </w:r>
          </w:p>
        </w:tc>
        <w:tc>
          <w:tcPr>
            <w:tcW w:w="19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81"/>
        <w:gridCol w:w="254"/>
        <w:gridCol w:w="847"/>
        <w:gridCol w:w="146"/>
        <w:gridCol w:w="146"/>
        <w:gridCol w:w="240"/>
        <w:gridCol w:w="996"/>
        <w:gridCol w:w="146"/>
        <w:gridCol w:w="146"/>
        <w:gridCol w:w="307"/>
        <w:gridCol w:w="639"/>
        <w:gridCol w:w="146"/>
        <w:gridCol w:w="146"/>
        <w:gridCol w:w="281"/>
        <w:gridCol w:w="820"/>
        <w:gridCol w:w="146"/>
        <w:gridCol w:w="146"/>
        <w:gridCol w:w="240"/>
        <w:gridCol w:w="996"/>
        <w:gridCol w:w="146"/>
        <w:gridCol w:w="146"/>
        <w:gridCol w:w="307"/>
        <w:gridCol w:w="639"/>
        <w:gridCol w:w="198"/>
      </w:tblGrid>
      <w:tr>
        <w:trPr/>
        <w:tc>
          <w:tcPr>
            <w:tcW w:w="19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0"/>
              <w:ind w:left="0" w:right="0" w:hanging="0"/>
              <w:jc w:val="left"/>
              <w:rPr/>
            </w:pPr>
            <w:r>
              <w:rPr/>
              <w:t> </w:t>
            </w:r>
          </w:p>
        </w:tc>
        <w:tc>
          <w:tcPr>
            <w:tcW w:w="802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For the Six Months Ended June 30,</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386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867"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2022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 (Numerator)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 (Denominator)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 Share 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 (Numerator)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Shares (Denominator)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 Share Amount</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Net income</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Less: participation rights on Forward Transactions</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Basic earnings per share</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Undistributed income</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129,467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117,375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0.38</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Effect of dilutive securities</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w:t>
            </w:r>
          </w:p>
        </w:tc>
        <w:tc>
          <w:tcPr>
            <w:tcW w:w="254"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2022 Convertible Notes</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11,644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Diluted earnings per share</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Undistributed income and assumed conversions</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47"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110,298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133,407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46,810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96"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134,474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0.35</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98" w:type="dxa"/>
            <w:tcBorders/>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Earnings per share - basic</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0.85</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0.38</w:t>
            </w:r>
          </w:p>
        </w:tc>
        <w:tc>
          <w:tcPr>
            <w:tcW w:w="19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Earnings. per share - diluted</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0.83</w:t>
            </w:r>
          </w:p>
        </w:tc>
        <w:tc>
          <w:tcPr>
            <w:tcW w:w="14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0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7"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39"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0.35</w:t>
            </w:r>
          </w:p>
        </w:tc>
        <w:tc>
          <w:tcPr>
            <w:tcW w:w="198"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4.</w:t>
      </w:r>
    </w:p>
    <w:p>
      <w:pPr>
        <w:pStyle w:val="TextBody"/>
        <w:bidi w:val="0"/>
        <w:spacing w:before="240" w:after="283"/>
        <w:jc w:val="left"/>
        <w:rPr>
          <w:rFonts w:ascii="Times New Roman;serif" w:hAnsi="Times New Roman;serif"/>
          <w:b/>
          <w:sz w:val="20"/>
        </w:rPr>
      </w:pPr>
      <w:r>
        <w:rPr>
          <w:rFonts w:ascii="Times New Roman;serif" w:hAnsi="Times New Roman;serif"/>
          <w:b/>
          <w:sz w:val="20"/>
        </w:rPr>
        <w:t>Composition of Certain Balance Sheet Accounts</w:t>
      </w:r>
    </w:p>
    <w:p>
      <w:pPr>
        <w:pStyle w:val="TextBody"/>
        <w:bidi w:val="0"/>
        <w:spacing w:before="120" w:after="0"/>
        <w:jc w:val="left"/>
        <w:rPr>
          <w:rFonts w:ascii="Times New Roman" w:hAnsi="Times New Roman"/>
          <w:sz w:val="20"/>
        </w:rPr>
      </w:pPr>
      <w:r>
        <w:rPr>
          <w:rFonts w:ascii="Times New Roman;serif" w:hAnsi="Times New Roman;serif"/>
          <w:b w:val="false"/>
          <w:sz w:val="20"/>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 As a result of our determination to participate in the FCC Reimbursement Program (as defined and described in Note 16, “Government Assistance”), the Company wrote down the net realizable value of certain inventory by approximately $1.3</w:t>
      </w:r>
      <w:r>
        <w:rPr>
          <w:rFonts w:ascii="Times New Roman" w:hAnsi="Times New Roman"/>
          <w:sz w:val="20"/>
        </w:rPr>
        <w:t xml:space="preserve"> </w:t>
      </w:r>
      <w:r>
        <w:rPr>
          <w:rFonts w:ascii="Times New Roman;serif" w:hAnsi="Times New Roman;serif"/>
          <w:b w:val="false"/>
          <w:sz w:val="20"/>
        </w:rPr>
        <w:t>million for the six-month period ended June 30, 2023. The write-off charge is included in Cost of equipment revenue in our Unaudited Condensed Consolidated Statements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Inventories as of June 30, 2023 and December 31, 2022 were as follows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5627" w:type="dxa"/>
        <w:jc w:val="left"/>
        <w:tblInd w:w="0" w:type="dxa"/>
        <w:tblLayout w:type="fixed"/>
        <w:tblCellMar>
          <w:top w:w="28" w:type="dxa"/>
          <w:left w:w="28" w:type="dxa"/>
          <w:bottom w:w="28" w:type="dxa"/>
          <w:right w:w="28" w:type="dxa"/>
        </w:tblCellMar>
      </w:tblPr>
      <w:tblGrid>
        <w:gridCol w:w="2851"/>
        <w:gridCol w:w="146"/>
        <w:gridCol w:w="211"/>
        <w:gridCol w:w="676"/>
        <w:gridCol w:w="146"/>
        <w:gridCol w:w="146"/>
        <w:gridCol w:w="299"/>
        <w:gridCol w:w="96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 component parts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34,840</w:t>
            </w:r>
          </w:p>
        </w:tc>
        <w:tc>
          <w:tcPr>
            <w:tcW w:w="191" w:type="dxa"/>
            <w:tcBorders/>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14,653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inventory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49,493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as of June 30, 2023 and December 31, 2022 were as follows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both"/>
        <w:rPr/>
      </w:pPr>
      <w:r>
        <w:rPr/>
        <w:t> </w:t>
      </w:r>
    </w:p>
    <w:tbl>
      <w:tblPr>
        <w:tblW w:w="6707"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99"/>
        <w:gridCol w:w="96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caps and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28,496</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6,494</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2,901</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FCC reimbursement receivable </w:t>
            </w:r>
            <w:r>
              <w:rPr>
                <w:rFonts w:ascii="Times New Roman;serif" w:hAnsi="Times New Roman;serif"/>
                <w:b w:val="false"/>
                <w:i/>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60" w:after="0"/>
        <w:jc w:val="left"/>
        <w:rPr>
          <w:rFonts w:ascii="Times New Roman" w:hAnsi="Times New Roman"/>
          <w:sz w:val="20"/>
        </w:rPr>
      </w:pPr>
      <w:r>
        <w:rPr>
          <w:rFonts w:ascii="Times New Roman;serif" w:hAnsi="Times New Roman;serif"/>
          <w:b w:val="false"/>
          <w:sz w:val="20"/>
        </w:rPr>
        <w:t>(1) See Note 16, “Government Assistance,”</w:t>
      </w:r>
      <w:r>
        <w:rPr>
          <w:rFonts w:ascii="Times New Roman" w:hAnsi="Times New Roman"/>
          <w:sz w:val="20"/>
        </w:rPr>
        <w:t xml:space="preserve"> </w:t>
      </w:r>
      <w:r>
        <w:rPr>
          <w:rFonts w:ascii="Times New Roman;serif" w:hAnsi="Times New Roman;serif"/>
          <w:b w:val="false"/>
          <w:sz w:val="20"/>
        </w:rPr>
        <w:t>for additional information.</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as of June 30, 2023 and December 31, 2022 were as follows (</w:t>
      </w:r>
      <w:r>
        <w:rPr>
          <w:rFonts w:ascii="Times New Roman;serif" w:hAnsi="Times New Roman;serif"/>
          <w:b w:val="false"/>
          <w:i/>
          <w:sz w:val="20"/>
        </w:rPr>
        <w:t>in thousands</w:t>
      </w:r>
      <w:r>
        <w:rPr>
          <w:rFonts w:ascii="Times New Roman;serif" w:hAnsi="Times New Roman;serif"/>
          <w:b w:val="false"/>
          <w:sz w:val="20"/>
        </w:rPr>
        <w:t>):</w:t>
      </w:r>
      <w:r>
        <w:rPr>
          <w:rFonts w:ascii="Times New Roman" w:hAnsi="Times New Roman"/>
          <w:sz w:val="20"/>
        </w:rPr>
        <w:t xml:space="preserve"> </w:t>
      </w:r>
    </w:p>
    <w:p>
      <w:pPr>
        <w:pStyle w:val="TextBody"/>
        <w:bidi w:val="0"/>
        <w:spacing w:before="0" w:after="0"/>
        <w:jc w:val="both"/>
        <w:rPr/>
      </w:pPr>
      <w:r>
        <w:rPr/>
        <w:t> </w:t>
      </w:r>
    </w:p>
    <w:tbl>
      <w:tblPr>
        <w:tblW w:w="6822" w:type="dxa"/>
        <w:jc w:val="left"/>
        <w:tblInd w:w="0" w:type="dxa"/>
        <w:tblLayout w:type="fixed"/>
        <w:tblCellMar>
          <w:top w:w="28" w:type="dxa"/>
          <w:left w:w="28" w:type="dxa"/>
          <w:bottom w:w="28" w:type="dxa"/>
          <w:right w:w="28" w:type="dxa"/>
        </w:tblCellMar>
      </w:tblPr>
      <w:tblGrid>
        <w:gridCol w:w="3841"/>
        <w:gridCol w:w="146"/>
        <w:gridCol w:w="211"/>
        <w:gridCol w:w="841"/>
        <w:gridCol w:w="166"/>
        <w:gridCol w:w="146"/>
        <w:gridCol w:w="252"/>
        <w:gridCol w:w="1008"/>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211" w:type="dxa"/>
            <w:tcBorders/>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Office equipment, furniture, fixtures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17,242</w:t>
            </w:r>
          </w:p>
        </w:tc>
        <w:tc>
          <w:tcPr>
            <w:tcW w:w="2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15,357</w:t>
            </w:r>
          </w:p>
        </w:tc>
        <w:tc>
          <w:tcPr>
            <w:tcW w:w="2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Network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182,225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179,363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216,919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 </w:t>
            </w:r>
          </w:p>
        </w:tc>
        <w:tc>
          <w:tcPr>
            <w:tcW w:w="100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211,962</w:t>
            </w:r>
          </w:p>
        </w:tc>
        <w:tc>
          <w:tcPr>
            <w:tcW w:w="211" w:type="dxa"/>
            <w:tcBorders/>
            <w:vAlign w:val="center"/>
          </w:tcPr>
          <w:p>
            <w:pPr>
              <w:pStyle w:val="TableContents"/>
              <w:bidi w:val="0"/>
              <w:spacing w:before="0" w:after="0"/>
              <w:ind w:left="0" w:right="0" w:hanging="0"/>
              <w:jc w:val="left"/>
              <w:rPr/>
            </w:pPr>
            <w:r>
              <w:rPr/>
              <w:t> </w:t>
            </w:r>
          </w:p>
        </w:tc>
      </w:tr>
      <w:tr>
        <w:trPr/>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(113,208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104,595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Other non-current assets as of June 30, 2023 and December 31, 2022 were as follows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both"/>
        <w:rPr/>
      </w:pPr>
      <w:r>
        <w:rPr/>
        <w:t> </w:t>
      </w:r>
    </w:p>
    <w:tbl>
      <w:tblPr>
        <w:tblW w:w="8177" w:type="dxa"/>
        <w:jc w:val="left"/>
        <w:tblInd w:w="0" w:type="dxa"/>
        <w:tblLayout w:type="fixed"/>
        <w:tblCellMar>
          <w:top w:w="28" w:type="dxa"/>
          <w:left w:w="28" w:type="dxa"/>
          <w:bottom w:w="28" w:type="dxa"/>
          <w:right w:w="28" w:type="dxa"/>
        </w:tblCellMar>
      </w:tblPr>
      <w:tblGrid>
        <w:gridCol w:w="5401"/>
        <w:gridCol w:w="146"/>
        <w:gridCol w:w="211"/>
        <w:gridCol w:w="676"/>
        <w:gridCol w:w="146"/>
        <w:gridCol w:w="146"/>
        <w:gridCol w:w="299"/>
        <w:gridCol w:w="961"/>
        <w:gridCol w:w="1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Contract assets, net of allowances of $513</w:t>
            </w:r>
            <w:r>
              <w:rPr>
                <w:rFonts w:ascii="Times New Roman" w:hAnsi="Times New Roman"/>
                <w:sz w:val="20"/>
              </w:rPr>
              <w:t> </w:t>
            </w:r>
            <w:r>
              <w:rPr>
                <w:rFonts w:ascii="Times New Roman;serif" w:hAnsi="Times New Roman;serif"/>
                <w:b w:val="false"/>
                <w:sz w:val="20"/>
              </w:rPr>
              <w:t>and $501,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13,376</w:t>
            </w:r>
          </w:p>
        </w:tc>
        <w:tc>
          <w:tcPr>
            <w:tcW w:w="1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caps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25,578</w:t>
            </w:r>
          </w:p>
        </w:tc>
        <w:tc>
          <w:tcPr>
            <w:tcW w:w="1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1,445</w:t>
            </w:r>
          </w:p>
        </w:tc>
        <w:tc>
          <w:tcPr>
            <w:tcW w:w="1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43,355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Accrued liabilities as of June 30, 2023 and December 31, 2022 were as follows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5942" w:type="dxa"/>
        <w:jc w:val="left"/>
        <w:tblInd w:w="0" w:type="dxa"/>
        <w:tblLayout w:type="fixed"/>
        <w:tblCellMar>
          <w:top w:w="28" w:type="dxa"/>
          <w:left w:w="28" w:type="dxa"/>
          <w:bottom w:w="28" w:type="dxa"/>
          <w:right w:w="28" w:type="dxa"/>
        </w:tblCellMar>
      </w:tblPr>
      <w:tblGrid>
        <w:gridCol w:w="3166"/>
        <w:gridCol w:w="146"/>
        <w:gridCol w:w="211"/>
        <w:gridCol w:w="676"/>
        <w:gridCol w:w="146"/>
        <w:gridCol w:w="146"/>
        <w:gridCol w:w="299"/>
        <w:gridCol w:w="96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9,094</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Employee compensation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19,235</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Network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8,748</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2,455</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 reserve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2,300</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9,878</w:t>
            </w:r>
          </w:p>
        </w:tc>
        <w:tc>
          <w:tcPr>
            <w:tcW w:w="191" w:type="dxa"/>
            <w:tcBorders/>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60,056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5.</w:t>
      </w:r>
    </w:p>
    <w:p>
      <w:pPr>
        <w:pStyle w:val="TextBody"/>
        <w:bidi w:val="0"/>
        <w:spacing w:before="240" w:after="283"/>
        <w:jc w:val="left"/>
        <w:rPr>
          <w:rFonts w:ascii="Times New Roman;serif" w:hAnsi="Times New Roman;serif"/>
          <w:b/>
          <w:sz w:val="20"/>
        </w:rPr>
      </w:pPr>
      <w:r>
        <w:rPr>
          <w:rFonts w:ascii="Times New Roman;serif" w:hAnsi="Times New Roman;serif"/>
          <w:b/>
          <w:sz w:val="20"/>
        </w:rPr>
        <w:t>Intangible Assets</w:t>
      </w:r>
    </w:p>
    <w:p>
      <w:pPr>
        <w:pStyle w:val="TextBody"/>
        <w:bidi w:val="0"/>
        <w:spacing w:before="120" w:after="0"/>
        <w:jc w:val="left"/>
        <w:rPr>
          <w:rFonts w:ascii="Times New Roman" w:hAnsi="Times New Roman"/>
          <w:sz w:val="20"/>
        </w:rPr>
      </w:pPr>
      <w:r>
        <w:rPr>
          <w:rFonts w:ascii="Times New Roman;serif" w:hAnsi="Times New Roman;serif"/>
          <w:b w:val="false"/>
          <w:sz w:val="20"/>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2022 indicated no impairment. We also reevaluate the useful life of indefinite-lived intangible assets each reporting period to determine whether events and circumstances continue to support an indefinite useful life.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both June 30, 2023 and December 31, 2022, our goodwill balance was $0.6</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 w:hAnsi="Times New Roman"/>
          <w:sz w:val="20"/>
        </w:rPr>
      </w:pPr>
      <w:r>
        <w:rPr>
          <w:rFonts w:ascii="Times New Roman;serif" w:hAnsi="Times New Roman;serif"/>
          <w:b w:val="false"/>
          <w:sz w:val="20"/>
        </w:rPr>
        <w:t>Our intangible assets, other than goodwill, as of June 30, 2023 and December 31, 2022 were as follows (</w:t>
      </w:r>
      <w:r>
        <w:rPr>
          <w:rFonts w:ascii="Times New Roman;serif" w:hAnsi="Times New Roman;serif"/>
          <w:b w:val="false"/>
          <w:i/>
          <w:sz w:val="20"/>
        </w:rPr>
        <w:t>in thousands, except for weighted average remaining useful life</w:t>
      </w:r>
      <w:r>
        <w:rPr>
          <w:rFonts w:ascii="Times New Roman;serif" w:hAnsi="Times New Roman;serif"/>
          <w:b w:val="false"/>
          <w:sz w:val="20"/>
        </w:rPr>
        <w:t>):</w:t>
      </w:r>
    </w:p>
    <w:tbl>
      <w:tblPr>
        <w:tblW w:w="10205" w:type="dxa"/>
        <w:jc w:val="left"/>
        <w:tblInd w:w="0" w:type="dxa"/>
        <w:tblLayout w:type="fixed"/>
        <w:tblCellMar>
          <w:top w:w="28" w:type="dxa"/>
          <w:left w:w="28" w:type="dxa"/>
          <w:bottom w:w="28" w:type="dxa"/>
          <w:right w:w="28" w:type="dxa"/>
        </w:tblCellMar>
      </w:tblPr>
      <w:tblGrid>
        <w:gridCol w:w="1919"/>
        <w:gridCol w:w="146"/>
        <w:gridCol w:w="1036"/>
        <w:gridCol w:w="146"/>
        <w:gridCol w:w="901"/>
        <w:gridCol w:w="146"/>
        <w:gridCol w:w="1246"/>
        <w:gridCol w:w="146"/>
        <w:gridCol w:w="901"/>
        <w:gridCol w:w="146"/>
        <w:gridCol w:w="901"/>
        <w:gridCol w:w="146"/>
        <w:gridCol w:w="1252"/>
        <w:gridCol w:w="146"/>
        <w:gridCol w:w="1027"/>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9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340"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72"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r>
      <w:tr>
        <w:trPr/>
        <w:tc>
          <w:tcPr>
            <w:tcW w:w="19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Weighted</w:t>
              <w:br/>
              <w:t>Average</w:t>
              <w:br/>
              <w:t>Remaining</w:t>
              <w:br/>
              <w:t>Useful Life</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Accumulated</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 xml:space="preserve">Accumulated </w:t>
              <w:br/>
              <w:t>Amortization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Net</w:t>
              <w:br/>
              <w:t>Carrying</w:t>
              <w:br/>
              <w:t>Amount</w:t>
            </w:r>
          </w:p>
        </w:tc>
      </w:tr>
      <w:tr>
        <w:trPr/>
        <w:tc>
          <w:tcPr>
            <w:tcW w:w="19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Amortized intangible assets: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firstLine="200"/>
              <w:jc w:val="right"/>
              <w:rPr/>
            </w:pPr>
            <w:r>
              <w:rPr/>
              <w:t> </w:t>
            </w:r>
          </w:p>
        </w:tc>
      </w:tr>
      <w:tr>
        <w:trPr/>
        <w:tc>
          <w:tcPr>
            <w:tcW w:w="19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Software</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$62,860</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$(45,140)</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$17,720</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$59,932</w:t>
            </w:r>
          </w:p>
        </w:tc>
        <w:tc>
          <w:tcPr>
            <w:tcW w:w="146"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$(43,950)</w:t>
            </w:r>
          </w:p>
        </w:tc>
        <w:tc>
          <w:tcPr>
            <w:tcW w:w="146"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$15,982</w:t>
            </w:r>
          </w:p>
        </w:tc>
      </w:tr>
      <w:tr>
        <w:trPr/>
        <w:tc>
          <w:tcPr>
            <w:tcW w:w="19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intangible assets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46"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firstLine="200"/>
              <w:jc w:val="right"/>
              <w:rPr>
                <w:rFonts w:ascii="Times New Roman;serif" w:hAnsi="Times New Roman;serif"/>
                <w:b w:val="false"/>
                <w:sz w:val="20"/>
              </w:rPr>
            </w:pPr>
            <w:r>
              <w:rPr>
                <w:rFonts w:ascii="Times New Roman;serif" w:hAnsi="Times New Roman;serif"/>
                <w:b w:val="false"/>
                <w:sz w:val="20"/>
              </w:rPr>
              <w:t>624</w:t>
            </w:r>
          </w:p>
        </w:tc>
      </w:tr>
      <w:tr>
        <w:trPr/>
        <w:tc>
          <w:tcPr>
            <w:tcW w:w="19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 customer relationships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8,081</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(8,081)</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8,081</w:t>
            </w:r>
          </w:p>
        </w:tc>
        <w:tc>
          <w:tcPr>
            <w:tcW w:w="146"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(8,081)</w:t>
            </w:r>
          </w:p>
        </w:tc>
        <w:tc>
          <w:tcPr>
            <w:tcW w:w="146"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firstLine="200"/>
              <w:jc w:val="right"/>
              <w:rPr/>
            </w:pPr>
            <w:r>
              <w:rPr/>
              <w:t>—</w:t>
            </w:r>
          </w:p>
        </w:tc>
      </w:tr>
      <w:tr>
        <w:trPr/>
        <w:tc>
          <w:tcPr>
            <w:tcW w:w="19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OEM and dealer relationships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right"/>
              <w:rPr/>
            </w:pPr>
            <w:r>
              <w:rPr/>
              <w:t>—</w:t>
            </w:r>
          </w:p>
        </w:tc>
      </w:tr>
      <w:tr>
        <w:trPr/>
        <w:tc>
          <w:tcPr>
            <w:tcW w:w="19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amortized intangible assets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78,164</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(59,945)</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18,219</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75,361</w:t>
            </w:r>
          </w:p>
        </w:tc>
        <w:tc>
          <w:tcPr>
            <w:tcW w:w="146"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(58,755)</w:t>
            </w:r>
          </w:p>
        </w:tc>
        <w:tc>
          <w:tcPr>
            <w:tcW w:w="146"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16,606</w:t>
            </w:r>
          </w:p>
        </w:tc>
      </w:tr>
      <w:tr>
        <w:trPr/>
        <w:tc>
          <w:tcPr>
            <w:tcW w:w="19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Unamortized intangible assets: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7" w:type="dxa"/>
            <w:tcBorders/>
            <w:vAlign w:val="center"/>
          </w:tcPr>
          <w:p>
            <w:pPr>
              <w:pStyle w:val="TableContents"/>
              <w:bidi w:val="0"/>
              <w:spacing w:before="0" w:after="0"/>
              <w:ind w:left="0" w:right="0" w:firstLine="200"/>
              <w:jc w:val="right"/>
              <w:rPr/>
            </w:pPr>
            <w:r>
              <w:rPr/>
              <w:t> </w:t>
            </w:r>
          </w:p>
        </w:tc>
      </w:tr>
      <w:tr>
        <w:trPr/>
        <w:tc>
          <w:tcPr>
            <w:tcW w:w="191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FCC Licenses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32,283</w:t>
            </w:r>
          </w:p>
        </w:tc>
      </w:tr>
      <w:tr>
        <w:trPr/>
        <w:tc>
          <w:tcPr>
            <w:tcW w:w="191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intangible assets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$110,447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$48,889</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Amortization expense was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$1.2</w:t>
      </w:r>
      <w:r>
        <w:rPr>
          <w:rFonts w:ascii="Times New Roman" w:hAnsi="Times New Roman"/>
          <w:sz w:val="20"/>
        </w:rPr>
        <w:t xml:space="preserve"> </w:t>
      </w:r>
      <w:r>
        <w:rPr>
          <w:rFonts w:ascii="Times New Roman;serif" w:hAnsi="Times New Roman;serif"/>
          <w:b w:val="false"/>
          <w:sz w:val="20"/>
        </w:rPr>
        <w:t>million, respectively, for the three- and six-month periods ended June 30, 2023 and $1.5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$3.4</w:t>
      </w:r>
      <w:r>
        <w:rPr>
          <w:rFonts w:ascii="Times New Roman" w:hAnsi="Times New Roman"/>
          <w:sz w:val="20"/>
        </w:rPr>
        <w:t xml:space="preserve"> </w:t>
      </w:r>
      <w:r>
        <w:rPr>
          <w:rFonts w:ascii="Times New Roman;serif" w:hAnsi="Times New Roman;serif"/>
          <w:b w:val="false"/>
          <w:sz w:val="20"/>
        </w:rPr>
        <w:t>million, respectively, for the prior-year periods.</w:t>
      </w:r>
    </w:p>
    <w:p>
      <w:pPr>
        <w:pStyle w:val="TextBody"/>
        <w:bidi w:val="0"/>
        <w:spacing w:before="120" w:after="0"/>
        <w:jc w:val="left"/>
        <w:rPr>
          <w:rFonts w:ascii="Times New Roman" w:hAnsi="Times New Roman"/>
          <w:sz w:val="20"/>
        </w:rPr>
      </w:pPr>
      <w:r>
        <w:rPr>
          <w:rFonts w:ascii="Times New Roman;serif" w:hAnsi="Times New Roman;serif"/>
          <w:b w:val="false"/>
          <w:sz w:val="20"/>
        </w:rPr>
        <w:t>Amortization expense for the remainder of 2023, each of the next four years and thereafter is estimated to be as follows (</w:t>
      </w:r>
      <w:r>
        <w:rPr>
          <w:rFonts w:ascii="Times New Roman;serif" w:hAnsi="Times New Roman;serif"/>
          <w:b w:val="false"/>
          <w:i/>
          <w:sz w:val="20"/>
        </w:rPr>
        <w:t>in thousands</w:t>
      </w:r>
      <w:r>
        <w:rPr>
          <w:rFonts w:ascii="Times New Roman;serif" w:hAnsi="Times New Roman;serif"/>
          <w:b w:val="false"/>
          <w:sz w:val="20"/>
        </w:rPr>
        <w:t>):</w:t>
      </w:r>
    </w:p>
    <w:tbl>
      <w:tblPr>
        <w:tblW w:w="4948" w:type="dxa"/>
        <w:jc w:val="left"/>
        <w:tblInd w:w="0" w:type="dxa"/>
        <w:tblLayout w:type="fixed"/>
        <w:tblCellMar>
          <w:top w:w="28" w:type="dxa"/>
          <w:left w:w="28" w:type="dxa"/>
          <w:bottom w:w="28" w:type="dxa"/>
          <w:right w:w="28" w:type="dxa"/>
        </w:tblCellMar>
      </w:tblPr>
      <w:tblGrid>
        <w:gridCol w:w="3511"/>
        <w:gridCol w:w="146"/>
        <w:gridCol w:w="12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Amortization</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Years ending December 31,</w:t>
            </w:r>
          </w:p>
        </w:tc>
        <w:tc>
          <w:tcPr>
            <w:tcW w:w="146" w:type="dxa"/>
            <w:tcBorders/>
            <w:vAlign w:val="center"/>
          </w:tcPr>
          <w:p>
            <w:pPr>
              <w:pStyle w:val="TableContents"/>
              <w:bidi w:val="0"/>
              <w:spacing w:before="0" w:after="0"/>
              <w:ind w:left="0" w:right="0" w:hanging="0"/>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Expense</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(period from July 1 to December 31)</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$1,329</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$2,688</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$2,586</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$2,482</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$6,843</w:t>
            </w:r>
          </w:p>
        </w:tc>
      </w:tr>
    </w:tbl>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Actual future amortization expense could differ from the estimated amount as a result of future investments and other factors.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6.</w:t>
      </w:r>
    </w:p>
    <w:p>
      <w:pPr>
        <w:pStyle w:val="TextBody"/>
        <w:bidi w:val="0"/>
        <w:spacing w:before="240" w:after="283"/>
        <w:jc w:val="left"/>
        <w:rPr>
          <w:rFonts w:ascii="Times New Roman;serif" w:hAnsi="Times New Roman;serif"/>
          <w:b/>
          <w:sz w:val="20"/>
        </w:rPr>
      </w:pPr>
      <w:r>
        <w:rPr>
          <w:rFonts w:ascii="Times New Roman;serif" w:hAnsi="Times New Roman;serif"/>
          <w:b/>
          <w:sz w:val="20"/>
        </w:rPr>
        <w:t>Long-Term Debt and Other Liabilities</w:t>
      </w:r>
    </w:p>
    <w:p>
      <w:pPr>
        <w:pStyle w:val="TextBody"/>
        <w:bidi w:val="0"/>
        <w:spacing w:before="120" w:after="0"/>
        <w:jc w:val="left"/>
        <w:rPr>
          <w:rFonts w:ascii="Times New Roman" w:hAnsi="Times New Roman"/>
          <w:sz w:val="20"/>
        </w:rPr>
      </w:pPr>
      <w:r>
        <w:rPr>
          <w:rFonts w:ascii="Times New Roman;serif" w:hAnsi="Times New Roman;serif"/>
          <w:b w:val="false"/>
          <w:sz w:val="20"/>
        </w:rPr>
        <w:t>Long-term debt as of June 30, 2023 and December 31, 2022 was as follows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6377" w:type="dxa"/>
        <w:jc w:val="left"/>
        <w:tblInd w:w="0" w:type="dxa"/>
        <w:tblLayout w:type="fixed"/>
        <w:tblCellMar>
          <w:top w:w="28" w:type="dxa"/>
          <w:left w:w="28" w:type="dxa"/>
          <w:bottom w:w="28" w:type="dxa"/>
          <w:right w:w="28" w:type="dxa"/>
        </w:tblCellMar>
      </w:tblPr>
      <w:tblGrid>
        <w:gridCol w:w="3256"/>
        <w:gridCol w:w="146"/>
        <w:gridCol w:w="211"/>
        <w:gridCol w:w="781"/>
        <w:gridCol w:w="166"/>
        <w:gridCol w:w="146"/>
        <w:gridCol w:w="268"/>
        <w:gridCol w:w="992"/>
        <w:gridCol w:w="4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411" w:type="dxa"/>
            <w:tcBorders/>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Facility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608,238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711,263</w:t>
            </w:r>
          </w:p>
        </w:tc>
        <w:tc>
          <w:tcPr>
            <w:tcW w:w="411" w:type="dxa"/>
            <w:tcBorders/>
            <w:vAlign w:val="center"/>
          </w:tcPr>
          <w:p>
            <w:pPr>
              <w:pStyle w:val="TableContents"/>
              <w:bidi w:val="0"/>
              <w:spacing w:before="0" w:after="0"/>
              <w:ind w:left="0" w:right="0" w:firstLine="200"/>
              <w:jc w:val="left"/>
              <w:rPr/>
            </w:pPr>
            <w:r>
              <w:rPr/>
              <w:t> </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long-term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590,051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690,173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2021 Credit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“Term Loan Facility”) in an aggregate principal amount of $725.0</w:t>
      </w:r>
      <w:r>
        <w:rPr>
          <w:rFonts w:ascii="Times New Roman" w:hAnsi="Times New Roman"/>
          <w:sz w:val="20"/>
        </w:rPr>
        <w:t xml:space="preserve"> </w:t>
      </w:r>
      <w:r>
        <w:rPr>
          <w:rFonts w:ascii="Times New Roman;serif" w:hAnsi="Times New Roman;serif"/>
          <w:b w:val="false"/>
          <w:sz w:val="20"/>
        </w:rPr>
        <w:t>million, issued with a discount of 0.5%, and (ii) a revolving credit facility (the “Revolving Facility” and together with the Term Loan Facility, the “Facilities”) of up to $100.0</w:t>
      </w:r>
      <w:r>
        <w:rPr>
          <w:rFonts w:ascii="Times New Roman" w:hAnsi="Times New Roman"/>
          <w:sz w:val="20"/>
        </w:rPr>
        <w:t xml:space="preserve"> </w:t>
      </w:r>
      <w:r>
        <w:rPr>
          <w:rFonts w:ascii="Times New Roman;serif" w:hAnsi="Times New Roman;serif"/>
          <w:b w:val="false"/>
          <w:sz w:val="20"/>
        </w:rPr>
        <w:t>million, which includes a letter of credit sub-facility.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secured overnight financing rate as administered by the Federal Reserve Bank of New York (“SOFR”), plus a credit spread adjustment recommended by the Alternative Reference Rates Committee. We elected to apply the optional expedient within ASC 848, </w:t>
      </w:r>
      <w:r>
        <w:rPr>
          <w:rFonts w:ascii="Times New Roman;serif" w:hAnsi="Times New Roman;serif"/>
          <w:b w:val="false"/>
          <w:i/>
          <w:sz w:val="20"/>
        </w:rPr>
        <w:t>Facilitation of the Effects of Reference Rate Reform on Financial Reporting</w:t>
      </w:r>
      <w:r>
        <w:rPr>
          <w:rFonts w:ascii="Times New Roman;serif" w:hAnsi="Times New Roman;serif"/>
          <w:b w:val="false"/>
          <w:sz w:val="20"/>
        </w:rPr>
        <w:t>, to conclude that this modification was not substantial and did not have a material impact to our condensed consolidated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pStyle w:val="TextBody"/>
        <w:bidi w:val="0"/>
        <w:spacing w:before="120" w:after="0"/>
        <w:jc w:val="left"/>
        <w:rPr>
          <w:rFonts w:ascii="Times New Roman" w:hAnsi="Times New Roman"/>
          <w:sz w:val="20"/>
        </w:rPr>
      </w:pPr>
      <w:r>
        <w:rPr>
          <w:rFonts w:ascii="Times New Roman;serif" w:hAnsi="Times New Roman;serif"/>
          <w:b w:val="false"/>
          <w:sz w:val="20"/>
        </w:rPr>
        <w:t>The Term Loan Facility bears annual interest at a floating rate measured by reference to, at GIH’s option, either (i)</w:t>
      </w:r>
      <w:r>
        <w:rPr>
          <w:rFonts w:ascii="Times New Roman" w:hAnsi="Times New Roman"/>
          <w:sz w:val="20"/>
        </w:rPr>
        <w:t xml:space="preserve"> </w:t>
      </w:r>
      <w:r>
        <w:rPr>
          <w:rFonts w:ascii="Times New Roman;serif" w:hAnsi="Times New Roman;serif"/>
          <w:b w:val="false"/>
          <w:sz w:val="20"/>
        </w:rPr>
        <w:t>an adjusted term SOFR rate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Loans outstanding under the Revolving Facility bear annual interest at a floating rate measured by reference to, at GIH’s option, either (i)</w:t>
      </w:r>
      <w:r>
        <w:rPr>
          <w:rFonts w:ascii="Times New Roman" w:hAnsi="Times New Roman"/>
          <w:sz w:val="20"/>
        </w:rPr>
        <w:t xml:space="preserve"> </w:t>
      </w:r>
      <w:r>
        <w:rPr>
          <w:rFonts w:ascii="Times New Roman;serif" w:hAnsi="Times New Roman;serif"/>
          <w:b w:val="false"/>
          <w:sz w:val="20"/>
        </w:rPr>
        <w:t>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June 30, 2023, the fee for unused commitments under the Revolving Facility was 0.25% and the applicable margin was 3.25%.</w:t>
      </w:r>
    </w:p>
    <w:p>
      <w:pPr>
        <w:pStyle w:val="TextBody"/>
        <w:bidi w:val="0"/>
        <w:spacing w:before="120" w:after="0"/>
        <w:jc w:val="left"/>
        <w:rPr>
          <w:rFonts w:ascii="Times New Roman" w:hAnsi="Times New Roman"/>
          <w:sz w:val="20"/>
        </w:rPr>
      </w:pPr>
      <w:r>
        <w:rPr>
          <w:rFonts w:ascii="Times New Roman;serif" w:hAnsi="Times New Roman;serif"/>
          <w:b w:val="false"/>
          <w:sz w:val="20"/>
        </w:rPr>
        <w:t>The Facilities may be prepaid at GIH’s option at any time without premium or penalty (other than customary breakage costs), subject to minimum principal payment amount requirements. On May 3, 2023, the Company prepaid $100</w:t>
      </w:r>
      <w:r>
        <w:rPr>
          <w:rFonts w:ascii="Times New Roman" w:hAnsi="Times New Roman"/>
          <w:sz w:val="20"/>
        </w:rPr>
        <w:t xml:space="preserve"> </w:t>
      </w:r>
      <w:r>
        <w:rPr>
          <w:rFonts w:ascii="Times New Roman;serif" w:hAnsi="Times New Roman;serif"/>
          <w:b w:val="false"/>
          <w:sz w:val="20"/>
        </w:rPr>
        <w:t>million of the outstanding principal amount of the Term Loan Facility. As a result, we wrote off $2.2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the deferred financing costs and unaccreted debt discount, which are included in Loss on extinguishment of debt in our Unaudited Condensed Consolidated Statements of Operations for the three- and six-month periods ended June 30,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certain exceptions and de minimis thresholds, the Term Loan Facility is subject to mandatory prepayments in an amount equal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100% of the net cash proceeds of certain asset sales, insurance recovery and condemnation events, subject to reduction to 50% and 0% if specified senior secured first lien net leverage ratio targets are met;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100% of the net cash proceeds of certain debt offerings;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50% of annual excess cash flow (as defined in the 2021 Credit Agreement), subject to reduction to 25% and 0% if specified senior secured first lien net leverage ratio targets are met.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Federal Communications Commission;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Revolving Facility is available for working capital and general corporate purposes of GIH and its subsidiaries and was undrawn as of June 30, 2023 and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outstanding principal amount of the Term Loan Facility was $610.5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$714.1</w:t>
      </w:r>
      <w:r>
        <w:rPr>
          <w:rFonts w:ascii="Times New Roman" w:hAnsi="Times New Roman"/>
          <w:sz w:val="20"/>
        </w:rPr>
        <w:t xml:space="preserve"> </w:t>
      </w:r>
      <w:r>
        <w:rPr>
          <w:rFonts w:ascii="Times New Roman;serif" w:hAnsi="Times New Roman;serif"/>
          <w:b w:val="false"/>
          <w:sz w:val="20"/>
        </w:rPr>
        <w:t>million, respectively, the unaccreted debt discount was $2.3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$2.8</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r>
        <w:rPr>
          <w:rFonts w:ascii="Times New Roman;serif" w:hAnsi="Times New Roman;serif"/>
          <w:b w:val="false"/>
          <w:sz w:val="20"/>
        </w:rPr>
        <w:t>and the net carrying amount was $608.2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$711.3</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paid approximately $19.7</w:t>
      </w:r>
      <w:r>
        <w:rPr>
          <w:rFonts w:ascii="Times New Roman" w:hAnsi="Times New Roman"/>
          <w:sz w:val="20"/>
        </w:rPr>
        <w:t xml:space="preserve"> </w:t>
      </w:r>
      <w:r>
        <w:rPr>
          <w:rFonts w:ascii="Times New Roman;serif" w:hAnsi="Times New Roman;serif"/>
          <w:b w:val="false"/>
          <w:sz w:val="20"/>
        </w:rPr>
        <w:t>million of loan origination and financing costs related to the Facilities which are being accounted for as deferred financing costs on our Unaudited Condensed Consolidated Balance Sheets and are amortized over the terms of the Facilities. Total amortization expense was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$1.3</w:t>
      </w:r>
      <w:r>
        <w:rPr>
          <w:rFonts w:ascii="Times New Roman" w:hAnsi="Times New Roman"/>
          <w:sz w:val="20"/>
        </w:rPr>
        <w:t xml:space="preserve"> </w:t>
      </w:r>
      <w:r>
        <w:rPr>
          <w:rFonts w:ascii="Times New Roman;serif" w:hAnsi="Times New Roman;serif"/>
          <w:b w:val="false"/>
          <w:sz w:val="20"/>
        </w:rPr>
        <w:t>million, respectively, for the three- and six-month periods ended June 30, 2023</w:t>
      </w:r>
      <w:r>
        <w:rPr>
          <w:rFonts w:ascii="Times New Roman" w:hAnsi="Times New Roman"/>
          <w:sz w:val="20"/>
        </w:rPr>
        <w:t xml:space="preserve"> </w:t>
      </w:r>
      <w:r>
        <w:rPr>
          <w:rFonts w:ascii="Times New Roman;serif" w:hAnsi="Times New Roman;serif"/>
          <w:b w:val="false"/>
          <w:sz w:val="20"/>
        </w:rPr>
        <w:t>and $0.7</w:t>
      </w:r>
      <w:r>
        <w:rPr>
          <w:rFonts w:ascii="Times New Roman" w:hAnsi="Times New Roman"/>
          <w:sz w:val="20"/>
        </w:rPr>
        <w:t xml:space="preserve"> </w:t>
      </w:r>
      <w:r>
        <w:rPr>
          <w:rFonts w:ascii="Times New Roman;serif" w:hAnsi="Times New Roman;serif"/>
          <w:b w:val="false"/>
          <w:sz w:val="20"/>
        </w:rPr>
        <w:t>million and $1.3</w:t>
      </w:r>
      <w:r>
        <w:rPr>
          <w:rFonts w:ascii="Times New Roman" w:hAnsi="Times New Roman"/>
          <w:sz w:val="20"/>
        </w:rPr>
        <w:t xml:space="preserve"> </w:t>
      </w:r>
      <w:r>
        <w:rPr>
          <w:rFonts w:ascii="Times New Roman;serif" w:hAnsi="Times New Roman;serif"/>
          <w:b w:val="false"/>
          <w:sz w:val="20"/>
        </w:rPr>
        <w:t>million, respectively, for the prior-year periods and is included in interest expense in our Unaudited Condensed Consolidated Statements of Operations. As of June 30, 2023 and December 31, 2022, the balance of unamortized deferred financing costs related to the Facilities was $12.2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$15.3</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pStyle w:val="TextBody"/>
        <w:bidi w:val="0"/>
        <w:spacing w:before="240" w:after="0"/>
        <w:jc w:val="left"/>
        <w:rPr>
          <w:rFonts w:ascii="Times New Roman;serif" w:hAnsi="Times New Roman;serif"/>
          <w:b/>
          <w:i/>
          <w:sz w:val="20"/>
        </w:rPr>
      </w:pPr>
      <w:r>
        <w:rPr>
          <w:rFonts w:ascii="Times New Roman;serif" w:hAnsi="Times New Roman;serif"/>
          <w:b/>
          <w:i/>
          <w:sz w:val="20"/>
        </w:rPr>
        <w:t>2022 Convertible Notes</w:t>
      </w:r>
    </w:p>
    <w:p>
      <w:pPr>
        <w:pStyle w:val="TextBody"/>
        <w:bidi w:val="0"/>
        <w:spacing w:before="120" w:after="0"/>
        <w:jc w:val="left"/>
        <w:rPr>
          <w:rFonts w:ascii="Times New Roman" w:hAnsi="Times New Roman"/>
          <w:sz w:val="20"/>
        </w:rPr>
      </w:pPr>
      <w:r>
        <w:rPr>
          <w:rFonts w:ascii="Times New Roman;serif" w:hAnsi="Times New Roman;serif"/>
          <w:b w:val="false"/>
          <w:sz w:val="20"/>
        </w:rPr>
        <w:t>In 2018, we issued $237.8</w:t>
      </w:r>
      <w:r>
        <w:rPr>
          <w:rFonts w:ascii="Times New Roman" w:hAnsi="Times New Roman"/>
          <w:sz w:val="20"/>
        </w:rPr>
        <w:t xml:space="preserve"> </w:t>
      </w:r>
      <w:r>
        <w:rPr>
          <w:rFonts w:ascii="Times New Roman;serif" w:hAnsi="Times New Roman;serif"/>
          <w:b w:val="false"/>
          <w:sz w:val="20"/>
        </w:rPr>
        <w:t>million aggregate principal amount of 6.00% Convertible Senior Notes due 2022 (the “2022 Convertible Notes”) in private offerings to qualified institutional buyers, including pursuant to Rule 144A under the Securities Act, and in concurrent private placements.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2021, $135.0</w:t>
      </w:r>
      <w:r>
        <w:rPr>
          <w:rFonts w:ascii="Times New Roman" w:hAnsi="Times New Roman"/>
          <w:sz w:val="20"/>
        </w:rPr>
        <w:t xml:space="preserve"> </w:t>
      </w:r>
      <w:r>
        <w:rPr>
          <w:rFonts w:ascii="Times New Roman;serif" w:hAnsi="Times New Roman;serif"/>
          <w:b w:val="false"/>
          <w:sz w:val="20"/>
        </w:rPr>
        <w:t>million aggregate principal amount of 2022 Convertible Notes was converted by holders and settled through the issuance of 24,353,006</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2022, the remaining $102.8</w:t>
      </w:r>
      <w:r>
        <w:rPr>
          <w:rFonts w:ascii="Times New Roman" w:hAnsi="Times New Roman"/>
          <w:sz w:val="20"/>
        </w:rPr>
        <w:t xml:space="preserve"> </w:t>
      </w:r>
      <w:r>
        <w:rPr>
          <w:rFonts w:ascii="Times New Roman;serif" w:hAnsi="Times New Roman;serif"/>
          <w:b w:val="false"/>
          <w:sz w:val="20"/>
        </w:rPr>
        <w:t>million aggregate principal amount of 2022 Convertible Notes was converted by holders into 17,131,332</w:t>
      </w:r>
      <w:r>
        <w:rPr>
          <w:rFonts w:ascii="Times New Roman" w:hAnsi="Times New Roman"/>
          <w:sz w:val="20"/>
        </w:rPr>
        <w:t xml:space="preserve"> </w:t>
      </w:r>
      <w:r>
        <w:rPr>
          <w:rFonts w:ascii="Times New Roman;serif" w:hAnsi="Times New Roman;serif"/>
          <w:b w:val="false"/>
          <w:sz w:val="20"/>
        </w:rPr>
        <w:t>shares of common stock. Thorndale Farm Private Equity Fund 2, LLC, an entity affiliated with our Chair of the Board and Chief Executive Officer, held $8.0</w:t>
      </w:r>
      <w:r>
        <w:rPr>
          <w:rFonts w:ascii="Times New Roman" w:hAnsi="Times New Roman"/>
          <w:sz w:val="20"/>
        </w:rPr>
        <w:t xml:space="preserve"> </w:t>
      </w:r>
      <w:r>
        <w:rPr>
          <w:rFonts w:ascii="Times New Roman;serif" w:hAnsi="Times New Roman;serif"/>
          <w:b w:val="false"/>
          <w:sz w:val="20"/>
        </w:rPr>
        <w:t>million aggregate principal amount of 2022 Convertible Notes that was converted into 1,333,333</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incurred approximately $8.1</w:t>
      </w:r>
      <w:r>
        <w:rPr>
          <w:rFonts w:ascii="Times New Roman" w:hAnsi="Times New Roman"/>
          <w:sz w:val="20"/>
        </w:rPr>
        <w:t xml:space="preserve"> </w:t>
      </w:r>
      <w:r>
        <w:rPr>
          <w:rFonts w:ascii="Times New Roman;serif" w:hAnsi="Times New Roman;serif"/>
          <w:b w:val="false"/>
          <w:sz w:val="20"/>
        </w:rPr>
        <w:t>million of issuance costs related to the 2022 Convertible Notes that were amortized over the term of the 2022 Convertible Notes using the effective interest method. Total amortization expense was $0.1</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for the three- and six-month periods ended June 30, 2022 and is included in Interest expense in the Unaudited Condensed Consolidated Statements of Operations. As of December 31, 2022, there were no</w:t>
      </w:r>
      <w:r>
        <w:rPr>
          <w:rFonts w:ascii="Times New Roman" w:hAnsi="Times New Roman"/>
          <w:sz w:val="20"/>
        </w:rPr>
        <w:t xml:space="preserve"> </w:t>
      </w:r>
      <w:r>
        <w:rPr>
          <w:rFonts w:ascii="Times New Roman;serif" w:hAnsi="Times New Roman;serif"/>
          <w:b w:val="false"/>
          <w:sz w:val="20"/>
        </w:rPr>
        <w:t>unamortized deferred financing costs related to the 2022 Convertible Notes. See Note 9, “Interest Costs,” for additional information.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2022 Convertible Notes had an initial conversion rate of 166.6667</w:t>
      </w:r>
      <w:r>
        <w:rPr>
          <w:rFonts w:ascii="Times New Roman" w:hAnsi="Times New Roman"/>
          <w:sz w:val="20"/>
        </w:rPr>
        <w:t xml:space="preserve"> </w:t>
      </w:r>
      <w:r>
        <w:rPr>
          <w:rFonts w:ascii="Times New Roman;serif" w:hAnsi="Times New Roman;serif"/>
          <w:b w:val="false"/>
          <w:sz w:val="20"/>
        </w:rPr>
        <w:t>common shares per $1,000</w:t>
      </w:r>
      <w:r>
        <w:rPr>
          <w:rFonts w:ascii="Times New Roman" w:hAnsi="Times New Roman"/>
          <w:sz w:val="20"/>
        </w:rPr>
        <w:t xml:space="preserve"> </w:t>
      </w:r>
      <w:r>
        <w:rPr>
          <w:rFonts w:ascii="Times New Roman;serif" w:hAnsi="Times New Roman;serif"/>
          <w:b w:val="false"/>
          <w:sz w:val="20"/>
        </w:rPr>
        <w:t>principal amount of 2022 Convertible Notes, which was equivalent to an initial conversion price of approximately $6.00</w:t>
      </w:r>
      <w:r>
        <w:rPr>
          <w:rFonts w:ascii="Times New Roman" w:hAnsi="Times New Roman"/>
          <w:sz w:val="20"/>
        </w:rPr>
        <w:t xml:space="preserve"> </w:t>
      </w:r>
      <w:r>
        <w:rPr>
          <w:rFonts w:ascii="Times New Roman;serif" w:hAnsi="Times New Roman;serif"/>
          <w:b w:val="false"/>
          <w:sz w:val="20"/>
        </w:rPr>
        <w:t>per share of our common stock. Prior to conversion, the shares of common stock subject to conversion were considered in the diluted earnings per share calculations under the if-converted method if their impact was dilutive.</w:t>
      </w:r>
    </w:p>
    <w:p>
      <w:pPr>
        <w:pStyle w:val="TextBody"/>
        <w:bidi w:val="0"/>
        <w:spacing w:before="240" w:after="0"/>
        <w:jc w:val="left"/>
        <w:rPr>
          <w:rFonts w:ascii="Times New Roman;serif" w:hAnsi="Times New Roman;serif"/>
          <w:b/>
          <w:i/>
          <w:sz w:val="20"/>
        </w:rPr>
      </w:pPr>
      <w:r>
        <w:rPr>
          <w:rFonts w:ascii="Times New Roman;serif" w:hAnsi="Times New Roman;serif"/>
          <w:b/>
          <w:i/>
          <w:sz w:val="20"/>
        </w:rPr>
        <w:t>Forward Transactions</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issuance of our 3.75% Convertible Senior Notes due 2020 (the “2020 Convertible Notes”), we paid approximately $140.0</w:t>
      </w:r>
      <w:r>
        <w:rPr>
          <w:rFonts w:ascii="Times New Roman" w:hAnsi="Times New Roman"/>
          <w:sz w:val="20"/>
        </w:rPr>
        <w:t xml:space="preserve"> </w:t>
      </w:r>
      <w:r>
        <w:rPr>
          <w:rFonts w:ascii="Times New Roman;serif" w:hAnsi="Times New Roman;serif"/>
          <w:b w:val="false"/>
          <w:sz w:val="20"/>
        </w:rPr>
        <w:t>million to enter into prepaid forward stock repurchase transactions (the “Forward Transactions”) with certain financial institutions (the “Forward Counterparties”), pursuant to which we purchased approximately 7.2</w:t>
      </w:r>
      <w:r>
        <w:rPr>
          <w:rFonts w:ascii="Times New Roman" w:hAnsi="Times New Roman"/>
          <w:sz w:val="20"/>
        </w:rPr>
        <w:t xml:space="preserve"> </w:t>
      </w:r>
      <w:r>
        <w:rPr>
          <w:rFonts w:ascii="Times New Roman;serif" w:hAnsi="Times New Roman;serif"/>
          <w:b w:val="false"/>
          <w:sz w:val="20"/>
        </w:rPr>
        <w:t>million shares of common stock for settlement on or around the March 1, 2020 maturity date for the 2020 Convertible Notes, subject to the ability of each Forward Counterparty to elect to settle all or a portion of its Forward Transactions early.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11, 2019, we entered into an amendment to one of the Forward Transactions (the “Amended and Restated Forward Transaction”) to extend the expected settlement date with respect to approximately 2.1</w:t>
      </w:r>
      <w:r>
        <w:rPr>
          <w:rFonts w:ascii="Times New Roman" w:hAnsi="Times New Roman"/>
          <w:sz w:val="20"/>
        </w:rPr>
        <w:t xml:space="preserve"> </w:t>
      </w:r>
      <w:r>
        <w:rPr>
          <w:rFonts w:ascii="Times New Roman;serif" w:hAnsi="Times New Roman;serif"/>
          <w:b w:val="false"/>
          <w:sz w:val="20"/>
        </w:rPr>
        <w:t>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w:t>
      </w:r>
      <w:r>
        <w:rPr>
          <w:rFonts w:ascii="Times New Roman" w:hAnsi="Times New Roman"/>
          <w:sz w:val="20"/>
        </w:rPr>
        <w:t xml:space="preserve"> </w:t>
      </w:r>
      <w:r>
        <w:rPr>
          <w:rFonts w:ascii="Times New Roman;serif" w:hAnsi="Times New Roman;serif"/>
          <w:b w:val="false"/>
          <w:sz w:val="20"/>
        </w:rPr>
        <w:t>million. In March 2020, approximately 5.1</w:t>
      </w:r>
      <w:r>
        <w:rPr>
          <w:rFonts w:ascii="Times New Roman" w:hAnsi="Times New Roman"/>
          <w:sz w:val="20"/>
        </w:rPr>
        <w:t xml:space="preserve"> </w:t>
      </w:r>
      <w:r>
        <w:rPr>
          <w:rFonts w:ascii="Times New Roman;serif" w:hAnsi="Times New Roman;serif"/>
          <w:b w:val="false"/>
          <w:sz w:val="20"/>
        </w:rPr>
        <w:t>million shares of common stock were delivered to us in connection with the Forward Transactions. In April 2021, approximately 1.5</w:t>
      </w:r>
      <w:r>
        <w:rPr>
          <w:rFonts w:ascii="Times New Roman" w:hAnsi="Times New Roman"/>
          <w:sz w:val="20"/>
        </w:rPr>
        <w:t xml:space="preserve"> </w:t>
      </w:r>
      <w:r>
        <w:rPr>
          <w:rFonts w:ascii="Times New Roman;serif" w:hAnsi="Times New Roman;serif"/>
          <w:b w:val="false"/>
          <w:sz w:val="20"/>
        </w:rPr>
        <w:t>million shares of common stock were delivered to us in connection with the Amended and Restated Forward Transaction. In May 2022, the approximately 0.6</w:t>
      </w:r>
      <w:r>
        <w:rPr>
          <w:rFonts w:ascii="Times New Roman" w:hAnsi="Times New Roman"/>
          <w:sz w:val="20"/>
        </w:rPr>
        <w:t xml:space="preserve"> </w:t>
      </w:r>
      <w:r>
        <w:rPr>
          <w:rFonts w:ascii="Times New Roman;serif" w:hAnsi="Times New Roman;serif"/>
          <w:b w:val="false"/>
          <w:sz w:val="20"/>
        </w:rPr>
        <w:t>million shares that were remaining under the Amended and Restated Forward Transaction were delivered to us, and there are no additional prepaid forward stock repurchase transactions outstanding.</w:t>
      </w:r>
    </w:p>
    <w:p>
      <w:pPr>
        <w:pStyle w:val="TextBody"/>
        <w:bidi w:val="0"/>
        <w:spacing w:before="240" w:after="0"/>
        <w:jc w:val="left"/>
        <w:rPr>
          <w:rFonts w:ascii="Times New Roman" w:hAnsi="Times New Roman"/>
          <w:b/>
          <w:sz w:val="20"/>
        </w:rPr>
      </w:pPr>
      <w:r>
        <w:rPr>
          <w:rFonts w:ascii="Times New Roman" w:hAnsi="Times New Roman"/>
          <w:b/>
          <w:sz w:val="20"/>
        </w:rPr>
        <w:t>7.</w:t>
      </w:r>
    </w:p>
    <w:p>
      <w:pPr>
        <w:pStyle w:val="TextBody"/>
        <w:bidi w:val="0"/>
        <w:spacing w:before="240" w:after="283"/>
        <w:jc w:val="left"/>
        <w:rPr>
          <w:rFonts w:ascii="Times New Roman;serif" w:hAnsi="Times New Roman;serif"/>
          <w:b/>
          <w:sz w:val="20"/>
        </w:rPr>
      </w:pPr>
      <w:r>
        <w:rPr>
          <w:rFonts w:ascii="Times New Roman;serif" w:hAnsi="Times New Roman;serif"/>
          <w:b/>
          <w:sz w:val="20"/>
        </w:rPr>
        <w:t>Derivative Instruments and Hedging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2021, we purchased interest rate caps with an aggregate notional amount of $650.0</w:t>
      </w:r>
      <w:r>
        <w:rPr>
          <w:rFonts w:ascii="Times New Roman" w:hAnsi="Times New Roman"/>
          <w:sz w:val="20"/>
        </w:rPr>
        <w:t xml:space="preserve"> </w:t>
      </w:r>
      <w:r>
        <w:rPr>
          <w:rFonts w:ascii="Times New Roman;serif" w:hAnsi="Times New Roman;serif"/>
          <w:b w:val="false"/>
          <w:sz w:val="20"/>
        </w:rPr>
        <w:t>million for $8.6</w:t>
      </w:r>
      <w:r>
        <w:rPr>
          <w:rFonts w:ascii="Times New Roman" w:hAnsi="Times New Roman"/>
          <w:sz w:val="20"/>
        </w:rPr>
        <w:t xml:space="preserve"> </w:t>
      </w:r>
      <w:r>
        <w:rPr>
          <w:rFonts w:ascii="Times New Roman;serif" w:hAnsi="Times New Roman;serif"/>
          <w:b w:val="false"/>
          <w:sz w:val="20"/>
        </w:rPr>
        <w:t>million. The cost of the interest rate caps will be amortized to interest expense using the caplet method, from the effective date through termination date. As of June 30, 2023, we receive payments in the amount calculated pursuant to the caps for any period in which the three-month USD LIBOR rate increases beyond the applicable strike rate.</w:t>
      </w:r>
      <w:r>
        <w:rPr>
          <w:rFonts w:ascii="Times New Roman" w:hAnsi="Times New Roman"/>
          <w:sz w:val="20"/>
        </w:rPr>
        <w:t xml:space="preserve"> </w:t>
      </w:r>
      <w:r>
        <w:rPr>
          <w:rFonts w:ascii="Times New Roman;serif" w:hAnsi="Times New Roman;serif"/>
          <w:b w:val="false"/>
          <w:sz w:val="20"/>
        </w:rPr>
        <w:t>The notional amounts of the interest rate caps periodically decrease over the life of the caps. As detailed below, beginning on July 31, 2023, we will receive payments in the amount calculated pursuant to the caps for any period in which the daily compounded SOFR rate plus a credit spread adjustment recommended by the Alternative Reference Rates Committee of 0.26% increases beyond the applicable strike rate.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notional amounts, strike rates and end dates of the cap agreements are as follows </w:t>
      </w:r>
      <w:r>
        <w:rPr>
          <w:rFonts w:ascii="Times New Roman;serif" w:hAnsi="Times New Roman;serif"/>
          <w:b w:val="false"/>
          <w:i/>
          <w:sz w:val="20"/>
        </w:rPr>
        <w:t>(notional amounts in thousands)</w:t>
      </w:r>
      <w:r>
        <w:rPr>
          <w:rFonts w:ascii="Times New Roman;serif" w:hAnsi="Times New Roman;serif"/>
          <w:b w:val="false"/>
          <w:sz w:val="20"/>
        </w:rPr>
        <w:t>:</w:t>
      </w:r>
    </w:p>
    <w:tbl>
      <w:tblPr>
        <w:tblW w:w="4879" w:type="dxa"/>
        <w:jc w:val="left"/>
        <w:tblInd w:w="0" w:type="dxa"/>
        <w:tblLayout w:type="fixed"/>
        <w:tblCellMar>
          <w:top w:w="28" w:type="dxa"/>
          <w:left w:w="28" w:type="dxa"/>
          <w:bottom w:w="28" w:type="dxa"/>
          <w:right w:w="28" w:type="dxa"/>
        </w:tblCellMar>
      </w:tblPr>
      <w:tblGrid>
        <w:gridCol w:w="976"/>
        <w:gridCol w:w="146"/>
        <w:gridCol w:w="961"/>
        <w:gridCol w:w="146"/>
        <w:gridCol w:w="211"/>
        <w:gridCol w:w="781"/>
        <w:gridCol w:w="146"/>
        <w:gridCol w:w="146"/>
        <w:gridCol w:w="249"/>
        <w:gridCol w:w="80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Start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End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Notional</w:t>
              <w:br/>
              <w:t>Amounts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Strike Rate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7/31/2021</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7/31/2023</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7/31/2024</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7/31/2025</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9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7/31/2026</w:t>
            </w:r>
          </w:p>
        </w:tc>
        <w:tc>
          <w:tcPr>
            <w:tcW w:w="1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7/31/2027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serif" w:hAnsi="Times New Roman;serif"/>
          <w:b w:val="false"/>
          <w:i/>
          <w:sz w:val="20"/>
        </w:rPr>
        <w:t>Derivatives and Hedging</w:t>
      </w:r>
      <w:r>
        <w:rPr>
          <w:rFonts w:ascii="Times New Roman;serif" w:hAnsi="Times New Roman;serif"/>
          <w:b w:val="false"/>
          <w:sz w:val="20"/>
        </w:rPr>
        <w:t>. For the three-month period ended June 30, 2023, approximately $0.2</w:t>
      </w:r>
      <w:r>
        <w:rPr>
          <w:rFonts w:ascii="Times New Roman" w:hAnsi="Times New Roman"/>
          <w:sz w:val="20"/>
        </w:rPr>
        <w:t xml:space="preserve"> </w:t>
      </w:r>
      <w:r>
        <w:rPr>
          <w:rFonts w:ascii="Times New Roman;serif" w:hAnsi="Times New Roman;serif"/>
          <w:b w:val="false"/>
          <w:sz w:val="20"/>
        </w:rPr>
        <w:t>million in net unrealized gains from our cash flow hedges were considered to be ineffective and reclassified from other comprehensive income (loss) to earnings. The ineffective portion was the result of a voluntary partial de-designation of the hedge relationship related to a prepayment of our existing variable-rate debt discussed in Note 6, “Long-Term Debt and Other Liabilities.” No</w:t>
      </w:r>
      <w:r>
        <w:rPr>
          <w:rFonts w:ascii="Times New Roman" w:hAnsi="Times New Roman"/>
          <w:sz w:val="20"/>
        </w:rPr>
        <w:t xml:space="preserve"> </w:t>
      </w:r>
      <w:r>
        <w:rPr>
          <w:rFonts w:ascii="Times New Roman;serif" w:hAnsi="Times New Roman;serif"/>
          <w:b w:val="false"/>
          <w:sz w:val="20"/>
        </w:rPr>
        <w:t>gains or losses of our cash flow hedges were considered to be ineffective for the three- and six-month periods ended June 30, 2022. We estimate that approximately $2.5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currently recorded in accumulated other comprehensive income (loss) will be recognized in earnings over the next 12 months. We assess the effectiveness of the hedges on an ongoing basis, and the remaining outstanding caps, excluding the caps that were de-designated, are still considered to be highly effective, and remain designated as a cash flow hedge. Cash flows from interest rate caps are classified in the Unaudited Condensed Consolidated Statement of Cash Flows as investing activities.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three-month period ended June 30, 2023, we recorded an increase in fair value on the interest rate caps of</w:t>
      </w:r>
      <w:r>
        <w:rPr>
          <w:rFonts w:ascii="Times New Roman" w:hAnsi="Times New Roman"/>
          <w:sz w:val="20"/>
        </w:rPr>
        <w:t xml:space="preserve"> </w:t>
      </w:r>
      <w:r>
        <w:rPr>
          <w:rFonts w:ascii="Times New Roman;serif" w:hAnsi="Times New Roman;serif"/>
          <w:b w:val="false"/>
          <w:sz w:val="20"/>
        </w:rPr>
        <w:t>$1.8</w:t>
      </w:r>
      <w:r>
        <w:rPr>
          <w:rFonts w:ascii="Times New Roman" w:hAnsi="Times New Roman"/>
          <w:sz w:val="20"/>
        </w:rPr>
        <w:t xml:space="preserve"> </w:t>
      </w:r>
      <w:r>
        <w:rPr>
          <w:rFonts w:ascii="Times New Roman;serif" w:hAnsi="Times New Roman;serif"/>
          <w:b w:val="false"/>
          <w:sz w:val="20"/>
        </w:rPr>
        <w:t>million, net of tax of $0.7</w:t>
      </w:r>
      <w:r>
        <w:rPr>
          <w:rFonts w:ascii="Times New Roman" w:hAnsi="Times New Roman"/>
          <w:sz w:val="20"/>
        </w:rPr>
        <w:t xml:space="preserve"> </w:t>
      </w:r>
      <w:r>
        <w:rPr>
          <w:rFonts w:ascii="Times New Roman;serif" w:hAnsi="Times New Roman;serif"/>
          <w:b w:val="false"/>
          <w:sz w:val="20"/>
        </w:rPr>
        <w:t>million, and for the six-month period ended June 30, 2023 we recorded a decrease in fair value on the interest rate caps of $5.5</w:t>
      </w:r>
      <w:r>
        <w:rPr>
          <w:rFonts w:ascii="Times New Roman" w:hAnsi="Times New Roman"/>
          <w:sz w:val="20"/>
        </w:rPr>
        <w:t xml:space="preserve"> </w:t>
      </w:r>
      <w:r>
        <w:rPr>
          <w:rFonts w:ascii="Times New Roman;serif" w:hAnsi="Times New Roman;serif"/>
          <w:b w:val="false"/>
          <w:sz w:val="20"/>
        </w:rPr>
        <w:t>million, net of tax of $1.7</w:t>
      </w:r>
      <w:r>
        <w:rPr>
          <w:rFonts w:ascii="Times New Roman" w:hAnsi="Times New Roman"/>
          <w:sz w:val="20"/>
        </w:rPr>
        <w:t xml:space="preserve"> </w:t>
      </w:r>
      <w:r>
        <w:rPr>
          <w:rFonts w:ascii="Times New Roman;serif" w:hAnsi="Times New Roman;serif"/>
          <w:b w:val="false"/>
          <w:sz w:val="20"/>
        </w:rPr>
        <w:t>million. For the three-month period ended June 30, 2022, we recorded an increase in fair value on the interest rate caps of $4.6</w:t>
      </w:r>
      <w:r>
        <w:rPr>
          <w:rFonts w:ascii="Times New Roman" w:hAnsi="Times New Roman"/>
          <w:sz w:val="20"/>
        </w:rPr>
        <w:t xml:space="preserve"> </w:t>
      </w:r>
      <w:r>
        <w:rPr>
          <w:rFonts w:ascii="Times New Roman;serif" w:hAnsi="Times New Roman;serif"/>
          <w:b w:val="false"/>
          <w:sz w:val="20"/>
        </w:rPr>
        <w:t>million, net of tax of $1.5</w:t>
      </w:r>
      <w:r>
        <w:rPr>
          <w:rFonts w:ascii="Times New Roman" w:hAnsi="Times New Roman"/>
          <w:sz w:val="20"/>
        </w:rPr>
        <w:t xml:space="preserve"> </w:t>
      </w:r>
      <w:r>
        <w:rPr>
          <w:rFonts w:ascii="Times New Roman;serif" w:hAnsi="Times New Roman;serif"/>
          <w:b w:val="false"/>
          <w:sz w:val="20"/>
        </w:rPr>
        <w:t>million, and for the six-month period ended June 30, 2022, we recorded an increase in fair value on the interest rate caps of $20.6</w:t>
      </w:r>
      <w:r>
        <w:rPr>
          <w:rFonts w:ascii="Times New Roman" w:hAnsi="Times New Roman"/>
          <w:sz w:val="20"/>
        </w:rPr>
        <w:t xml:space="preserve"> </w:t>
      </w:r>
      <w:r>
        <w:rPr>
          <w:rFonts w:ascii="Times New Roman;serif" w:hAnsi="Times New Roman;serif"/>
          <w:b w:val="false"/>
          <w:sz w:val="20"/>
        </w:rPr>
        <w:t>million, net of tax of $6.8</w:t>
      </w:r>
      <w:r>
        <w:rPr>
          <w:rFonts w:ascii="Times New Roman" w:hAnsi="Times New Roman"/>
          <w:sz w:val="20"/>
        </w:rPr>
        <w:t xml:space="preserve"> </w:t>
      </w:r>
      <w:r>
        <w:rPr>
          <w:rFonts w:ascii="Times New Roman;serif" w:hAnsi="Times New Roman;serif"/>
          <w:b w:val="false"/>
          <w:sz w:val="20"/>
        </w:rPr>
        <w:t>million. Increases and decreases in fair value on interest rate caps above exclude amortization of the purchase price paid for the interest rate caps.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When derivatives are used, we are exposed to credit loss in the event of non-performance by the counterparties; however, non-performance is not anticipated. ASC 815, </w:t>
      </w:r>
      <w:r>
        <w:rPr>
          <w:rFonts w:ascii="Times New Roman;serif" w:hAnsi="Times New Roman;serif"/>
          <w:b w:val="false"/>
          <w:i/>
          <w:sz w:val="20"/>
        </w:rPr>
        <w:t>Derivatives and Hedging</w:t>
      </w:r>
      <w:r>
        <w:rPr>
          <w:rFonts w:ascii="Times New Roman;serif" w:hAnsi="Times New Roman;serif"/>
          <w:b w:val="false"/>
          <w:sz w:val="20"/>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presents the fair value of our interest rate derivatives included in the Unaudited Condensed Consolidated Balance Sheets for the periods presented (in thousands):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930"/>
        <w:gridCol w:w="146"/>
        <w:gridCol w:w="3361"/>
        <w:gridCol w:w="146"/>
        <w:gridCol w:w="211"/>
        <w:gridCol w:w="676"/>
        <w:gridCol w:w="146"/>
        <w:gridCol w:w="146"/>
        <w:gridCol w:w="296"/>
        <w:gridCol w:w="953"/>
        <w:gridCol w:w="194"/>
      </w:tblGrid>
      <w:tr>
        <w:trPr/>
        <w:tc>
          <w:tcPr>
            <w:tcW w:w="3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3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3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9"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4" w:type="dxa"/>
            <w:tcBorders/>
            <w:vAlign w:val="center"/>
          </w:tcPr>
          <w:p>
            <w:pPr>
              <w:pStyle w:val="TableContents"/>
              <w:bidi w:val="0"/>
              <w:spacing w:before="0" w:after="0"/>
              <w:ind w:left="0" w:right="0" w:hanging="0"/>
              <w:jc w:val="center"/>
              <w:rPr/>
            </w:pPr>
            <w:r>
              <w:rPr/>
              <w:t> </w:t>
            </w:r>
          </w:p>
        </w:tc>
      </w:tr>
      <w:tr>
        <w:trPr/>
        <w:tc>
          <w:tcPr>
            <w:tcW w:w="393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Derivatives designated as hedging instruments</w:t>
            </w:r>
          </w:p>
        </w:tc>
        <w:tc>
          <w:tcPr>
            <w:tcW w:w="146" w:type="dxa"/>
            <w:tcBorders/>
            <w:vAlign w:val="center"/>
          </w:tcPr>
          <w:p>
            <w:pPr>
              <w:pStyle w:val="TableContents"/>
              <w:bidi w:val="0"/>
              <w:spacing w:before="0" w:after="0"/>
              <w:ind w:left="0" w:right="0" w:hanging="0"/>
              <w:jc w:val="center"/>
              <w:rPr/>
            </w:pPr>
            <w:r>
              <w:rPr/>
              <w:t> </w:t>
            </w:r>
          </w:p>
        </w:tc>
        <w:tc>
          <w:tcPr>
            <w:tcW w:w="33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sheet location</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interest rate caps</w:t>
            </w:r>
          </w:p>
        </w:tc>
        <w:tc>
          <w:tcPr>
            <w:tcW w:w="146" w:type="dxa"/>
            <w:tcBorders/>
            <w:vAlign w:val="center"/>
          </w:tcPr>
          <w:p>
            <w:pPr>
              <w:pStyle w:val="TableContents"/>
              <w:bidi w:val="0"/>
              <w:spacing w:before="0" w:after="0"/>
              <w:ind w:left="0" w:right="0" w:hanging="0"/>
              <w:jc w:val="left"/>
              <w:rPr/>
            </w:pPr>
            <w:r>
              <w:rPr/>
              <w:t> </w:t>
            </w:r>
          </w:p>
        </w:tc>
        <w:tc>
          <w:tcPr>
            <w:tcW w:w="3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24,459</w:t>
            </w:r>
          </w:p>
        </w:tc>
        <w:tc>
          <w:tcPr>
            <w:tcW w:w="194" w:type="dxa"/>
            <w:tcBorders/>
            <w:vAlign w:val="center"/>
          </w:tcPr>
          <w:p>
            <w:pPr>
              <w:pStyle w:val="TableContents"/>
              <w:bidi w:val="0"/>
              <w:spacing w:before="0" w:after="0"/>
              <w:ind w:left="0" w:right="0" w:hanging="0"/>
              <w:jc w:val="left"/>
              <w:rPr/>
            </w:pPr>
            <w:r>
              <w:rPr/>
              <w:t> </w:t>
            </w:r>
          </w:p>
        </w:tc>
      </w:tr>
      <w:tr>
        <w:trPr/>
        <w:tc>
          <w:tcPr>
            <w:tcW w:w="39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portion of interest rate caps</w:t>
            </w:r>
          </w:p>
        </w:tc>
        <w:tc>
          <w:tcPr>
            <w:tcW w:w="146" w:type="dxa"/>
            <w:tcBorders/>
            <w:vAlign w:val="center"/>
          </w:tcPr>
          <w:p>
            <w:pPr>
              <w:pStyle w:val="TableContents"/>
              <w:bidi w:val="0"/>
              <w:spacing w:before="0" w:after="0"/>
              <w:ind w:left="0" w:right="0" w:hanging="0"/>
              <w:jc w:val="left"/>
              <w:rPr/>
            </w:pPr>
            <w:r>
              <w:rPr/>
              <w:t> </w:t>
            </w:r>
          </w:p>
        </w:tc>
        <w:tc>
          <w:tcPr>
            <w:tcW w:w="3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25,578</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Fair Value Measurement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pStyle w:val="TextBody"/>
        <w:bidi w:val="0"/>
        <w:spacing w:before="200" w:after="0"/>
        <w:jc w:val="both"/>
        <w:rPr>
          <w:rFonts w:ascii="Times New Roman;serif" w:hAnsi="Times New Roman;serif"/>
          <w:b w:val="false"/>
          <w:i/>
          <w:sz w:val="20"/>
        </w:rPr>
      </w:pPr>
      <w:r>
        <w:rPr>
          <w:rFonts w:ascii="Times New Roman;serif" w:hAnsi="Times New Roman;serif"/>
          <w:b w:val="false"/>
          <w:i/>
          <w:sz w:val="20"/>
        </w:rPr>
        <w:t>Reference Rate Reform</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March 2020, the FASB issued Accounting Standard Update (“ASU”) 2020-04, </w:t>
      </w:r>
      <w:r>
        <w:rPr>
          <w:rFonts w:ascii="Times New Roman;serif" w:hAnsi="Times New Roman;serif"/>
          <w:b w:val="false"/>
          <w:i/>
          <w:sz w:val="20"/>
        </w:rPr>
        <w:t>Reference Rate Reform (Topic 848): Facilitation of the Effects of Reference Rate Reform on Financial Reporting</w:t>
      </w:r>
      <w:r>
        <w:rPr>
          <w:rFonts w:ascii="Times New Roman;serif" w:hAnsi="Times New Roman;serif"/>
          <w:b w:val="false"/>
          <w:sz w:val="20"/>
        </w:rPr>
        <w:t xml:space="preserve">. ASU 2020-04, which provides optional guidance for a limited period of time to ease the potential burden in accounting for (or recognizing the effects of) reference rate reform on financial reporting. In January 2021, the FASB issued ASU 2021-01, </w:t>
      </w:r>
      <w:r>
        <w:rPr>
          <w:rFonts w:ascii="Times New Roman;serif" w:hAnsi="Times New Roman;serif"/>
          <w:b w:val="false"/>
          <w:i/>
          <w:sz w:val="20"/>
        </w:rPr>
        <w:t>Reference Rate Reform (Topic 848): Scope</w:t>
      </w:r>
      <w:r>
        <w:rPr>
          <w:rFonts w:ascii="Times New Roman;serif" w:hAnsi="Times New Roman;serif"/>
          <w:b w:val="false"/>
          <w:sz w:val="20"/>
        </w:rPr>
        <w:t>. The amendments in ASU 2021-01 provide optional expedients to the current guidance on contract modification and hedge accounting from the expected market transition from LIBOR and other interbank offered rates to alternative reference rates. The guidance generally can be applied to applicable contract modifications through December 31, 2024. The Company evaluated the impact of ASU 2020-04 and 2021-01, both of which were previously adopted by the Company, and has made necessary changes to its affected contracts in order to capture the market transition from LIBOR to SOFR.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February 2, 2023 the Company modified its 2021 Credit Agreement to use the Secured Overnight Financing Rate (“SOFR”) as a reference rate rather than LIBOR (see Note 6, “Long-Term Debt and Other Liabilities”). In conjunction with the amendment of the debt, the Company’s derivative positions automatically transitioned to SOFR, the designated fallback as determined by the International Swaps and Derivatives Association on July 31, 2023. Concurrently, the Company updated its hedge documentation to reflect the changing of the benchmark index, which changed solely as a result of reference rate reform. Under ASC 848, Reference Rate Reform, hedge accounting may continue without de-designation if certain criteria are met. For cash flow hedges in which the designated hedged risk is LIBOR (or another rate that is expected to be discontinued), the guidance allows an entity to assert that it remains probable that the hedged forecasted transaction will occur. The Company has assessed the effectiveness of the amended hedge relationship and concluded that the hedge relationship remains highly effective. The Company applied the optional expedient within ASC 848 to conclude the updates to the hedge relationship due to reference rate reform did not have a material impact on the Company's consolidated financial statements.</w:t>
      </w:r>
    </w:p>
    <w:p>
      <w:pPr>
        <w:pStyle w:val="TextBody"/>
        <w:bidi w:val="0"/>
        <w:spacing w:before="240" w:after="0"/>
        <w:jc w:val="left"/>
        <w:rPr>
          <w:rFonts w:ascii="Times New Roman" w:hAnsi="Times New Roman"/>
          <w:b/>
          <w:sz w:val="20"/>
        </w:rPr>
      </w:pPr>
      <w:r>
        <w:rPr>
          <w:rFonts w:ascii="Times New Roman" w:hAnsi="Times New Roman"/>
          <w:b/>
          <w:sz w:val="20"/>
        </w:rPr>
        <w:t>8.</w:t>
      </w:r>
    </w:p>
    <w:p>
      <w:pPr>
        <w:pStyle w:val="TextBody"/>
        <w:bidi w:val="0"/>
        <w:spacing w:before="240" w:after="283"/>
        <w:jc w:val="left"/>
        <w:rPr>
          <w:rFonts w:ascii="Times New Roman;serif" w:hAnsi="Times New Roman;serif"/>
          <w:b/>
          <w:sz w:val="20"/>
        </w:rPr>
      </w:pPr>
      <w:r>
        <w:rPr>
          <w:rFonts w:ascii="Times New Roman;serif" w:hAnsi="Times New Roman;serif"/>
          <w:b/>
          <w:sz w:val="20"/>
        </w:rPr>
        <w:t>Fair Value of Financial Assets and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three-tier fair value hierarchy has been established which prioritizes the inputs used in measuring fair value. These tiers include:</w:t>
      </w:r>
    </w:p>
    <w:p>
      <w:pPr>
        <w:pStyle w:val="TextBody"/>
        <w:bidi w:val="0"/>
        <w:spacing w:before="120" w:after="0"/>
        <w:jc w:val="left"/>
        <w:rPr/>
      </w:pPr>
      <w:r>
        <w:rPr/>
        <w:t>•</w:t>
      </w:r>
    </w:p>
    <w:p>
      <w:pPr>
        <w:pStyle w:val="TextBody"/>
        <w:bidi w:val="0"/>
        <w:spacing w:before="120" w:after="0"/>
        <w:jc w:val="left"/>
        <w:rPr>
          <w:rFonts w:ascii="Times New Roman;serif" w:hAnsi="Times New Roman;serif"/>
          <w:sz w:val="20"/>
        </w:rPr>
      </w:pPr>
      <w:r>
        <w:rPr>
          <w:rFonts w:ascii="Times New Roman;serif" w:hAnsi="Times New Roman;serif"/>
          <w:b w:val="false"/>
          <w:i/>
          <w:sz w:val="20"/>
        </w:rPr>
        <w:t>Level 1</w:t>
      </w:r>
      <w:r>
        <w:rPr>
          <w:rFonts w:ascii="Times New Roman;serif" w:hAnsi="Times New Roman;serif"/>
          <w:sz w:val="20"/>
        </w:rPr>
        <w:t xml:space="preserve"> </w:t>
      </w:r>
      <w:r>
        <w:rPr>
          <w:rFonts w:ascii="Times New Roman;serif" w:hAnsi="Times New Roman;serif"/>
          <w:b w:val="false"/>
          <w:sz w:val="20"/>
        </w:rPr>
        <w:t>- defined as observable inputs such as quoted prices for identical assets or liabilities in active markets;</w:t>
      </w:r>
    </w:p>
    <w:p>
      <w:pPr>
        <w:pStyle w:val="TextBody"/>
        <w:bidi w:val="0"/>
        <w:spacing w:before="120" w:after="0"/>
        <w:jc w:val="left"/>
        <w:rPr/>
      </w:pPr>
      <w:r>
        <w:rPr/>
        <w:t>•</w:t>
      </w:r>
    </w:p>
    <w:p>
      <w:pPr>
        <w:pStyle w:val="TextBody"/>
        <w:bidi w:val="0"/>
        <w:spacing w:before="120" w:after="283"/>
        <w:jc w:val="left"/>
        <w:rPr>
          <w:rFonts w:ascii="Times New Roman;serif" w:hAnsi="Times New Roman;serif"/>
          <w:sz w:val="20"/>
        </w:rPr>
      </w:pPr>
      <w:r>
        <w:rPr>
          <w:rFonts w:ascii="Times New Roman;serif" w:hAnsi="Times New Roman;serif"/>
          <w:b w:val="false"/>
          <w:i/>
          <w:sz w:val="20"/>
        </w:rPr>
        <w:t>Level 2</w:t>
      </w:r>
      <w:r>
        <w:rPr>
          <w:rFonts w:ascii="Times New Roman;serif" w:hAnsi="Times New Roman;serif"/>
          <w:sz w:val="20"/>
        </w:rPr>
        <w:t xml:space="preserve"> </w:t>
      </w:r>
      <w:r>
        <w:rPr>
          <w:rFonts w:ascii="Times New Roman;serif" w:hAnsi="Times New Roman;serif"/>
          <w:b w:val="false"/>
          <w:sz w:val="20"/>
        </w:rPr>
        <w:t>- defined as observable inputs other than Level 1 inputs such as quoted prices for similar assets or liabilities, quoted prices in markets that are not active, or inputs that are observable or can be corroborated by observable market data for substantially the full term of the assets or liabilities;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sz w:val="20"/>
        </w:rPr>
      </w:pPr>
      <w:r>
        <w:rPr>
          <w:rFonts w:ascii="Times New Roman;serif" w:hAnsi="Times New Roman;serif"/>
          <w:b w:val="false"/>
          <w:i/>
          <w:sz w:val="20"/>
        </w:rPr>
        <w:t>Level 3</w:t>
      </w:r>
      <w:r>
        <w:rPr>
          <w:rFonts w:ascii="Times New Roman;serif" w:hAnsi="Times New Roman;serif"/>
          <w:sz w:val="20"/>
        </w:rPr>
        <w:t xml:space="preserve"> </w:t>
      </w:r>
      <w:r>
        <w:rPr>
          <w:rFonts w:ascii="Times New Roman;serif" w:hAnsi="Times New Roman;serif"/>
          <w:b w:val="false"/>
          <w:sz w:val="20"/>
        </w:rPr>
        <w:t>- defined as unobservable inputs in which little or no market data exists, therefore requiring an entity to develop its own assumptions.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Refer to Note 7, “Derivative Instruments and Hedging Activities,” for fair value information relating to our interest rate caps.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Long-Term Debt:</w:t>
      </w:r>
    </w:p>
    <w:p>
      <w:pPr>
        <w:pStyle w:val="TextBody"/>
        <w:bidi w:val="0"/>
        <w:spacing w:before="120" w:after="0"/>
        <w:jc w:val="left"/>
        <w:rPr>
          <w:rFonts w:ascii="Times New Roman" w:hAnsi="Times New Roman"/>
          <w:sz w:val="20"/>
        </w:rPr>
      </w:pPr>
      <w:bookmarkStart w:id="10" w:name="our_financial_assets_liabilities_that_ar"/>
      <w:bookmarkEnd w:id="10"/>
      <w:r>
        <w:rPr>
          <w:rFonts w:ascii="Times New Roman;serif" w:hAnsi="Times New Roman;serif"/>
          <w:b w:val="false"/>
          <w:sz w:val="20"/>
        </w:rPr>
        <w:t>As of June 30, 2023 and December 31, 2022, our only financial asset or liability disclosed but not measured at fair value is the Term Loan Facility, which is reflected on the Unaudited Condensed Consolidated Balance Sheets at cost. The fair value measurement is classified as Level 2 within the fair value hierarchy since it is based on quoted market prices of our instrument in markets that are not active. We estimated the fair value of the Term Loan Facility by calculating the upfront cash payment a market participant would require to assume the obligation. The upfront cash payment used in the calculation of fair value on our June 30, 2023 Unaudited Condensed Consolidated Balance Sheets, excluding any issuance costs, is the amount that a market participant would be willing to lend at such date to an entity with a credit rating similar to ours and that would allow such an entity to achieve sufficient cash inflows to cover the scheduled cash outflows under the Term Loan Facility.</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 xml:space="preserve">The fair value and carrying value of long-term debt as of June 30, 2023 and December 31, 2022 were as follows </w:t>
      </w:r>
      <w:r>
        <w:rPr>
          <w:rFonts w:ascii="Times New Roman;serif" w:hAnsi="Times New Roman;serif"/>
          <w:b w:val="false"/>
          <w:i/>
          <w:sz w:val="20"/>
        </w:rPr>
        <w:t>(in thousands)</w:t>
      </w:r>
      <w:r>
        <w:rPr>
          <w:rFonts w:ascii="Times New Roman;serif" w:hAnsi="Times New Roman;serif"/>
          <w:b w:val="false"/>
          <w:sz w:val="20"/>
        </w:rPr>
        <w:t>:</w:t>
      </w:r>
    </w:p>
    <w:tbl>
      <w:tblPr>
        <w:tblW w:w="7296" w:type="dxa"/>
        <w:jc w:val="left"/>
        <w:tblInd w:w="0" w:type="dxa"/>
        <w:tblLayout w:type="fixed"/>
        <w:tblCellMar>
          <w:top w:w="28" w:type="dxa"/>
          <w:left w:w="28" w:type="dxa"/>
          <w:bottom w:w="28" w:type="dxa"/>
          <w:right w:w="28" w:type="dxa"/>
        </w:tblCellMar>
      </w:tblPr>
      <w:tblGrid>
        <w:gridCol w:w="1681"/>
        <w:gridCol w:w="146"/>
        <w:gridCol w:w="261"/>
        <w:gridCol w:w="969"/>
        <w:gridCol w:w="146"/>
        <w:gridCol w:w="211"/>
        <w:gridCol w:w="781"/>
        <w:gridCol w:w="271"/>
        <w:gridCol w:w="146"/>
        <w:gridCol w:w="261"/>
        <w:gridCol w:w="969"/>
        <w:gridCol w:w="146"/>
        <w:gridCol w:w="211"/>
        <w:gridCol w:w="781"/>
        <w:gridCol w:w="31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68" w:type="dxa"/>
            <w:gridSpan w:val="5"/>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68" w:type="dxa"/>
            <w:gridSpan w:val="5"/>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316" w:type="dxa"/>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Fair Value </w:t>
            </w:r>
            <w:r>
              <w:rPr>
                <w:rFonts w:ascii="Times New Roman;serif" w:hAnsi="Times New Roman;serif"/>
                <w:b/>
                <w:i/>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w:t>
              <w:br/>
              <w:t>Value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 xml:space="preserve">Fair Value </w:t>
            </w:r>
            <w:r>
              <w:rPr>
                <w:rFonts w:ascii="Times New Roman;serif" w:hAnsi="Times New Roman;serif"/>
                <w:b/>
                <w:i/>
                <w:sz w:val="13"/>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Carrying</w:t>
              <w:br/>
              <w:t>Value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Facility</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610,000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608,238</w:t>
            </w:r>
          </w:p>
        </w:tc>
        <w:tc>
          <w:tcPr>
            <w:tcW w:w="271" w:type="dxa"/>
            <w:tcBorders/>
            <w:vAlign w:val="center"/>
          </w:tcPr>
          <w:p>
            <w:pPr>
              <w:pStyle w:val="TableContents"/>
              <w:bidi w:val="0"/>
              <w:spacing w:before="0" w:after="0"/>
              <w:ind w:left="0" w:right="0" w:hanging="0"/>
              <w:jc w:val="left"/>
              <w:rPr>
                <w:rFonts w:ascii="Times New Roman;serif" w:hAnsi="Times New Roman;serif"/>
                <w:b w:val="false"/>
                <w:i/>
                <w:sz w:val="13"/>
              </w:rPr>
            </w:pPr>
            <w:r>
              <w:rPr>
                <w:rFonts w:ascii="Times New Roman;serif" w:hAnsi="Times New Roman;serif"/>
                <w:b w:val="false"/>
                <w:i/>
                <w:sz w:val="13"/>
              </w:rPr>
              <w:t>(2)</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708,000</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711,263</w:t>
            </w:r>
          </w:p>
        </w:tc>
        <w:tc>
          <w:tcPr>
            <w:tcW w:w="316" w:type="dxa"/>
            <w:tcBorders/>
            <w:vAlign w:val="center"/>
          </w:tcPr>
          <w:p>
            <w:pPr>
              <w:pStyle w:val="TableContents"/>
              <w:bidi w:val="0"/>
              <w:spacing w:before="0" w:after="0"/>
              <w:ind w:left="0" w:right="0" w:hanging="0"/>
              <w:jc w:val="left"/>
              <w:rPr>
                <w:rFonts w:ascii="Times New Roman;serif" w:hAnsi="Times New Roman;serif"/>
                <w:b w:val="false"/>
                <w:i/>
                <w:sz w:val="13"/>
              </w:rPr>
            </w:pPr>
            <w:r>
              <w:rPr>
                <w:rFonts w:ascii="Times New Roman;serif" w:hAnsi="Times New Roman;serif"/>
                <w:b w:val="false"/>
                <w:i/>
                <w:sz w:val="13"/>
              </w:rPr>
              <w:t>(2)</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i/>
          <w:sz w:val="20"/>
        </w:rPr>
      </w:pPr>
      <w:r>
        <w:rPr>
          <w:rFonts w:ascii="Times New Roman" w:hAnsi="Times New Roman"/>
          <w:b w:val="false"/>
          <w:i/>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Fair value amounts are rounded to the nearest million.</w:t>
      </w:r>
    </w:p>
    <w:p>
      <w:pPr>
        <w:pStyle w:val="TextBody"/>
        <w:bidi w:val="0"/>
        <w:spacing w:before="0" w:after="0"/>
        <w:jc w:val="left"/>
        <w:rPr>
          <w:rFonts w:ascii="Times New Roman" w:hAnsi="Times New Roman"/>
          <w:b w:val="false"/>
          <w:i/>
          <w:sz w:val="20"/>
        </w:rPr>
      </w:pPr>
      <w:r>
        <w:rPr>
          <w:rFonts w:ascii="Times New Roman" w:hAnsi="Times New Roman"/>
          <w:b w:val="false"/>
          <w:i/>
          <w:sz w:val="20"/>
        </w:rPr>
        <w:t>(2)</w:t>
      </w:r>
    </w:p>
    <w:p>
      <w:pPr>
        <w:pStyle w:val="TextBody"/>
        <w:bidi w:val="0"/>
        <w:spacing w:before="0" w:after="0"/>
        <w:jc w:val="left"/>
        <w:rPr>
          <w:rFonts w:ascii="Times New Roman;serif" w:hAnsi="Times New Roman;serif"/>
          <w:sz w:val="20"/>
        </w:rPr>
      </w:pPr>
      <w:r>
        <w:rPr>
          <w:rFonts w:ascii="Times New Roman;serif" w:hAnsi="Times New Roman;serif"/>
          <w:b w:val="false"/>
          <w:sz w:val="20"/>
        </w:rPr>
        <w:t>Carrying value of the Term Loan Facility reflects the unaccreted debt discount of $2.3</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and $2.8</w:t>
      </w:r>
      <w:r>
        <w:rPr>
          <w:rFonts w:ascii="Times New Roman;serif" w:hAnsi="Times New Roman;serif"/>
          <w:sz w:val="20"/>
        </w:rPr>
        <w:t xml:space="preserve"> </w:t>
      </w:r>
      <w:r>
        <w:rPr>
          <w:rFonts w:ascii="Times New Roman;serif" w:hAnsi="Times New Roman;serif"/>
          <w:b w:val="false"/>
          <w:sz w:val="20"/>
        </w:rPr>
        <w:t>million as of June 30, 2023 and December 31, 2022, respectively. See Note 6, “Long-Term Debt and Other Liabilities,”</w:t>
      </w:r>
      <w:r>
        <w:rPr>
          <w:rFonts w:ascii="Times New Roman;serif" w:hAnsi="Times New Roman;serif"/>
          <w:sz w:val="20"/>
        </w:rPr>
        <w:t xml:space="preserve"> </w:t>
      </w:r>
      <w:r>
        <w:rPr>
          <w:rFonts w:ascii="Times New Roman;serif" w:hAnsi="Times New Roman;serif"/>
          <w:b w:val="false"/>
          <w:sz w:val="20"/>
        </w:rPr>
        <w:t>for further information.</w:t>
      </w:r>
    </w:p>
    <w:p>
      <w:pPr>
        <w:pStyle w:val="TextBody"/>
        <w:bidi w:val="0"/>
        <w:spacing w:before="240" w:after="0"/>
        <w:jc w:val="left"/>
        <w:rPr>
          <w:rFonts w:ascii="Times New Roman" w:hAnsi="Times New Roman"/>
          <w:b/>
          <w:sz w:val="20"/>
        </w:rPr>
      </w:pPr>
      <w:r>
        <w:rPr>
          <w:rFonts w:ascii="Times New Roman" w:hAnsi="Times New Roman"/>
          <w:b/>
          <w:sz w:val="20"/>
        </w:rPr>
        <w:t>9.</w:t>
      </w:r>
    </w:p>
    <w:p>
      <w:pPr>
        <w:pStyle w:val="TextBody"/>
        <w:bidi w:val="0"/>
        <w:spacing w:before="240" w:after="283"/>
        <w:jc w:val="left"/>
        <w:rPr>
          <w:rFonts w:ascii="Times New Roman;serif" w:hAnsi="Times New Roman;serif"/>
          <w:b/>
          <w:sz w:val="20"/>
        </w:rPr>
      </w:pPr>
      <w:r>
        <w:rPr>
          <w:rFonts w:ascii="Times New Roman;serif" w:hAnsi="Times New Roman;serif"/>
          <w:b/>
          <w:sz w:val="20"/>
        </w:rPr>
        <w:t>Interest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capitalize a portion of our interest on funds borrowed during the active construction period of major capital projects. Capitalized interest is added to the cost of the underlying assets and amortized over the useful lives of the assets.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following is a summary of our interest costs for the three- and six-month periods ended June 30, 2023 and 2022 </w:t>
      </w:r>
      <w:r>
        <w:rPr>
          <w:rFonts w:ascii="Times New Roman;serif" w:hAnsi="Times New Roman;serif"/>
          <w:b w:val="false"/>
          <w:i/>
          <w:sz w:val="20"/>
        </w:rPr>
        <w:t>(in thousands)</w:t>
      </w:r>
      <w:r>
        <w:rPr>
          <w:rFonts w:ascii="Times New Roman;serif" w:hAnsi="Times New Roman;serif"/>
          <w:b w:val="false"/>
          <w:sz w:val="20"/>
        </w:rPr>
        <w:t>:</w:t>
      </w:r>
    </w:p>
    <w:tbl>
      <w:tblPr>
        <w:tblW w:w="9432" w:type="dxa"/>
        <w:jc w:val="left"/>
        <w:tblInd w:w="0" w:type="dxa"/>
        <w:tblLayout w:type="fixed"/>
        <w:tblCellMar>
          <w:top w:w="28" w:type="dxa"/>
          <w:left w:w="28" w:type="dxa"/>
          <w:bottom w:w="28" w:type="dxa"/>
          <w:right w:w="28" w:type="dxa"/>
        </w:tblCellMar>
      </w:tblPr>
      <w:tblGrid>
        <w:gridCol w:w="4531"/>
        <w:gridCol w:w="146"/>
        <w:gridCol w:w="211"/>
        <w:gridCol w:w="676"/>
        <w:gridCol w:w="166"/>
        <w:gridCol w:w="146"/>
        <w:gridCol w:w="211"/>
        <w:gridCol w:w="676"/>
        <w:gridCol w:w="166"/>
        <w:gridCol w:w="146"/>
        <w:gridCol w:w="211"/>
        <w:gridCol w:w="736"/>
        <w:gridCol w:w="166"/>
        <w:gridCol w:w="146"/>
        <w:gridCol w:w="211"/>
        <w:gridCol w:w="676"/>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costs charged to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19,200</w:t>
            </w:r>
          </w:p>
        </w:tc>
        <w:tc>
          <w:tcPr>
            <w:tcW w:w="21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w:t>
            </w:r>
          </w:p>
        </w:tc>
        <w:tc>
          <w:tcPr>
            <w:tcW w:w="21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the purchase price of interest rate caps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1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cap benefit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of debt discount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20,661</w:t>
            </w:r>
          </w:p>
        </w:tc>
        <w:tc>
          <w:tcPr>
            <w:tcW w:w="21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costs capitalized to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211"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costs capitalized to software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interest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21,026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240" w:after="0"/>
        <w:jc w:val="both"/>
        <w:rPr>
          <w:rFonts w:ascii="Times New Roman" w:hAnsi="Times New Roman"/>
          <w:b/>
          <w:sz w:val="20"/>
        </w:rPr>
      </w:pPr>
      <w:r>
        <w:rPr>
          <w:rFonts w:ascii="Times New Roman" w:hAnsi="Times New Roman"/>
          <w:b/>
          <w:sz w:val="20"/>
        </w:rPr>
        <w:t>10.</w:t>
      </w:r>
    </w:p>
    <w:p>
      <w:pPr>
        <w:pStyle w:val="TextBody"/>
        <w:bidi w:val="0"/>
        <w:spacing w:before="240" w:after="283"/>
        <w:jc w:val="both"/>
        <w:rPr>
          <w:rFonts w:ascii="Times New Roman;serif" w:hAnsi="Times New Roman;serif"/>
          <w:b/>
          <w:sz w:val="20"/>
        </w:rPr>
      </w:pPr>
      <w:r>
        <w:rPr>
          <w:rFonts w:ascii="Times New Roman;serif" w:hAnsi="Times New Roman;serif"/>
          <w:b/>
          <w:sz w:val="20"/>
        </w:rPr>
        <w:t>Leases</w:t>
      </w:r>
    </w:p>
    <w:p>
      <w:pPr>
        <w:pStyle w:val="TextBody"/>
        <w:bidi w:val="0"/>
        <w:spacing w:before="120" w:after="0"/>
        <w:jc w:val="left"/>
        <w:rPr>
          <w:rFonts w:ascii="Times New Roman" w:hAnsi="Times New Roman"/>
          <w:sz w:val="20"/>
        </w:rPr>
      </w:pPr>
      <w:r>
        <w:rPr>
          <w:rFonts w:ascii="Times New Roman;serif" w:hAnsi="Times New Roman;serif"/>
          <w:b/>
          <w:sz w:val="20"/>
        </w:rPr>
        <w:t>Operating and Financing Leases —</w:t>
      </w:r>
      <w:r>
        <w:rPr>
          <w:rFonts w:ascii="Times New Roman" w:hAnsi="Times New Roman"/>
          <w:sz w:val="20"/>
        </w:rPr>
        <w:t xml:space="preserve"> </w:t>
      </w:r>
      <w:r>
        <w:rPr>
          <w:rFonts w:ascii="Times New Roman;serif" w:hAnsi="Times New Roman;serif"/>
          <w:b w:val="false"/>
          <w:sz w:val="20"/>
        </w:rPr>
        <w:t>We determine whether a contract contains a lease at contract inception. Lease liabilities are calculated using a 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w:t>
      </w:r>
      <w:r>
        <w:rPr>
          <w:rFonts w:ascii="Times New Roman" w:hAnsi="Times New Roman"/>
          <w:sz w:val="20"/>
        </w:rPr>
        <w:t xml:space="preserve"> </w:t>
      </w:r>
      <w:r>
        <w:rPr>
          <w:rFonts w:ascii="Times New Roman;serif" w:hAnsi="Times New Roman;serif"/>
          <w:b w:val="false"/>
          <w:sz w:val="20"/>
        </w:rPr>
        <w:t>As of June 30, 2023, there were no significant leases which had not commenced.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is a summary of our lease expense included in the Unaudited Condensed Consolidated Statements of Operations</w:t>
      </w:r>
      <w:r>
        <w:rPr>
          <w:rFonts w:ascii="Times New Roman" w:hAnsi="Times New Roman"/>
          <w:sz w:val="20"/>
        </w:rPr>
        <w:t xml:space="preserve"> </w:t>
      </w:r>
      <w:r>
        <w:rPr>
          <w:rFonts w:ascii="Times New Roman;serif" w:hAnsi="Times New Roman;serif"/>
          <w:b w:val="false"/>
          <w:i/>
          <w:sz w:val="20"/>
        </w:rPr>
        <w:t>(in thousands)</w:t>
      </w:r>
      <w:r>
        <w:rPr>
          <w:rFonts w:ascii="Times New Roman;serif" w:hAnsi="Times New Roman;serif"/>
          <w:b w:val="false"/>
          <w:sz w:val="20"/>
        </w:rPr>
        <w:t>:</w:t>
      </w:r>
    </w:p>
    <w:tbl>
      <w:tblPr>
        <w:tblW w:w="7109" w:type="dxa"/>
        <w:jc w:val="left"/>
        <w:tblInd w:w="0" w:type="dxa"/>
        <w:tblLayout w:type="fixed"/>
        <w:tblCellMar>
          <w:top w:w="28" w:type="dxa"/>
          <w:left w:w="28" w:type="dxa"/>
          <w:bottom w:w="28" w:type="dxa"/>
          <w:right w:w="28" w:type="dxa"/>
        </w:tblCellMar>
      </w:tblPr>
      <w:tblGrid>
        <w:gridCol w:w="2476"/>
        <w:gridCol w:w="146"/>
        <w:gridCol w:w="221"/>
        <w:gridCol w:w="600"/>
        <w:gridCol w:w="153"/>
        <w:gridCol w:w="153"/>
        <w:gridCol w:w="221"/>
        <w:gridCol w:w="600"/>
        <w:gridCol w:w="146"/>
        <w:gridCol w:w="146"/>
        <w:gridCol w:w="211"/>
        <w:gridCol w:w="571"/>
        <w:gridCol w:w="146"/>
        <w:gridCol w:w="146"/>
        <w:gridCol w:w="211"/>
        <w:gridCol w:w="571"/>
        <w:gridCol w:w="3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8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3,972</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7,164</w:t>
            </w:r>
          </w:p>
        </w:tc>
        <w:tc>
          <w:tcPr>
            <w:tcW w:w="391" w:type="dxa"/>
            <w:tcBorders/>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lease cost:</w:t>
            </w:r>
          </w:p>
        </w:tc>
        <w:tc>
          <w:tcPr>
            <w:tcW w:w="146" w:type="dxa"/>
            <w:tcBorders/>
            <w:vAlign w:val="center"/>
          </w:tcPr>
          <w:p>
            <w:pPr>
              <w:pStyle w:val="TableContents"/>
              <w:bidi w:val="0"/>
              <w:spacing w:before="0" w:after="0"/>
              <w:ind w:left="0" w:right="0" w:hanging="0"/>
              <w:jc w:val="left"/>
              <w:rPr/>
            </w:pPr>
            <w:r>
              <w:rPr/>
              <w:t> </w:t>
            </w:r>
          </w:p>
        </w:tc>
        <w:tc>
          <w:tcPr>
            <w:tcW w:w="821" w:type="dxa"/>
            <w:gridSpan w:val="2"/>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right"/>
              <w:rPr/>
            </w:pPr>
            <w:r>
              <w:rPr/>
              <w:t> </w:t>
            </w:r>
          </w:p>
        </w:tc>
        <w:tc>
          <w:tcPr>
            <w:tcW w:w="153" w:type="dxa"/>
            <w:tcBorders/>
            <w:vAlign w:val="center"/>
          </w:tcPr>
          <w:p>
            <w:pPr>
              <w:pStyle w:val="TableContents"/>
              <w:bidi w:val="0"/>
              <w:spacing w:before="0" w:after="0"/>
              <w:ind w:left="0" w:right="0" w:hanging="0"/>
              <w:jc w:val="left"/>
              <w:rPr/>
            </w:pPr>
            <w:r>
              <w:rPr/>
              <w:t> </w:t>
            </w:r>
          </w:p>
        </w:tc>
        <w:tc>
          <w:tcPr>
            <w:tcW w:w="8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4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leased assets</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391" w:type="dxa"/>
            <w:tcBorders/>
            <w:vAlign w:val="center"/>
          </w:tcPr>
          <w:p>
            <w:pPr>
              <w:pStyle w:val="TableContents"/>
              <w:bidi w:val="0"/>
              <w:spacing w:before="0" w:after="0"/>
              <w:ind w:left="0" w:right="0" w:firstLine="200"/>
              <w:jc w:val="left"/>
              <w:rPr/>
            </w:pPr>
            <w:r>
              <w:rPr/>
              <w:t> </w:t>
            </w:r>
          </w:p>
        </w:tc>
      </w:tr>
      <w:tr>
        <w:trPr/>
        <w:tc>
          <w:tcPr>
            <w:tcW w:w="24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on lease liabilities</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7,265</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Other information regarding our leases is as follows </w:t>
      </w:r>
      <w:r>
        <w:rPr>
          <w:rFonts w:ascii="Times New Roman;serif" w:hAnsi="Times New Roman;serif"/>
          <w:b w:val="false"/>
          <w:i/>
          <w:sz w:val="20"/>
        </w:rPr>
        <w:t>(in thousands, except lease terms and discount rates)</w:t>
      </w:r>
      <w:r>
        <w:rPr>
          <w:rFonts w:ascii="Times New Roman;serif" w:hAnsi="Times New Roman;serif"/>
          <w:b w:val="false"/>
          <w:sz w:val="20"/>
        </w:rPr>
        <w:t>:</w:t>
      </w:r>
    </w:p>
    <w:tbl>
      <w:tblPr>
        <w:tblW w:w="8084" w:type="dxa"/>
        <w:jc w:val="left"/>
        <w:tblInd w:w="0" w:type="dxa"/>
        <w:tblLayout w:type="fixed"/>
        <w:tblCellMar>
          <w:top w:w="28" w:type="dxa"/>
          <w:left w:w="28" w:type="dxa"/>
          <w:bottom w:w="28" w:type="dxa"/>
          <w:right w:w="28" w:type="dxa"/>
        </w:tblCellMar>
      </w:tblPr>
      <w:tblGrid>
        <w:gridCol w:w="5566"/>
        <w:gridCol w:w="146"/>
        <w:gridCol w:w="211"/>
        <w:gridCol w:w="571"/>
        <w:gridCol w:w="271"/>
        <w:gridCol w:w="146"/>
        <w:gridCol w:w="211"/>
        <w:gridCol w:w="571"/>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measurement of lease liabilities: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used in 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7,117</w:t>
            </w:r>
          </w:p>
        </w:tc>
        <w:tc>
          <w:tcPr>
            <w:tcW w:w="391" w:type="dxa"/>
            <w:tcBorders/>
            <w:vAlign w:val="center"/>
          </w:tcPr>
          <w:p>
            <w:pPr>
              <w:pStyle w:val="TableContents"/>
              <w:bidi w:val="0"/>
              <w:spacing w:before="0" w:after="0"/>
              <w:ind w:left="0" w:right="0" w:firstLine="200"/>
              <w:jc w:val="lef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cash flows used in financing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91" w:type="dxa"/>
            <w:tcBorders/>
            <w:vAlign w:val="center"/>
          </w:tcPr>
          <w:p>
            <w:pPr>
              <w:pStyle w:val="TableContents"/>
              <w:bidi w:val="0"/>
              <w:spacing w:before="0" w:after="0"/>
              <w:ind w:left="0" w:right="0" w:firstLine="200"/>
              <w:jc w:val="lef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cash flows used in financing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391" w:type="dxa"/>
            <w:tcBorders/>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items: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 obtained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5,688</w:t>
            </w:r>
          </w:p>
        </w:tc>
        <w:tc>
          <w:tcPr>
            <w:tcW w:w="391" w:type="dxa"/>
            <w:tcBorders/>
            <w:vAlign w:val="center"/>
          </w:tcPr>
          <w:p>
            <w:pPr>
              <w:pStyle w:val="TableContents"/>
              <w:bidi w:val="0"/>
              <w:spacing w:before="0" w:after="0"/>
              <w:ind w:left="0" w:right="0" w:firstLine="200"/>
              <w:jc w:val="left"/>
              <w:rPr/>
            </w:pPr>
            <w:r>
              <w:rPr/>
              <w:t> </w:t>
            </w:r>
          </w:p>
        </w:tc>
      </w:tr>
      <w:tr>
        <w:trPr/>
        <w:tc>
          <w:tcPr>
            <w:tcW w:w="55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leases obtained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91" w:type="dxa"/>
            <w:tcBorders/>
            <w:vAlign w:val="center"/>
          </w:tcPr>
          <w:p>
            <w:pPr>
              <w:pStyle w:val="TableContents"/>
              <w:bidi w:val="0"/>
              <w:spacing w:before="0" w:after="0"/>
              <w:ind w:left="0" w:right="0" w:hanging="0"/>
              <w:jc w:val="lef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remaining lease term</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 years</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 years</w:t>
            </w:r>
          </w:p>
        </w:tc>
        <w:tc>
          <w:tcPr>
            <w:tcW w:w="391" w:type="dxa"/>
            <w:tcBorders/>
            <w:vAlign w:val="center"/>
          </w:tcPr>
          <w:p>
            <w:pPr>
              <w:pStyle w:val="TableContents"/>
              <w:bidi w:val="0"/>
              <w:spacing w:before="0" w:after="0"/>
              <w:ind w:left="0" w:right="0" w:hanging="0"/>
              <w:jc w:val="righ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leases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 year</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 year</w:t>
            </w:r>
          </w:p>
        </w:tc>
        <w:tc>
          <w:tcPr>
            <w:tcW w:w="391" w:type="dxa"/>
            <w:tcBorders/>
            <w:vAlign w:val="center"/>
          </w:tcPr>
          <w:p>
            <w:pPr>
              <w:pStyle w:val="TableContents"/>
              <w:bidi w:val="0"/>
              <w:spacing w:before="0" w:after="0"/>
              <w:ind w:left="0" w:right="0" w:hanging="0"/>
              <w:jc w:val="righ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Annual future minimum lease payments as of June 30, 2023 </w:t>
      </w:r>
      <w:r>
        <w:rPr>
          <w:rFonts w:ascii="Times New Roman;serif" w:hAnsi="Times New Roman;serif"/>
          <w:b w:val="false"/>
          <w:i/>
          <w:sz w:val="20"/>
        </w:rPr>
        <w:t>(in thousands)</w:t>
      </w:r>
      <w:r>
        <w:rPr>
          <w:rFonts w:ascii="Times New Roman;serif" w:hAnsi="Times New Roman;serif"/>
          <w:b w:val="false"/>
          <w:sz w:val="20"/>
        </w:rPr>
        <w:t>:</w:t>
      </w:r>
    </w:p>
    <w:tbl>
      <w:tblPr>
        <w:tblW w:w="6633" w:type="dxa"/>
        <w:jc w:val="left"/>
        <w:tblInd w:w="0" w:type="dxa"/>
        <w:tblLayout w:type="fixed"/>
        <w:tblCellMar>
          <w:top w:w="28" w:type="dxa"/>
          <w:left w:w="28" w:type="dxa"/>
          <w:bottom w:w="28" w:type="dxa"/>
          <w:right w:w="28" w:type="dxa"/>
        </w:tblCellMar>
      </w:tblPr>
      <w:tblGrid>
        <w:gridCol w:w="3811"/>
        <w:gridCol w:w="146"/>
        <w:gridCol w:w="211"/>
        <w:gridCol w:w="781"/>
        <w:gridCol w:w="166"/>
        <w:gridCol w:w="146"/>
        <w:gridCol w:w="364"/>
        <w:gridCol w:w="597"/>
        <w:gridCol w:w="4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Years ending December 31,</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Operating</w:t>
              <w:br/>
              <w:t>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Financing</w:t>
              <w:br/>
              <w:t>Leases</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(period from July 1 to December 31)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future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108,509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Amount representing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Present value of net minimum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Reported as of June 30, 2023</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1"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 </w:t>
            </w:r>
          </w:p>
        </w:tc>
        <w:tc>
          <w:tcPr>
            <w:tcW w:w="597"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8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8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4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11.</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bidi w:val="0"/>
        <w:spacing w:before="120" w:after="0"/>
        <w:jc w:val="left"/>
        <w:rPr>
          <w:rFonts w:ascii="Times New Roman" w:hAnsi="Times New Roman"/>
          <w:sz w:val="20"/>
        </w:rPr>
      </w:pPr>
      <w:r>
        <w:rPr>
          <w:rFonts w:ascii="Times New Roman;serif" w:hAnsi="Times New Roman;serif"/>
          <w:b/>
          <w:sz w:val="20"/>
        </w:rPr>
        <w:t>Contractual Commitments</w:t>
      </w:r>
      <w:r>
        <w:rPr>
          <w:rFonts w:ascii="Times New Roman" w:hAnsi="Times New Roman"/>
          <w:sz w:val="20"/>
        </w:rPr>
        <w:t xml:space="preserve"> – </w:t>
      </w:r>
      <w:r>
        <w:rPr>
          <w:rFonts w:ascii="Times New Roman;serif" w:hAnsi="Times New Roman;serif"/>
          <w:b w:val="false"/>
          <w:sz w:val="20"/>
        </w:rPr>
        <w:t>We have agreements with various vendors under which we have remaining commitments to purchase hardware components and development services. Such commitments will become payable as we receive the hardware components, or as development services are provided.</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2022, we and Hughes entered into a supply and product support agreement (the “SPSA”), providing for our purchase from Hughes of airborne antennas for use on a LEO satellite network, and the performance by Hughes of services related thereto. Under the SPSA, we commit to purchase, over a seven-year period that will begin on completion of a project milestone currently expected to occur in the second half of 2024, antennas with an estimated aggregate purchase price of approximately $170</w:t>
      </w:r>
      <w:r>
        <w:rPr>
          <w:rFonts w:ascii="Times New Roman" w:hAnsi="Times New Roman"/>
          <w:sz w:val="20"/>
        </w:rPr>
        <w:t xml:space="preserve"> </w:t>
      </w:r>
      <w:r>
        <w:rPr>
          <w:rFonts w:ascii="Times New Roman;serif" w:hAnsi="Times New Roman;serif"/>
          <w:b w:val="false"/>
          <w:sz w:val="20"/>
        </w:rPr>
        <w:t>million. During the contractual seven-year period, Hughes may not sell substantially similar equipment to other purchasers in our primary target market. In March 2023, we amended the SPSA, pursuant to which, we committed to purchase, over a seven-year period that will begin on completion of a project milestone currently expected to occur in mid-2025, additional equipment with an estimated aggregate purchase price of approximately $102</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 w:hAnsi="Times New Roman"/>
          <w:sz w:val="20"/>
        </w:rPr>
      </w:pPr>
      <w:r>
        <w:rPr>
          <w:rFonts w:ascii="Times New Roman;serif" w:hAnsi="Times New Roman;serif"/>
          <w:b/>
          <w:sz w:val="20"/>
        </w:rPr>
        <w:t>Indemnifications and Guarantees</w:t>
      </w:r>
      <w:r>
        <w:rPr>
          <w:rFonts w:ascii="Times New Roman" w:hAnsi="Times New Roman"/>
          <w:sz w:val="20"/>
        </w:rPr>
        <w:t xml:space="preserve"> – </w:t>
      </w:r>
      <w:r>
        <w:rPr>
          <w:rFonts w:ascii="Times New Roman;serif" w:hAnsi="Times New Roman;serif"/>
          <w:b w:val="false"/>
          <w:sz w:val="20"/>
        </w:rPr>
        <w:t>In accordance with Delaware law, we indemnify our officers and directors for certain events or occurrences 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pStyle w:val="TextBody"/>
        <w:bidi w:val="0"/>
        <w:spacing w:before="120" w:after="0"/>
        <w:jc w:val="left"/>
        <w:rPr>
          <w:rFonts w:ascii="Times New Roman" w:hAnsi="Times New Roman"/>
          <w:sz w:val="20"/>
        </w:rPr>
      </w:pPr>
      <w:r>
        <w:rPr>
          <w:rFonts w:ascii="Times New Roman;serif" w:hAnsi="Times New Roman;serif"/>
          <w:b/>
          <w:sz w:val="20"/>
        </w:rPr>
        <w:t>Derivative Litigation</w:t>
      </w:r>
      <w:r>
        <w:rPr>
          <w:rFonts w:ascii="Times New Roman" w:hAnsi="Times New Roman"/>
          <w:sz w:val="20"/>
        </w:rPr>
        <w:t xml:space="preserve"> – </w:t>
      </w:r>
      <w:r>
        <w:rPr>
          <w:rFonts w:ascii="Times New Roman;serif" w:hAnsi="Times New Roman;serif"/>
          <w:b w:val="false"/>
          <w:sz w:val="20"/>
        </w:rPr>
        <w:t xml:space="preserve">On September 25, 2018 and September 26, 2018, two purported stockholders of the Company filed substantively identical derivative lawsuits in the Court, styled Nanduri v. Gogo Inc. and Hutsenpiller v. Gogo Inc., respectively. Both lawsuits were purportedly brought derivatively on behalf of us and name us as a nominal defendant and name as defendants each then-current member of the Company’s Board of Directors, its former Chief Executive Officer and Chief Financial Officer, its then-current President, Commercial Aviation, and its current Chief Executive Officer and Chief Financial Officer.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 dated June 21, 2021, demanding based on substantially the same allegations, that the Company sue certain current and former Officers for, </w:t>
      </w:r>
      <w:r>
        <w:rPr>
          <w:rFonts w:ascii="Times New Roman;serif" w:hAnsi="Times New Roman;serif"/>
          <w:b w:val="false"/>
          <w:i/>
          <w:sz w:val="20"/>
        </w:rPr>
        <w:t>inter alia</w:t>
      </w:r>
      <w:r>
        <w:rPr>
          <w:rFonts w:ascii="Times New Roman;serif" w:hAnsi="Times New Roman;serif"/>
          <w:b w:val="false"/>
          <w:sz w:val="20"/>
        </w:rPr>
        <w:t>, breach of fiduciary duty. The two derivative lawsuits and the litigation demand letter are collectively referred to herein as the “Derivative Matters” and the plaintiffs in the two derivative lawsuits and the purported stockholder who sent the litigation demand letter are collectively referred to herein as the “Stockholders.”</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On January 5, 2023, following mediation, the defendants and the Stockholders entered into a Stipulation and Agreement of Settlement (the “Derivative Settlement”) under which the Company, in consideration of dismissal of the two derivative lawsuits with prejudice and a release of all claims asserted against the Company and the individual defendants in the Derivative Matters, will implement certain corporate governance initiatives (“Governance Initiatives”) and cause its D&amp;O insurance carrier to pay the Stockholders’ attorneys’ fees. Under the terms of the Derivative Settlement, the defendants will not be required to pay any damages. We had accrued a liability for attorneys’ fees within Accrued liabilities and a corresponding receivable in Prepaid expenses and other current assets in the Unaudited Condensed Consolidated Balance Sheets as of December 21, 2022.</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On February 1, 2023, the Court granted preliminary approval of the proposed Derivative Settlement, approved various notices to be disseminated to the Company’s stockholders and the schedule for dissemination. On April 11, 2023, the Court issued final judgment approving the Derivative Settlement. The Company released the accrued liability and corresponding receivable for attorneys’ fees as of March 31, 2023 and pursuant to the terms of the Derivative Settlement, has implemented the Governance Initiatives.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SmartSky Litigation</w:t>
      </w:r>
      <w:r>
        <w:rPr>
          <w:rFonts w:ascii="Times New Roman" w:hAnsi="Times New Roman"/>
          <w:sz w:val="20"/>
        </w:rPr>
        <w:t xml:space="preserve"> – </w:t>
      </w:r>
      <w:r>
        <w:rPr>
          <w:rFonts w:ascii="Times New Roman;serif" w:hAnsi="Times New Roman;serif"/>
          <w:b w:val="false"/>
          <w:sz w:val="20"/>
        </w:rPr>
        <w:t>On February 28, 2022, SmartSky Networks, LLC brought suit against Gogo Inc. and its subsidiary Gogo Business Aviation LLC in the U.S. District Court for the District of Delaware alleging that Gogo 5G infringes four patents owned by the plaintiff. On February 21, 2023, the plaintiff amended its complaint to allege that Gogo 5G infringes two additional patents recently issued to the plaintiff. The suit seeks an unspecified amount of compensatory damages as well as treble damages for alleged willful infringement and reimbursement of plaintiff's costs, disbursements and attorneys' fees. Under a schedule agreed upon by the parties, fact discovery and claim construction proceedings will be substantially completed by the end of 2023 or early 2024, and expert discovery by early-to-mid 2024, with dispositive motions to follow. A trial date has been scheduled for April 14, 2025. Also on February 28, 2022, the plaintiff filed a motion (the “PI Motion”) requesting that the Court preliminarily enjoin the Company from making, using, offering to sell or selling the Gogo 5G system. On September 26, 2022, the Court issued an order denying the PI Motion. The plaintiff has appealed the denial to the U.S. Court of Appeals for the Federal Circuit. Briefing for the appeal is complete and the appellate court heard oral arguments on June 5, 2023. We believe that the plaintiff’s claims are without merit and intend to continue to vigorously defend our position in the infringement suit and defend against the appeal. The outcomes of the appeal and the underlying litigation are inherently uncertain. No amounts have been accrued for any potential losses under this matter, as we cannot reasonably predict the outcome of the litigation or any potential losses.</w:t>
      </w:r>
    </w:p>
    <w:p>
      <w:pPr>
        <w:pStyle w:val="TextBody"/>
        <w:bidi w:val="0"/>
        <w:spacing w:before="240" w:after="0"/>
        <w:jc w:val="left"/>
        <w:rPr>
          <w:rFonts w:ascii="Times New Roman" w:hAnsi="Times New Roman"/>
          <w:b/>
          <w:sz w:val="20"/>
        </w:rPr>
      </w:pPr>
      <w:r>
        <w:rPr>
          <w:rFonts w:ascii="Times New Roman" w:hAnsi="Times New Roman"/>
          <w:b/>
          <w:sz w:val="20"/>
        </w:rPr>
        <w:t>12.</w:t>
      </w:r>
    </w:p>
    <w:p>
      <w:pPr>
        <w:pStyle w:val="TextBody"/>
        <w:bidi w:val="0"/>
        <w:spacing w:before="240" w:after="283"/>
        <w:jc w:val="left"/>
        <w:rPr>
          <w:rFonts w:ascii="Times New Roman;serif" w:hAnsi="Times New Roman;serif"/>
          <w:b/>
          <w:sz w:val="20"/>
        </w:rPr>
      </w:pPr>
      <w:r>
        <w:rPr>
          <w:rFonts w:ascii="Times New Roman;serif" w:hAnsi="Times New Roman;serif"/>
          <w:b/>
          <w:sz w:val="20"/>
        </w:rPr>
        <w:t>Income Tax</w:t>
      </w:r>
    </w:p>
    <w:p>
      <w:pPr>
        <w:pStyle w:val="TextBody"/>
        <w:bidi w:val="0"/>
        <w:spacing w:before="120" w:after="0"/>
        <w:jc w:val="left"/>
        <w:rPr>
          <w:rFonts w:ascii="Times New Roman" w:hAnsi="Times New Roman"/>
          <w:sz w:val="20"/>
        </w:rPr>
      </w:pPr>
      <w:r>
        <w:rPr>
          <w:rFonts w:ascii="Times New Roman;serif" w:hAnsi="Times New Roman;serif"/>
          <w:b w:val="false"/>
          <w:sz w:val="20"/>
        </w:rPr>
        <w:t>The effective income tax rates for the three- and six-month periods ended June 30, 2023 were (245.3)%</w:t>
      </w:r>
      <w:r>
        <w:rPr>
          <w:rFonts w:ascii="Times New Roman" w:hAnsi="Times New Roman"/>
          <w:sz w:val="20"/>
        </w:rPr>
        <w:t xml:space="preserve"> </w:t>
      </w:r>
      <w:r>
        <w:rPr>
          <w:rFonts w:ascii="Times New Roman;serif" w:hAnsi="Times New Roman;serif"/>
          <w:b w:val="false"/>
          <w:sz w:val="20"/>
        </w:rPr>
        <w:t>and (116.9)%, respectively, compared to 3.1% and 5.6%, respectively, for the prior-year periods. For the three- and six-month periods ended June 30, 2023, our effective income tax rate was lower than the U.S. federal statutory rate of 21% primarily due to a partial release of the valuation allowance on our deferred income tax assets, partially offset by state income taxes. For the three- and six-month periods ended June 30, 2022, our effective income tax rate was lower than the U.S. federal statutory rate of 21% primarily due to a partial release of the valuation allowance on our deferred income tax assets and tax benefits for stock-based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Based on our most recent assessment, for the three- and six-month periods ended June 30, 2023, we released $70.2</w:t>
      </w:r>
      <w:r>
        <w:rPr>
          <w:rFonts w:ascii="Times New Roman" w:hAnsi="Times New Roman"/>
          <w:sz w:val="20"/>
        </w:rPr>
        <w:t xml:space="preserve"> </w:t>
      </w:r>
      <w:r>
        <w:rPr>
          <w:rFonts w:ascii="Times New Roman;serif" w:hAnsi="Times New Roman;serif"/>
          <w:b w:val="false"/>
          <w:sz w:val="20"/>
        </w:rPr>
        <w:t>million and $71.4</w:t>
      </w:r>
      <w:r>
        <w:rPr>
          <w:rFonts w:ascii="Times New Roman" w:hAnsi="Times New Roman"/>
          <w:sz w:val="20"/>
        </w:rPr>
        <w:t xml:space="preserve"> </w:t>
      </w:r>
      <w:r>
        <w:rPr>
          <w:rFonts w:ascii="Times New Roman;serif" w:hAnsi="Times New Roman;serif"/>
          <w:b w:val="false"/>
          <w:sz w:val="20"/>
        </w:rPr>
        <w:t>million, respectively, of the valuation allowance for the portion of our deferred income tax assets that we are more likely going to utilize than not.</w:t>
      </w:r>
      <w:r>
        <w:rPr>
          <w:rFonts w:ascii="Times New Roman" w:hAnsi="Times New Roman"/>
          <w:sz w:val="20"/>
        </w:rPr>
        <w:t xml:space="preserve"> </w:t>
      </w:r>
      <w:r>
        <w:rPr>
          <w:rFonts w:ascii="Times New Roman;serif" w:hAnsi="Times New Roman;serif"/>
          <w:b w:val="false"/>
          <w:sz w:val="20"/>
        </w:rPr>
        <w:t>As of June 30, 2023, we can demonstrate an estimate of objectively verifiable future income. This estimate of future income, along with our assessment of the other positive and negative evidence considered, supports the release of a portion of the valuation allowance. The remaining valuation allowance is still required for deferred income tax assets related to certain state credits, foreign net operating losses and capital losses as it was more likely than not as of June 30, 2023 that these deferred income tax assets will not be realized.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taxation and file income tax returns in the United States federal jurisdiction and many states and Canada. With few exceptions, as of June 30, 2023 we are no longer subject to U.S. federal, state, local or foreign examinations by tax authorities for years before 2019.</w:t>
      </w:r>
    </w:p>
    <w:p>
      <w:pPr>
        <w:pStyle w:val="TextBody"/>
        <w:bidi w:val="0"/>
        <w:spacing w:before="120" w:after="0"/>
        <w:jc w:val="left"/>
        <w:rPr>
          <w:rFonts w:ascii="Times New Roman" w:hAnsi="Times New Roman"/>
          <w:sz w:val="20"/>
        </w:rPr>
      </w:pPr>
      <w:r>
        <w:rPr>
          <w:rFonts w:ascii="Times New Roman;serif" w:hAnsi="Times New Roman;serif"/>
          <w:b w:val="false"/>
          <w:sz w:val="20"/>
        </w:rPr>
        <w:t>We record penalties and interest relating to uncertain tax positions in the income tax provision line item in the Unaudited Condensed Consolidated Statements of Operations. No</w:t>
      </w:r>
      <w:r>
        <w:rPr>
          <w:rFonts w:ascii="Times New Roman" w:hAnsi="Times New Roman"/>
          <w:sz w:val="20"/>
        </w:rPr>
        <w:t xml:space="preserve"> </w:t>
      </w:r>
      <w:r>
        <w:rPr>
          <w:rFonts w:ascii="Times New Roman;serif" w:hAnsi="Times New Roman;serif"/>
          <w:b w:val="false"/>
          <w:sz w:val="20"/>
        </w:rPr>
        <w:t>penalties or interest related to uncertain tax positions were recorded for the three- and six-month periods ended June 30, 2023 and 2022. As of June 30, 2023 and December 31, 2022, we did not have a liability recorded for interest or potential penalties.</w:t>
      </w:r>
    </w:p>
    <w:p>
      <w:pPr>
        <w:pStyle w:val="TextBody"/>
        <w:bidi w:val="0"/>
        <w:spacing w:before="240" w:after="0"/>
        <w:jc w:val="left"/>
        <w:rPr>
          <w:rFonts w:ascii="Times New Roman" w:hAnsi="Times New Roman"/>
          <w:b/>
          <w:sz w:val="20"/>
        </w:rPr>
      </w:pPr>
      <w:r>
        <w:rPr>
          <w:rFonts w:ascii="Times New Roman" w:hAnsi="Times New Roman"/>
          <w:b/>
          <w:sz w:val="20"/>
        </w:rPr>
        <w:t>13.</w:t>
      </w:r>
    </w:p>
    <w:p>
      <w:pPr>
        <w:pStyle w:val="TextBody"/>
        <w:bidi w:val="0"/>
        <w:spacing w:before="240" w:after="283"/>
        <w:jc w:val="left"/>
        <w:rPr>
          <w:rFonts w:ascii="Times New Roman;serif" w:hAnsi="Times New Roman;serif"/>
          <w:b/>
          <w:sz w:val="20"/>
        </w:rPr>
      </w:pPr>
      <w:r>
        <w:rPr>
          <w:rFonts w:ascii="Times New Roman;serif" w:hAnsi="Times New Roman;serif"/>
          <w:b/>
          <w:sz w:val="20"/>
        </w:rPr>
        <w:t>Stock-Based Compensation and 401(k) Plan</w:t>
      </w:r>
    </w:p>
    <w:p>
      <w:pPr>
        <w:pStyle w:val="TextBody"/>
        <w:bidi w:val="0"/>
        <w:spacing w:before="120" w:after="0"/>
        <w:jc w:val="left"/>
        <w:rPr>
          <w:rFonts w:ascii="Times New Roman" w:hAnsi="Times New Roman"/>
          <w:sz w:val="20"/>
        </w:rPr>
      </w:pPr>
      <w:r>
        <w:rPr>
          <w:rFonts w:ascii="Times New Roman;serif" w:hAnsi="Times New Roman;serif"/>
          <w:b/>
          <w:sz w:val="20"/>
        </w:rPr>
        <w:t xml:space="preserve">Stock-Based Compensation — </w:t>
      </w:r>
      <w:r>
        <w:rPr>
          <w:rFonts w:ascii="Times New Roman;serif" w:hAnsi="Times New Roman;serif"/>
          <w:b w:val="false"/>
          <w:sz w:val="20"/>
        </w:rPr>
        <w:t>As of June 30, 2023, we maintained the Second Amended and Restated Gogo Inc. 2016 Omnibus Incentive Plan (the “2016 Omnibus Plan”). The Gogo Inc. 2013 Omnibus Incentive Plan, The Aircell Holdings Inc. Stock Option Plan and the Employee Stock Purchase Plan (“ESPP”) are all expired. The 2016 Omnibus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401(k) Plan,” in our 2022 10-K for further information regarding these plans. The majority of our equity grants are awarded on an annual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six-month period ended June 30, 2023, no</w:t>
      </w:r>
      <w:r>
        <w:rPr>
          <w:rFonts w:ascii="Times New Roman" w:hAnsi="Times New Roman"/>
          <w:sz w:val="20"/>
        </w:rPr>
        <w:t xml:space="preserve"> </w:t>
      </w:r>
      <w:r>
        <w:rPr>
          <w:rFonts w:ascii="Times New Roman;serif" w:hAnsi="Times New Roman;serif"/>
          <w:b w:val="false"/>
          <w:sz w:val="20"/>
        </w:rPr>
        <w:t>options to purchase shares of common stock were granted, options to purchase</w:t>
      </w:r>
      <w:r>
        <w:rPr>
          <w:rFonts w:ascii="Times New Roman" w:hAnsi="Times New Roman"/>
          <w:sz w:val="20"/>
        </w:rPr>
        <w:t xml:space="preserve"> </w:t>
      </w:r>
      <w:r>
        <w:rPr>
          <w:rFonts w:ascii="Times New Roman;serif" w:hAnsi="Times New Roman;serif"/>
          <w:b w:val="false"/>
          <w:sz w:val="20"/>
        </w:rPr>
        <w:t>114,771</w:t>
      </w:r>
      <w:r>
        <w:rPr>
          <w:rFonts w:ascii="Times New Roman" w:hAnsi="Times New Roman"/>
          <w:sz w:val="20"/>
        </w:rPr>
        <w:t xml:space="preserve"> </w:t>
      </w:r>
      <w:r>
        <w:rPr>
          <w:rFonts w:ascii="Times New Roman;serif" w:hAnsi="Times New Roman;serif"/>
          <w:b w:val="false"/>
          <w:sz w:val="20"/>
        </w:rPr>
        <w:t>shares of common stock were exercised, 1,875</w:t>
      </w:r>
      <w:r>
        <w:rPr>
          <w:rFonts w:ascii="Times New Roman" w:hAnsi="Times New Roman"/>
          <w:sz w:val="20"/>
        </w:rPr>
        <w:t xml:space="preserve"> </w:t>
      </w:r>
      <w:r>
        <w:rPr>
          <w:rFonts w:ascii="Times New Roman;serif" w:hAnsi="Times New Roman;serif"/>
          <w:b w:val="false"/>
          <w:sz w:val="20"/>
        </w:rPr>
        <w:t>options to purchase shares of common stock were forfeited and 4,120</w:t>
      </w:r>
      <w:r>
        <w:rPr>
          <w:rFonts w:ascii="Times New Roman" w:hAnsi="Times New Roman"/>
          <w:sz w:val="20"/>
        </w:rPr>
        <w:t xml:space="preserve"> </w:t>
      </w:r>
      <w:r>
        <w:rPr>
          <w:rFonts w:ascii="Times New Roman;serif" w:hAnsi="Times New Roman;serif"/>
          <w:b w:val="false"/>
          <w:sz w:val="20"/>
        </w:rPr>
        <w:t>options to purchase shares of common stock expired.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Notes to Unaudited Condensed Consolidated Financial Statements – (Continued)</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six-month period ended June 30, 2023, 1,393,218</w:t>
      </w:r>
      <w:r>
        <w:rPr>
          <w:rFonts w:ascii="Times New Roman" w:hAnsi="Times New Roman"/>
          <w:sz w:val="20"/>
        </w:rPr>
        <w:t xml:space="preserve"> </w:t>
      </w:r>
      <w:r>
        <w:rPr>
          <w:rFonts w:ascii="Times New Roman;serif" w:hAnsi="Times New Roman;serif"/>
          <w:b w:val="false"/>
          <w:sz w:val="20"/>
        </w:rPr>
        <w:t>RSUs were granted, 1,091,152</w:t>
      </w:r>
      <w:r>
        <w:rPr>
          <w:rFonts w:ascii="Times New Roman" w:hAnsi="Times New Roman"/>
          <w:sz w:val="20"/>
        </w:rPr>
        <w:t xml:space="preserve"> </w:t>
      </w:r>
      <w:r>
        <w:rPr>
          <w:rFonts w:ascii="Times New Roman;serif" w:hAnsi="Times New Roman;serif"/>
          <w:b w:val="false"/>
          <w:sz w:val="20"/>
        </w:rPr>
        <w:t>RSUs vested and 77,325</w:t>
      </w:r>
      <w:r>
        <w:rPr>
          <w:rFonts w:ascii="Times New Roman" w:hAnsi="Times New Roman"/>
          <w:sz w:val="20"/>
        </w:rPr>
        <w:t xml:space="preserve"> </w:t>
      </w:r>
      <w:r>
        <w:rPr>
          <w:rFonts w:ascii="Times New Roman;serif" w:hAnsi="Times New Roman;serif"/>
          <w:b w:val="false"/>
          <w:sz w:val="20"/>
        </w:rPr>
        <w:t>RSUs were forfeited. The fair value of the RSUs granted during the six-month period ended June 30, 2023 was approximately $23.0</w:t>
      </w:r>
      <w:r>
        <w:rPr>
          <w:rFonts w:ascii="Times New Roman" w:hAnsi="Times New Roman"/>
          <w:sz w:val="20"/>
        </w:rPr>
        <w:t xml:space="preserve"> </w:t>
      </w:r>
      <w:r>
        <w:rPr>
          <w:rFonts w:ascii="Times New Roman;serif" w:hAnsi="Times New Roman;serif"/>
          <w:b w:val="false"/>
          <w:sz w:val="20"/>
        </w:rPr>
        <w:t>million, which will generally be recognized over a period of four years.</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six-month period ended June 30, 2023, 60,171</w:t>
      </w:r>
      <w:r>
        <w:rPr>
          <w:rFonts w:ascii="Times New Roman" w:hAnsi="Times New Roman"/>
          <w:sz w:val="20"/>
        </w:rPr>
        <w:t xml:space="preserve"> </w:t>
      </w:r>
      <w:r>
        <w:rPr>
          <w:rFonts w:ascii="Times New Roman;serif" w:hAnsi="Times New Roman;serif"/>
          <w:b w:val="false"/>
          <w:sz w:val="20"/>
        </w:rPr>
        <w:t>deferred stock units were granted and 84,366</w:t>
      </w:r>
      <w:r>
        <w:rPr>
          <w:rFonts w:ascii="Times New Roman" w:hAnsi="Times New Roman"/>
          <w:sz w:val="20"/>
        </w:rPr>
        <w:t xml:space="preserve"> </w:t>
      </w:r>
      <w:r>
        <w:rPr>
          <w:rFonts w:ascii="Times New Roman;serif" w:hAnsi="Times New Roman;serif"/>
          <w:b w:val="false"/>
          <w:sz w:val="20"/>
        </w:rPr>
        <w:t>vested. The fair value of the deferred stock units granted during the six-month period ended June 30, 2023 was approximately $0.9</w:t>
      </w:r>
      <w:r>
        <w:rPr>
          <w:rFonts w:ascii="Times New Roman" w:hAnsi="Times New Roman"/>
          <w:sz w:val="20"/>
        </w:rPr>
        <w:t xml:space="preserve"> </w:t>
      </w:r>
      <w:r>
        <w:rPr>
          <w:rFonts w:ascii="Times New Roman;serif" w:hAnsi="Times New Roman;serif"/>
          <w:b w:val="false"/>
          <w:sz w:val="20"/>
        </w:rPr>
        <w:t>million, which was recognized immediately.</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six-month period ended June 30, 2023, 29,257</w:t>
      </w:r>
      <w:r>
        <w:rPr>
          <w:rFonts w:ascii="Times New Roman" w:hAnsi="Times New Roman"/>
          <w:sz w:val="20"/>
        </w:rPr>
        <w:t xml:space="preserve"> </w:t>
      </w:r>
      <w:r>
        <w:rPr>
          <w:rFonts w:ascii="Times New Roman;serif" w:hAnsi="Times New Roman;serif"/>
          <w:b w:val="false"/>
          <w:sz w:val="20"/>
        </w:rPr>
        <w:t>shares of common stock were issued under the ESPP.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following is a summary of our stock-based compensation expense by operating expense line in the Unaudited Condensed Consolidated Statements of Operations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7897"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676"/>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equipment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Engineering, design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1,145</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1,222</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sz w:val="20"/>
        </w:rPr>
        <w:t>401(k) Plan</w:t>
      </w:r>
      <w:r>
        <w:rPr>
          <w:rFonts w:ascii="Times New Roman" w:hAnsi="Times New Roman"/>
          <w:sz w:val="20"/>
        </w:rPr>
        <w:t xml:space="preserve"> — </w:t>
      </w:r>
      <w:r>
        <w:rPr>
          <w:rFonts w:ascii="Times New Roman;serif" w:hAnsi="Times New Roman;serif"/>
          <w:b w:val="false"/>
          <w:sz w:val="20"/>
        </w:rPr>
        <w:t>Under our 401(k) plan, all employees who are eligible to participate are entitled to make tax-deferred contributions, subject to Internal Revenue Service limitations. We match 100% of the employee’s first 4% of contributions made, subject to annual limitations. Our matching contributions were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$1.0</w:t>
      </w:r>
      <w:r>
        <w:rPr>
          <w:rFonts w:ascii="Times New Roman" w:hAnsi="Times New Roman"/>
          <w:sz w:val="20"/>
        </w:rPr>
        <w:t xml:space="preserve"> </w:t>
      </w:r>
      <w:r>
        <w:rPr>
          <w:rFonts w:ascii="Times New Roman;serif" w:hAnsi="Times New Roman;serif"/>
          <w:b w:val="false"/>
          <w:sz w:val="20"/>
        </w:rPr>
        <w:t>million, respectively, during the three- and six-month periods ended June 30, 2023 and $0.5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$0.9</w:t>
      </w:r>
      <w:r>
        <w:rPr>
          <w:rFonts w:ascii="Times New Roman" w:hAnsi="Times New Roman"/>
          <w:sz w:val="20"/>
        </w:rPr>
        <w:t xml:space="preserve"> </w:t>
      </w:r>
      <w:r>
        <w:rPr>
          <w:rFonts w:ascii="Times New Roman;serif" w:hAnsi="Times New Roman;serif"/>
          <w:b w:val="false"/>
          <w:sz w:val="20"/>
        </w:rPr>
        <w:t>million, respectively, for the prior-year periods.</w:t>
      </w:r>
    </w:p>
    <w:p>
      <w:pPr>
        <w:pStyle w:val="TextBody"/>
        <w:bidi w:val="0"/>
        <w:spacing w:before="240" w:after="0"/>
        <w:jc w:val="left"/>
        <w:rPr>
          <w:rFonts w:ascii="Times New Roman" w:hAnsi="Times New Roman"/>
          <w:b/>
          <w:sz w:val="20"/>
        </w:rPr>
      </w:pPr>
      <w:r>
        <w:rPr>
          <w:rFonts w:ascii="Times New Roman" w:hAnsi="Times New Roman"/>
          <w:b/>
          <w:sz w:val="20"/>
        </w:rPr>
        <w:t>14.</w:t>
      </w:r>
    </w:p>
    <w:p>
      <w:pPr>
        <w:pStyle w:val="TextBody"/>
        <w:bidi w:val="0"/>
        <w:spacing w:before="240" w:after="283"/>
        <w:jc w:val="left"/>
        <w:rPr>
          <w:rFonts w:ascii="Times New Roman;serif" w:hAnsi="Times New Roman;serif"/>
          <w:b/>
          <w:sz w:val="20"/>
        </w:rPr>
      </w:pPr>
      <w:r>
        <w:rPr>
          <w:rFonts w:ascii="Times New Roman;serif" w:hAnsi="Times New Roman;serif"/>
          <w:b/>
          <w:sz w:val="20"/>
        </w:rPr>
        <w:t>Research and Development Costs</w:t>
      </w:r>
    </w:p>
    <w:p>
      <w:pPr>
        <w:pStyle w:val="TextBody"/>
        <w:bidi w:val="0"/>
        <w:spacing w:before="120" w:after="0"/>
        <w:jc w:val="left"/>
        <w:rPr>
          <w:rFonts w:ascii="Times New Roman" w:hAnsi="Times New Roman"/>
          <w:sz w:val="20"/>
        </w:rPr>
      </w:pPr>
      <w:r>
        <w:rPr>
          <w:rFonts w:ascii="Times New Roman;serif" w:hAnsi="Times New Roman;serif"/>
          <w:b w:val="false"/>
          <w:sz w:val="20"/>
        </w:rPr>
        <w:t>Expenditures for research and development are charged to expense as incurred and totaled $9.2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$17.1</w:t>
      </w:r>
      <w:r>
        <w:rPr>
          <w:rFonts w:ascii="Times New Roman" w:hAnsi="Times New Roman"/>
          <w:sz w:val="20"/>
        </w:rPr>
        <w:t xml:space="preserve"> </w:t>
      </w:r>
      <w:r>
        <w:rPr>
          <w:rFonts w:ascii="Times New Roman;serif" w:hAnsi="Times New Roman;serif"/>
          <w:b w:val="false"/>
          <w:sz w:val="20"/>
        </w:rPr>
        <w:t>million, respectively, during the three- and six-month periods ended June 30, 2023 and $8.0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$13.4</w:t>
      </w:r>
      <w:r>
        <w:rPr>
          <w:rFonts w:ascii="Times New Roman" w:hAnsi="Times New Roman"/>
          <w:sz w:val="20"/>
        </w:rPr>
        <w:t xml:space="preserve"> </w:t>
      </w:r>
      <w:r>
        <w:rPr>
          <w:rFonts w:ascii="Times New Roman;serif" w:hAnsi="Times New Roman;serif"/>
          <w:b w:val="false"/>
          <w:sz w:val="20"/>
        </w:rPr>
        <w:t>million, respectively, for the prior-year periods. Research and development costs are reported as Engineering, design and development expenses in our Unaudited Condensed Consolidated Statements of Operations.</w:t>
      </w:r>
    </w:p>
    <w:p>
      <w:pPr>
        <w:pStyle w:val="TextBody"/>
        <w:bidi w:val="0"/>
        <w:spacing w:before="240" w:after="0"/>
        <w:jc w:val="left"/>
        <w:rPr>
          <w:rFonts w:ascii="Times New Roman" w:hAnsi="Times New Roman"/>
          <w:b/>
          <w:sz w:val="20"/>
        </w:rPr>
      </w:pPr>
      <w:r>
        <w:rPr>
          <w:rFonts w:ascii="Times New Roman" w:hAnsi="Times New Roman"/>
          <w:b/>
          <w:sz w:val="20"/>
        </w:rPr>
        <w:t>15.</w:t>
      </w:r>
    </w:p>
    <w:p>
      <w:pPr>
        <w:pStyle w:val="TextBody"/>
        <w:bidi w:val="0"/>
        <w:spacing w:before="240" w:after="283"/>
        <w:jc w:val="left"/>
        <w:rPr>
          <w:rFonts w:ascii="Times New Roman;serif" w:hAnsi="Times New Roman;serif"/>
          <w:b/>
          <w:sz w:val="20"/>
        </w:rPr>
      </w:pPr>
      <w:r>
        <w:rPr>
          <w:rFonts w:ascii="Times New Roman;serif" w:hAnsi="Times New Roman;serif"/>
          <w:b/>
          <w:sz w:val="20"/>
        </w:rPr>
        <w:t>Accumulated Other Comprehensive Income (Loss)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following is a summary of changes in accumulated other comprehensive income (loss) by component </w:t>
      </w:r>
      <w:r>
        <w:rPr>
          <w:rFonts w:ascii="Times New Roman;serif" w:hAnsi="Times New Roman;serif"/>
          <w:b w:val="false"/>
          <w:i/>
          <w:sz w:val="20"/>
        </w:rPr>
        <w:t>(in thousands):</w:t>
      </w:r>
    </w:p>
    <w:p>
      <w:pPr>
        <w:pStyle w:val="TextBody"/>
        <w:bidi w:val="0"/>
        <w:spacing w:before="0" w:after="0"/>
        <w:jc w:val="left"/>
        <w:rPr/>
      </w:pPr>
      <w:r>
        <w:rPr/>
        <w:t> </w:t>
      </w:r>
    </w:p>
    <w:tbl>
      <w:tblPr>
        <w:tblW w:w="8950" w:type="dxa"/>
        <w:jc w:val="left"/>
        <w:tblInd w:w="0" w:type="dxa"/>
        <w:tblLayout w:type="fixed"/>
        <w:tblCellMar>
          <w:top w:w="28" w:type="dxa"/>
          <w:left w:w="28" w:type="dxa"/>
          <w:bottom w:w="28" w:type="dxa"/>
          <w:right w:w="28" w:type="dxa"/>
        </w:tblCellMar>
      </w:tblPr>
      <w:tblGrid>
        <w:gridCol w:w="4876"/>
        <w:gridCol w:w="146"/>
        <w:gridCol w:w="237"/>
        <w:gridCol w:w="709"/>
        <w:gridCol w:w="166"/>
        <w:gridCol w:w="146"/>
        <w:gridCol w:w="257"/>
        <w:gridCol w:w="823"/>
        <w:gridCol w:w="166"/>
        <w:gridCol w:w="146"/>
        <w:gridCol w:w="211"/>
        <w:gridCol w:w="676"/>
        <w:gridCol w:w="3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Translation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Flow</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Adjustment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Hedges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January 1, 2023</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30,128</w:t>
            </w:r>
          </w:p>
        </w:tc>
        <w:tc>
          <w:tcPr>
            <w:tcW w:w="391" w:type="dxa"/>
            <w:tcBorders/>
            <w:vAlign w:val="center"/>
          </w:tcPr>
          <w:p>
            <w:pPr>
              <w:pStyle w:val="TableContents"/>
              <w:bidi w:val="0"/>
              <w:spacing w:before="0" w:after="0"/>
              <w:ind w:left="0" w:right="0" w:firstLine="200"/>
              <w:jc w:val="left"/>
              <w:rPr/>
            </w:pPr>
            <w:r>
              <w:rPr/>
              <w:t> </w:t>
            </w:r>
          </w:p>
        </w:tc>
      </w:tr>
      <w:tr>
        <w:trPr/>
        <w:tc>
          <w:tcPr>
            <w:tcW w:w="4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(loss) before reclassifications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5,147</w:t>
            </w:r>
          </w:p>
        </w:tc>
        <w:tc>
          <w:tcPr>
            <w:tcW w:w="391" w:type="dxa"/>
            <w:tcBorders/>
            <w:vAlign w:val="center"/>
          </w:tcPr>
          <w:p>
            <w:pPr>
              <w:pStyle w:val="TableContents"/>
              <w:bidi w:val="0"/>
              <w:spacing w:before="0" w:after="0"/>
              <w:ind w:left="0" w:right="0" w:firstLine="200"/>
              <w:jc w:val="left"/>
              <w:rPr/>
            </w:pPr>
            <w:r>
              <w:rPr/>
              <w:t> </w:t>
            </w:r>
          </w:p>
        </w:tc>
      </w:tr>
      <w:tr>
        <w:trPr/>
        <w:tc>
          <w:tcPr>
            <w:tcW w:w="4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income realized and reclassified to earnings</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current period comprehensive income (loss)</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26,118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25,152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930" w:type="dxa"/>
        <w:jc w:val="left"/>
        <w:tblInd w:w="0" w:type="dxa"/>
        <w:tblLayout w:type="fixed"/>
        <w:tblCellMar>
          <w:top w:w="28" w:type="dxa"/>
          <w:left w:w="28" w:type="dxa"/>
          <w:bottom w:w="28" w:type="dxa"/>
          <w:right w:w="28" w:type="dxa"/>
        </w:tblCellMar>
      </w:tblPr>
      <w:tblGrid>
        <w:gridCol w:w="4876"/>
        <w:gridCol w:w="146"/>
        <w:gridCol w:w="287"/>
        <w:gridCol w:w="659"/>
        <w:gridCol w:w="166"/>
        <w:gridCol w:w="146"/>
        <w:gridCol w:w="257"/>
        <w:gridCol w:w="823"/>
        <w:gridCol w:w="146"/>
        <w:gridCol w:w="146"/>
        <w:gridCol w:w="211"/>
        <w:gridCol w:w="676"/>
        <w:gridCol w:w="3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Currency</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of</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Translation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Cash Flow</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Adjustment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Hedges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January 1, 2022</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1,789</w:t>
            </w:r>
          </w:p>
        </w:tc>
        <w:tc>
          <w:tcPr>
            <w:tcW w:w="391" w:type="dxa"/>
            <w:tcBorders/>
            <w:vAlign w:val="center"/>
          </w:tcPr>
          <w:p>
            <w:pPr>
              <w:pStyle w:val="TableContents"/>
              <w:bidi w:val="0"/>
              <w:spacing w:before="0" w:after="0"/>
              <w:ind w:left="0" w:right="0" w:firstLine="200"/>
              <w:jc w:val="left"/>
              <w:rPr/>
            </w:pPr>
            <w:r>
              <w:rPr/>
              <w:t> </w:t>
            </w:r>
          </w:p>
        </w:tc>
      </w:tr>
      <w:tr>
        <w:trPr/>
        <w:tc>
          <w:tcPr>
            <w:tcW w:w="4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comprehensive income (loss) before reclassifications</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21,150</w:t>
            </w:r>
          </w:p>
        </w:tc>
        <w:tc>
          <w:tcPr>
            <w:tcW w:w="391" w:type="dxa"/>
            <w:tcBorders/>
            <w:vAlign w:val="center"/>
          </w:tcPr>
          <w:p>
            <w:pPr>
              <w:pStyle w:val="TableContents"/>
              <w:bidi w:val="0"/>
              <w:spacing w:before="0" w:after="0"/>
              <w:ind w:left="0" w:right="0" w:firstLine="200"/>
              <w:jc w:val="left"/>
              <w:rPr/>
            </w:pPr>
            <w:r>
              <w:rPr/>
              <w:t> </w:t>
            </w:r>
          </w:p>
        </w:tc>
      </w:tr>
      <w:tr>
        <w:trPr/>
        <w:tc>
          <w:tcPr>
            <w:tcW w:w="4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income realized and reclassified to earnings</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current period comprehensive income (loss)</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at June 30, 2022</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22,420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16.</w:t>
      </w:r>
    </w:p>
    <w:p>
      <w:pPr>
        <w:pStyle w:val="TextBody"/>
        <w:bidi w:val="0"/>
        <w:spacing w:before="240" w:after="283"/>
        <w:jc w:val="left"/>
        <w:rPr>
          <w:rFonts w:ascii="Times New Roman;serif" w:hAnsi="Times New Roman;serif"/>
          <w:b/>
          <w:sz w:val="20"/>
        </w:rPr>
      </w:pPr>
      <w:r>
        <w:rPr>
          <w:rFonts w:ascii="Times New Roman;serif" w:hAnsi="Times New Roman;serif"/>
          <w:b/>
          <w:sz w:val="20"/>
        </w:rPr>
        <w:t>Government Assistance</w:t>
      </w:r>
    </w:p>
    <w:p>
      <w:pPr>
        <w:pStyle w:val="TextBody"/>
        <w:bidi w:val="0"/>
        <w:spacing w:before="120" w:after="0"/>
        <w:jc w:val="left"/>
        <w:rPr>
          <w:rFonts w:ascii="Times New Roman" w:hAnsi="Times New Roman"/>
          <w:sz w:val="20"/>
        </w:rPr>
      </w:pPr>
      <w:r>
        <w:rPr>
          <w:rFonts w:ascii="Times New Roman;serif" w:hAnsi="Times New Roman;serif"/>
          <w:b/>
          <w:i/>
          <w:sz w:val="20"/>
        </w:rPr>
        <w:t>FCC Reimbursement Program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w:t>
      </w:r>
      <w:r>
        <w:rPr>
          <w:rFonts w:ascii="Times New Roman" w:hAnsi="Times New Roman"/>
          <w:sz w:val="20"/>
        </w:rPr>
        <w:t xml:space="preserve"> </w:t>
      </w:r>
      <w:r>
        <w:rPr>
          <w:rFonts w:ascii="Times New Roman;serif" w:hAnsi="Times New Roman;serif"/>
          <w:b w:val="false"/>
          <w:sz w:val="20"/>
        </w:rPr>
        <w:t>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w:t>
      </w:r>
      <w:r>
        <w:rPr>
          <w:rFonts w:ascii="Times New Roman" w:hAnsi="Times New Roman"/>
          <w:sz w:val="20"/>
        </w:rPr>
        <w:t xml:space="preserve"> </w:t>
      </w:r>
      <w:r>
        <w:rPr>
          <w:rFonts w:ascii="Times New Roman;serif" w:hAnsi="Times New Roman;serif"/>
          <w:b w:val="false"/>
          <w:sz w:val="20"/>
        </w:rPr>
        <w:t xml:space="preserve">million of the approved amount is currently allocated to the Company under the program. If Congress appropriates additional funds for this purpose, the allocations of the Company and other approved applicants will be increased </w:t>
      </w:r>
      <w:r>
        <w:rPr>
          <w:rFonts w:ascii="Times New Roman;serif" w:hAnsi="Times New Roman;serif"/>
          <w:b w:val="false"/>
          <w:i/>
          <w:sz w:val="20"/>
        </w:rPr>
        <w:t>pro rata</w:t>
      </w:r>
      <w:r>
        <w:rPr>
          <w:rFonts w:ascii="Times New Roman;serif" w:hAnsi="Times New Roman;serif"/>
          <w:b w:val="false"/>
          <w:sz w:val="20"/>
        </w:rPr>
        <w:t>. Program participants are subject to a number of conditions and requirements under the FCC’s rules including a requirement that they submit their first reimbursement request by July 17, 2023 and certify that they have developed a plan to permanently remove, replace and dispose of covered equipment or services within one year following the first reimbursement request. The rules permit participants to petition the FCC for one or more six-month extensions of the completion deadline. The Company, with the assistance of an advisor we engaged to help administer the program, submitted and received its first reimbursement claim in July 2023. The Company’s one year term to complete the program is set for July 21, 2024, however, we plan to petition the FCC for an extension.</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have recorded a $0.9</w:t>
      </w:r>
      <w:r>
        <w:rPr>
          <w:rFonts w:ascii="Times New Roman" w:hAnsi="Times New Roman"/>
          <w:sz w:val="20"/>
        </w:rPr>
        <w:t xml:space="preserve"> </w:t>
      </w:r>
      <w:r>
        <w:rPr>
          <w:rFonts w:ascii="Times New Roman;serif" w:hAnsi="Times New Roman;serif"/>
          <w:b w:val="false"/>
          <w:sz w:val="20"/>
        </w:rPr>
        <w:t>million receivable from the FCC, which is included in Prepaid expenses and other current assets in our Unaudited Condensed Consolidated Balance Sheets, primarily for the reimbursement of equipment purchases and a corresponding reduction to Property and equipment, net for $0.9</w:t>
      </w:r>
      <w:r>
        <w:rPr>
          <w:rFonts w:ascii="Times New Roman" w:hAnsi="Times New Roman"/>
          <w:sz w:val="20"/>
        </w:rPr>
        <w:t xml:space="preserve"> </w:t>
      </w:r>
      <w:r>
        <w:rPr>
          <w:rFonts w:ascii="Times New Roman;serif" w:hAnsi="Times New Roman;serif"/>
          <w:b w:val="false"/>
          <w:sz w:val="20"/>
        </w:rPr>
        <w:t>million. See Note 1, “Basis of Presentation,”</w:t>
      </w:r>
      <w:r>
        <w:rPr>
          <w:rFonts w:ascii="Times New Roman" w:hAnsi="Times New Roman"/>
          <w:sz w:val="20"/>
        </w:rPr>
        <w:t xml:space="preserve"> </w:t>
      </w:r>
      <w:r>
        <w:rPr>
          <w:rFonts w:ascii="Times New Roman;serif" w:hAnsi="Times New Roman;serif"/>
          <w:b w:val="false"/>
          <w:sz w:val="20"/>
        </w:rPr>
        <w:t>for additional information on our accounting policy for government grants.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SPECIAL NOTE REGARDING FORWARD-LOOKING STATEMENTS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continue to generate revenue from the provision of our connectivity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reliance on our key OEMs and dealers for equipment sales;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and deploy Gogo 5G, Gogo Galileo or other next generation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competition;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expand our business outside of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pandemics or other outbreaks of contagious diseases, including the COVID-19 pandemic, and the measures implemented to combat them;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global supply chain and logistics issues and increasing inflation;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evaluate or pursue strategic opportunities;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reliance on third parties for equipment components and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recruit, train and retain highly skilled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adverse economic conditions;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rights to use our licensed 3Mhz of ATG spectrum in the United States and obtain rights to additional spectrum if needed;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our use of open-source software;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equipment failure or material defects or errors in our software;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service interruptions or delays, technology failures, equipment damage or system disruptions or failures, including any arising from cyber-attacks;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assertions by third parties of infringement, misappropriation or other violations;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innovate and provide products and services;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risks associated with participation in the Federal Communications Commission’s (“FCC”) Reimbursement Program;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applicable foreign ownership limitations;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government regulation of the internet and conflict minerals;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anti-bribery, anti-corruption and anti-money laundering laws;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possession and use of personal information;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of expenses, liabilities or business disruptions resulting from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protect our intellectual property rights;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global climate change and legal, regulatory or market responses to it;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substantial indebtedness, limitations and restrictions in the agreements governing our current and future indebtedness and our ability to service our indebtedness;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fluctuations in our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fully utilize portions of our deferred income tax assets;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risks and factors listed under “Risk Factors” in our Annual Report on Form 10-K for the year ended December 31, 2022, as filed with the Securities and Exchange Commission (the “SEC”) on February 28, 2023 (the “2022 10-K”), and in Item 1A of our Quarterly Report on Form 10-Q for the quarter ended March 31, 2023, as filed with the SEC on May 3, 2023 (the “2023 Q1 10-Q”), and in Item 1A of this Quarterly Report on Form 10-Q.</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1" w:name="item_2_managements_discussion_analysis_f"/>
      <w:bookmarkEnd w:id="11"/>
      <w:r>
        <w:rPr>
          <w:rFonts w:ascii="Times New Roman;serif" w:hAnsi="Times New Roman;serif"/>
          <w:b/>
          <w:sz w:val="20"/>
        </w:rPr>
        <w:t>ITEM 2. MANAGEMENT’S DISCUSSION AND ANALYSIS OF 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pStyle w:val="TextBody"/>
        <w:bidi w:val="0"/>
        <w:spacing w:before="120" w:after="0"/>
        <w:jc w:val="left"/>
        <w:rPr>
          <w:rFonts w:ascii="Times New Roman" w:hAnsi="Times New Roman"/>
          <w:sz w:val="20"/>
        </w:rPr>
      </w:pPr>
      <w:r>
        <w:rPr>
          <w:rFonts w:ascii="Times New Roman;serif" w:hAnsi="Times New Roman;serif"/>
          <w:b w:val="false"/>
          <w:i/>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2022 10-K, in Item 1A of the 2023 Q1 10-Q and in Item 1A and “Special Note Regarding Forward-Looking Statements” in this Quarterly Report on Form 10-Q. Our actual results may differ materially from those contained in or implied by any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Our fiscal year ends December 31 and, unless otherwise noted, references to “years” or “fiscal” are for fiscal years ended December 31. See “</w:t>
      </w:r>
      <w:r>
        <w:rPr>
          <w:rFonts w:ascii="Times New Roman" w:hAnsi="Times New Roman"/>
          <w:sz w:val="20"/>
        </w:rPr>
        <w:t xml:space="preserve">— </w:t>
      </w:r>
      <w:r>
        <w:rPr>
          <w:rFonts w:ascii="Times New Roman;serif" w:hAnsi="Times New Roman;serif"/>
          <w:b w:val="false"/>
          <w:i/>
          <w:sz w:val="20"/>
        </w:rPr>
        <w:t>Results of Operations.”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Company Overview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approximately mid-year 2024.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(“Gogo Galileo”). The service will use an electronically steered antenna (“ESA”), specifically designed to address a broad range of business aviation aircraft, operating on a low earth orbit (“LEO”) satellite network and is targeted for commercial launch in the second half of 2024.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pStyle w:val="TextBody"/>
        <w:bidi w:val="0"/>
        <w:spacing w:before="240" w:after="0"/>
        <w:jc w:val="both"/>
        <w:rPr>
          <w:rFonts w:ascii="Times New Roman" w:hAnsi="Times New Roman"/>
          <w:sz w:val="20"/>
        </w:rPr>
      </w:pPr>
      <w:r>
        <w:rPr>
          <w:rFonts w:ascii="Times New Roman;serif" w:hAnsi="Times New Roman;serif"/>
          <w:b/>
          <w:sz w:val="20"/>
        </w:rPr>
        <w:t>Factors and Trends Affecting Our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associated with the implementation of, and our ability to implement on a timely basis, our technology roadmap, including upgrades to and installation of the ATG technologies we currently offer, Gogo 5G, Gogo Galileo and any other next generation or other new technology;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license additional spectrum and make other improvements to our network and operations as technology and user expectations change;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of aircraft in service in our markets, including consolidations or changes in fleet size by one or more of our large-fleet customers;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economic environment and other trends that affect both business and leisure aviation travel;</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disruptions to supply chains and installations, including shortages of electronic components that have resulted in longer lead times and delays in obtaining certain electronic components used in the airborne equipment that we manufacture;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engage suppliers of equipment components and network services on a timely basis and on commercially reasonable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fully utilize portions of our deferred income tax assets;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changes in laws, regulations and policies affecting our business or the business of our customers and suppliers globally, including changes that impact the design of our equipment and our ability to obtain required certifications for our equipment. </w:t>
      </w:r>
    </w:p>
    <w:p>
      <w:pPr>
        <w:pStyle w:val="TextBody"/>
        <w:bidi w:val="0"/>
        <w:spacing w:before="240" w:after="0"/>
        <w:jc w:val="both"/>
        <w:rPr>
          <w:rFonts w:ascii="Times New Roman;serif" w:hAnsi="Times New Roman;serif"/>
          <w:b/>
          <w:sz w:val="20"/>
        </w:rPr>
      </w:pPr>
      <w:r>
        <w:rPr>
          <w:rFonts w:ascii="Times New Roman;serif" w:hAnsi="Times New Roman;serif"/>
          <w:b/>
          <w:sz w:val="20"/>
        </w:rPr>
        <w:t>Key Business Metrics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pStyle w:val="TextBody"/>
        <w:bidi w:val="0"/>
        <w:spacing w:before="0" w:after="0"/>
        <w:jc w:val="left"/>
        <w:rPr/>
      </w:pPr>
      <w:r>
        <w:rPr/>
        <w:t> </w:t>
      </w:r>
    </w:p>
    <w:tbl>
      <w:tblPr>
        <w:tblW w:w="9942" w:type="dxa"/>
        <w:jc w:val="left"/>
        <w:tblInd w:w="0" w:type="dxa"/>
        <w:tblLayout w:type="fixed"/>
        <w:tblCellMar>
          <w:top w:w="28" w:type="dxa"/>
          <w:left w:w="28" w:type="dxa"/>
          <w:bottom w:w="28" w:type="dxa"/>
          <w:right w:w="28" w:type="dxa"/>
        </w:tblCellMar>
      </w:tblPr>
      <w:tblGrid>
        <w:gridCol w:w="5401"/>
        <w:gridCol w:w="146"/>
        <w:gridCol w:w="211"/>
        <w:gridCol w:w="571"/>
        <w:gridCol w:w="146"/>
        <w:gridCol w:w="146"/>
        <w:gridCol w:w="211"/>
        <w:gridCol w:w="571"/>
        <w:gridCol w:w="146"/>
        <w:gridCol w:w="146"/>
        <w:gridCol w:w="211"/>
        <w:gridCol w:w="571"/>
        <w:gridCol w:w="146"/>
        <w:gridCol w:w="146"/>
        <w:gridCol w:w="211"/>
        <w:gridCol w:w="571"/>
        <w:gridCol w:w="3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Aircraft online (at period end)</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ATG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6,654</w:t>
            </w:r>
          </w:p>
        </w:tc>
        <w:tc>
          <w:tcPr>
            <w:tcW w:w="39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Narrowband satellite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w:t>
            </w:r>
          </w:p>
        </w:tc>
        <w:tc>
          <w:tcPr>
            <w:tcW w:w="3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monthly connectivity service revenue per aircraft online</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ATG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3,324</w:t>
            </w:r>
          </w:p>
        </w:tc>
        <w:tc>
          <w:tcPr>
            <w:tcW w:w="39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Narrowband satellite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3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Units sold</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ATG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39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Narrowband satellite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391" w:type="dxa"/>
            <w:tcBorders/>
            <w:vAlign w:val="center"/>
          </w:tcPr>
          <w:p>
            <w:pPr>
              <w:pStyle w:val="TableContents"/>
              <w:bidi w:val="0"/>
              <w:spacing w:before="0" w:after="0"/>
              <w:ind w:left="0" w:right="0" w:hanging="0"/>
              <w:jc w:val="left"/>
              <w:rPr/>
            </w:pPr>
            <w:r>
              <w:rPr/>
              <w:t> </w:t>
            </w:r>
          </w:p>
        </w:tc>
      </w:tr>
      <w:tr>
        <w:trPr/>
        <w:tc>
          <w:tcPr>
            <w:tcW w:w="54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equipment revenue per unit sold (in thousands)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ATG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1" w:type="dxa"/>
            <w:tcBorders/>
            <w:vAlign w:val="center"/>
          </w:tcPr>
          <w:p>
            <w:pPr>
              <w:pStyle w:val="TableContents"/>
              <w:bidi w:val="0"/>
              <w:spacing w:before="0" w:after="0"/>
              <w:ind w:left="0" w:right="0" w:firstLine="200"/>
              <w:jc w:val="left"/>
              <w:rPr/>
            </w:pPr>
            <w:r>
              <w:rPr/>
              <w:t> </w:t>
            </w:r>
          </w:p>
        </w:tc>
      </w:tr>
      <w:tr>
        <w:trPr/>
        <w:tc>
          <w:tcPr>
            <w:tcW w:w="54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Narrowband satellite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w:t>
      </w:r>
    </w:p>
    <w:p>
      <w:pPr>
        <w:pStyle w:val="TextBody"/>
        <w:bidi w:val="0"/>
        <w:spacing w:before="0" w:after="0"/>
        <w:jc w:val="left"/>
        <w:rPr/>
      </w:pPr>
      <w:r>
        <w:rPr>
          <w:rFonts w:ascii="Times New Roman;serif" w:hAnsi="Times New Roman;serif"/>
          <w:b w:val="false"/>
          <w:i/>
          <w:sz w:val="20"/>
        </w:rPr>
        <w:t xml:space="preserve">ATG aircraft online. </w:t>
      </w:r>
      <w:r>
        <w:rPr>
          <w:rFonts w:ascii="Times New Roman;serif" w:hAnsi="Times New Roman;serif"/>
          <w:b w:val="false"/>
          <w:sz w:val="20"/>
        </w:rPr>
        <w:t xml:space="preserve">We define ATG aircraft online as the total number of business aircraft for which we provide ATG services as of the last day of each period presented. This number excludes commercial aircraft operated by Intelsat’s airline customers receiving ATG service.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Narrowband satellite aircraft online</w:t>
      </w:r>
      <w:r>
        <w:rPr>
          <w:rFonts w:ascii="Times New Roman;serif" w:hAnsi="Times New Roman;serif"/>
          <w:b w:val="false"/>
          <w:sz w:val="20"/>
        </w:rPr>
        <w:t>. We define narrowband satellite aircraft online as the total number of business aircraft for which we provide narrowband satellite services as of the last day of each period presented.</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 xml:space="preserve">Average monthly connectivity service revenue per ATG aircraft online. </w:t>
      </w:r>
      <w:r>
        <w:rPr>
          <w:rFonts w:ascii="Times New Roman;serif" w:hAnsi="Times New Roman;serif"/>
          <w:b w:val="false"/>
          <w:sz w:val="20"/>
        </w:rPr>
        <w:t>We define average monthly connectivity service revenue per ATG 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Average monthly connectivity service revenue per narrowband satellite aircraft online</w:t>
      </w:r>
      <w:r>
        <w:rPr>
          <w:rFonts w:ascii="Times New Roman;serif" w:hAnsi="Times New Roman;serif"/>
          <w:b w:val="false"/>
          <w:sz w:val="20"/>
        </w:rPr>
        <w:t>. We define average monthly connectivity service revenue per narrowband 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i/>
          <w:sz w:val="20"/>
        </w:rPr>
        <w:t>Units sold</w:t>
      </w:r>
      <w:r>
        <w:rPr>
          <w:rFonts w:ascii="Times New Roman;serif" w:hAnsi="Times New Roman;serif"/>
          <w:b w:val="false"/>
          <w:sz w:val="20"/>
        </w:rPr>
        <w:t>. We define units sold as the number of ATG or narrowband satellite units for which we recognized revenue during the period.</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 xml:space="preserve">Average equipment revenue per ATG unit sold. </w:t>
      </w:r>
      <w:r>
        <w:rPr>
          <w:rFonts w:ascii="Times New Roman;serif" w:hAnsi="Times New Roman;serif"/>
          <w:b w:val="false"/>
          <w:sz w:val="20"/>
        </w:rPr>
        <w:t>We define average equipment revenue per ATG unit sold as the aggregate equipment revenue from all ATG units sold during the period, divided by the number of ATG units sold.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i/>
          <w:sz w:val="20"/>
        </w:rPr>
        <w:t>Average equipment revenue per narrowband satellite unit sold</w:t>
      </w:r>
      <w:r>
        <w:rPr>
          <w:rFonts w:ascii="Times New Roman;serif" w:hAnsi="Times New Roman;serif"/>
          <w:b w:val="false"/>
          <w:sz w:val="20"/>
        </w:rPr>
        <w:t>. We define average equipment revenue per narrowband satellite unit sold as the aggregate equipment revenue earned from all narrowband satellite units sold during the period, divided by the number of narrowband satellite units sold.</w:t>
      </w:r>
    </w:p>
    <w:p>
      <w:pPr>
        <w:pStyle w:val="TextBody"/>
        <w:bidi w:val="0"/>
        <w:spacing w:before="240" w:after="0"/>
        <w:jc w:val="left"/>
        <w:rPr>
          <w:rFonts w:ascii="Times New Roman;serif" w:hAnsi="Times New Roman;serif"/>
          <w:b/>
          <w:sz w:val="20"/>
        </w:rPr>
      </w:pPr>
      <w:r>
        <w:rPr>
          <w:rFonts w:ascii="Times New Roman;serif" w:hAnsi="Times New Roman;serif"/>
          <w:b/>
          <w:sz w:val="20"/>
        </w:rPr>
        <w:t>Key Components of Consolidated Statements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material changes to our key components of Unaudited Condensed Consolidated Statements of Operations as described in “Management’s Discussion and Analysis of Financial Condition and Results of Operations” (“MD&amp;A”) in our 2022 10-K.</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Accounting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information presented below updates, and should be read in conjunction with, the critical accounting estimates described in the MD&amp;A in our 2022 10-K. Except as set forth below, there have been no material changes to our critical accounting estimates described in the MD&amp;A in our 2022 10-K.</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Deferred Income Taxes - Valuation Allowance: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account for the valuation allowance on our deferred income tax assets in accordance with Accounting Standards Codification Topic 740, </w:t>
      </w: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(“ASC 740”).</w:t>
      </w:r>
    </w:p>
    <w:p>
      <w:pPr>
        <w:pStyle w:val="TextBody"/>
        <w:bidi w:val="0"/>
        <w:spacing w:before="120" w:after="0"/>
        <w:jc w:val="left"/>
        <w:rPr>
          <w:rFonts w:ascii="Times New Roman" w:hAnsi="Times New Roman"/>
          <w:sz w:val="20"/>
        </w:rPr>
      </w:pPr>
      <w:r>
        <w:rPr>
          <w:rFonts w:ascii="Times New Roman;serif" w:hAnsi="Times New Roman;serif"/>
          <w:b w:val="false"/>
          <w:sz w:val="20"/>
        </w:rPr>
        <w:t>On a recurring basis, we assess the need for a valuation allowance related to our deferred income tax assets, which includes consideration of both positive and negative evidence to determine, based on the weight of the available evidence, whether it is more likely than not that some or all of our deferred tax assets will not be realized. In our assessment, we consider recent financial operating results, the scheduled expiration of our net operating losses, potential sources of taxable income, the reversal of existing taxable differences, taxable income in prior carryback years, if permitted under tax law, and tax planning strategies.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determination that we are more likely than not to realize a portion of our deferred tax assets represents our best estimate and considers both positive and negative factors. This estimate involves significant management judgment and is inherently complex and subjective. We considered positive factors including our recent history of pre-tax income, the sale of our Commercial Aviation business, the reduction in interest expense resulting from the Refinancing (as defined herein) and the settlement of the 6% Convertible Senior Notes due 2022 (the “2022 Convertible Notes”) and our projected future pre-tax income. The negative factors included no carryback potential due to historical pre-tax losses, not enough current taxable temporary differences to utilize the existing deferred tax assets and no available significant, prudent and feasible tax planning strategies. It is possible that there will be changes in our business, our performance, our industry or otherwise that cause actual results to differ materially from this estimate. If those changes result in significant and sustained reductions in our pre-tax income or utilization of existing tax carryforwards in future periods, additional valuation allowances may have to be recorded with corresponding adverse impacts on earnings and/or other comprehensive income. Such adverse impacts may be material.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three- and six-month periods ended June 30, 2023, our determination that we are more likely than not to realize a portion of our deferred tax assets resulted in a release of approximately $70.0 million and $71.2 million, respectively, of our valuation allowance. The remaining valuation allowance is still required for deferred tax assets related to certain state tax credits, foreign net operating losses and capital losses, as we determined that it was more likely than not that, as of June 30, 2023, these deferred tax assets will not be realized.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Note 12, “Income Tax,” to our Unaudited Condensed Consolidated Financial Statements for additional information.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Recent Accounting Pronouncements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considers the applicability and impact of all Accounting Standards Updates (ASUs) issued by the Financial Accounting Standards Board (FASB). All recently issued ASUs were assessed and determined to be either not applicable or expected to have minimal impact on our Unaudited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 w:hAnsi="Times New Roman"/>
          <w:sz w:val="20"/>
        </w:rPr>
      </w:pPr>
      <w:r>
        <w:rPr>
          <w:rFonts w:ascii="Times New Roman;serif" w:hAnsi="Times New Roman;serif"/>
          <w:b/>
          <w:sz w:val="20"/>
        </w:rPr>
        <w:t>Unaudited Condensed Consolidated Statements of Operations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w:t>
      </w:r>
    </w:p>
    <w:tbl>
      <w:tblPr>
        <w:tblW w:w="10205" w:type="dxa"/>
        <w:jc w:val="left"/>
        <w:tblInd w:w="0" w:type="dxa"/>
        <w:tblLayout w:type="fixed"/>
        <w:tblCellMar>
          <w:top w:w="28" w:type="dxa"/>
          <w:left w:w="28" w:type="dxa"/>
          <w:bottom w:w="28" w:type="dxa"/>
          <w:right w:w="28" w:type="dxa"/>
        </w:tblCellMar>
      </w:tblPr>
      <w:tblGrid>
        <w:gridCol w:w="4669"/>
        <w:gridCol w:w="146"/>
        <w:gridCol w:w="211"/>
        <w:gridCol w:w="781"/>
        <w:gridCol w:w="166"/>
        <w:gridCol w:w="146"/>
        <w:gridCol w:w="211"/>
        <w:gridCol w:w="676"/>
        <w:gridCol w:w="166"/>
        <w:gridCol w:w="146"/>
        <w:gridCol w:w="211"/>
        <w:gridCol w:w="781"/>
        <w:gridCol w:w="166"/>
        <w:gridCol w:w="146"/>
        <w:gridCol w:w="211"/>
        <w:gridCol w:w="781"/>
        <w:gridCol w:w="591"/>
      </w:tblGrid>
      <w:tr>
        <w:trPr/>
        <w:tc>
          <w:tcPr>
            <w:tcW w:w="4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143,731</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Equipment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6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190,586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service revenue (exclusive of amounts shown below)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30,386</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equipment revenue (exclusive of amounts shown below)</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31,149</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Engineering, design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13,358</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12,299</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28,815</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6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123,297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Operating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67,289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Other expense (income):</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20,661</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66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46,852</w:t>
            </w:r>
          </w:p>
        </w:tc>
        <w:tc>
          <w:tcPr>
            <w:tcW w:w="591" w:type="dxa"/>
            <w:tcBorders/>
            <w:vAlign w:val="center"/>
          </w:tcPr>
          <w:p>
            <w:pPr>
              <w:pStyle w:val="TableContents"/>
              <w:bidi w:val="0"/>
              <w:spacing w:before="0" w:after="0"/>
              <w:ind w:left="0" w:right="0" w:firstLine="200"/>
              <w:jc w:val="left"/>
              <w:rPr/>
            </w:pPr>
            <w:r>
              <w:rPr/>
              <w:t> </w:t>
            </w:r>
          </w:p>
        </w:tc>
      </w:tr>
      <w:tr>
        <w:trPr/>
        <w:tc>
          <w:tcPr>
            <w:tcW w:w="466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(benefit) provision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Three Months Ended June 30, 2023 and 2022</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Revenue and percent change for the three- and six-month periods ended June 30, 2023 and 2022 were as follows </w:t>
      </w:r>
      <w:r>
        <w:rPr>
          <w:rFonts w:ascii="Times New Roman;serif" w:hAnsi="Times New Roman;serif"/>
          <w:b w:val="false"/>
          <w:i/>
          <w:sz w:val="20"/>
        </w:rPr>
        <w:t>(in thousands, except for percent change)</w:t>
      </w:r>
      <w:r>
        <w:rPr>
          <w:rFonts w:ascii="Times New Roman;serif" w:hAnsi="Times New Roman;serif"/>
          <w:b w:val="false"/>
          <w:sz w:val="20"/>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146"/>
        <w:gridCol w:w="211"/>
        <w:gridCol w:w="781"/>
        <w:gridCol w:w="146"/>
        <w:gridCol w:w="146"/>
        <w:gridCol w:w="211"/>
        <w:gridCol w:w="676"/>
        <w:gridCol w:w="146"/>
        <w:gridCol w:w="146"/>
        <w:gridCol w:w="318"/>
        <w:gridCol w:w="920"/>
        <w:gridCol w:w="329"/>
        <w:gridCol w:w="146"/>
        <w:gridCol w:w="211"/>
        <w:gridCol w:w="781"/>
        <w:gridCol w:w="146"/>
        <w:gridCol w:w="146"/>
        <w:gridCol w:w="211"/>
        <w:gridCol w:w="781"/>
        <w:gridCol w:w="146"/>
        <w:gridCol w:w="146"/>
        <w:gridCol w:w="318"/>
        <w:gridCol w:w="920"/>
        <w:gridCol w:w="378"/>
      </w:tblGrid>
      <w:tr>
        <w:trPr/>
        <w:tc>
          <w:tcPr>
            <w:tcW w:w="1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6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over 2022</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over 2022</w:t>
            </w:r>
          </w:p>
        </w:tc>
        <w:tc>
          <w:tcPr>
            <w:tcW w:w="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6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3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6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190,586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3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Revenue increased to $103.2 million and $201.8 million, respectively, for the three- and six-month periods ended June 30, 2023, as compared with $97.8 million and $190.6 million, respectively, for the prior-year periods due to an increase in service revenue, partially offset by a decrease in equipment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Service revenue increased to $79.1 million and $157.6 million, respectively, for the three- and six-month periods ended June 30, 2023, as compared with $73.1 million and $143.7 million, respectively, for the prior-year periods, primarily due to increases in ATG aircraft online and to a lesser extent average monthly service revenue per aircraft online.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Equipment revenue decreased to $24.2 million and $44.3 million, respectively, for the three- and six-month periods ended June 30, 2023, as compared with $24.8 million and $46.9 million, respectively, for the prior-year periods, primarily due to decreases in the number of ATG units sold, with 277 units and 500 units, respectively, sold during the three- and six-month periods ended June 30, 2023 as compared with 310 units and 556 units, respectively, sold during the prior-year periods.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service revenue to increase in the future as additional aircraft come online, including the expected impact of the launch of Gogo 5G and Gogo Galileo. We expect equipment revenue to increase in the future driven by additional sales of ATG units, including Gogo 5G, and Gogo Galileo units.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Cost of Revenue: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Cost of revenue and percent change for the three- and six-month periods ended June 30, 2023 and 2022 were as follows </w:t>
      </w:r>
      <w:r>
        <w:rPr>
          <w:rFonts w:ascii="Times New Roman;serif" w:hAnsi="Times New Roman;serif"/>
          <w:b w:val="false"/>
          <w:i/>
          <w:sz w:val="20"/>
        </w:rPr>
        <w:t>(in thousands, except for percent change)</w:t>
      </w:r>
      <w:r>
        <w:rPr>
          <w:rFonts w:ascii="Times New Roman;serif" w:hAnsi="Times New Roman;serif"/>
          <w:b w:val="false"/>
          <w:sz w:val="20"/>
        </w:rPr>
        <w: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89"/>
        <w:gridCol w:w="146"/>
        <w:gridCol w:w="211"/>
        <w:gridCol w:w="676"/>
        <w:gridCol w:w="146"/>
        <w:gridCol w:w="146"/>
        <w:gridCol w:w="211"/>
        <w:gridCol w:w="676"/>
        <w:gridCol w:w="146"/>
        <w:gridCol w:w="146"/>
        <w:gridCol w:w="347"/>
        <w:gridCol w:w="863"/>
        <w:gridCol w:w="271"/>
        <w:gridCol w:w="146"/>
        <w:gridCol w:w="211"/>
        <w:gridCol w:w="676"/>
        <w:gridCol w:w="146"/>
        <w:gridCol w:w="146"/>
        <w:gridCol w:w="211"/>
        <w:gridCol w:w="676"/>
        <w:gridCol w:w="146"/>
        <w:gridCol w:w="146"/>
        <w:gridCol w:w="287"/>
        <w:gridCol w:w="922"/>
        <w:gridCol w:w="318"/>
      </w:tblGrid>
      <w:tr>
        <w:trPr/>
        <w:tc>
          <w:tcPr>
            <w:tcW w:w="2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8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over 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over 2022</w:t>
            </w:r>
          </w:p>
        </w:tc>
        <w:tc>
          <w:tcPr>
            <w:tcW w:w="3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service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equipment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3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service revenue increased to $16.8 million and $33.6 million, respectively, for the three- and six-month periods ended June 30, 2023, as compared with $15.8 million and $30.4 million, respectively, for the prior-year periods, primarily due to an increase in personnel costs and ATG network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cost of service revenue to increase over time, primarily due to service revenue growth and increasing ATG network costs, including Gogo 5G, and Gogo Galileo network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equipment revenue increased to $17.5 million and $35.7 million, respectively, for the three- and six-month periods ended June 30, 2023, as compared with $16.9 million and $31.1 million, respectively, for the prior-year periods, primarily due to additional costs related to the FCC Reimbursement Program and increased production costs, partially offset by a decrease in ATG units sold. See Note 16, “Government Assistance,” for additional information on the FCC Reimbursement Program.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cost of equipment revenue will increase with growth in ATG units sold, including Gogo 5G units following the launch of that service, and Gogo Galileo units sold following the launch of that service. Additionally, we expect to incur additional costs associated with the FCC Reimbursement Program which may potentially be offset by the reimbursements from the FCC.</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Engineering, Design and Development Expenses:</w:t>
      </w:r>
    </w:p>
    <w:p>
      <w:pPr>
        <w:pStyle w:val="TextBody"/>
        <w:bidi w:val="0"/>
        <w:spacing w:before="120" w:after="0"/>
        <w:jc w:val="left"/>
        <w:rPr>
          <w:rFonts w:ascii="Times New Roman" w:hAnsi="Times New Roman"/>
          <w:sz w:val="20"/>
        </w:rPr>
      </w:pPr>
      <w:r>
        <w:rPr>
          <w:rFonts w:ascii="Times New Roman;serif" w:hAnsi="Times New Roman;serif"/>
          <w:b w:val="false"/>
          <w:sz w:val="20"/>
        </w:rPr>
        <w:t>Engineering, design and development expenses increased to $9.2 million and $17.1 million, respectively, for the three- and six-month periods ended June 30, 2023, as compared with $8.0 million and $13.4 million, respectively, for the prior-year periods, primarily due to the Gogo Galileo development program and increased personnel costs.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engineering, design and development expenses as a percentage of service revenue to increase through 2024, driven by Gogo Galileo development costs and Gogo 5G program spend, and decrease thereafter as the level of investment decreases and revenue increases.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Sales and Marketing Expenses:</w:t>
      </w:r>
    </w:p>
    <w:p>
      <w:pPr>
        <w:pStyle w:val="TextBody"/>
        <w:bidi w:val="0"/>
        <w:spacing w:before="120" w:after="0"/>
        <w:jc w:val="left"/>
        <w:rPr>
          <w:rFonts w:ascii="Times New Roman" w:hAnsi="Times New Roman"/>
          <w:sz w:val="20"/>
        </w:rPr>
      </w:pPr>
      <w:r>
        <w:rPr>
          <w:rFonts w:ascii="Times New Roman;serif" w:hAnsi="Times New Roman;serif"/>
          <w:b w:val="false"/>
          <w:sz w:val="20"/>
        </w:rPr>
        <w:t>Sales and marketing expenses increased to $7.9 million and $14.7 million, respectively, for the three- and six-month periods ended June 30, 2023, as compared with $6.1 million and $12.3 million, respectively, for the prior-year periods, primarily due to increased personnel costs and promotional and advertising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sales and marketing expenses as a percentage of service revenue to remain relatively flat in the future.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decreased to $13.2 million and $27.4 million, respectively, for the three- and six-month periods ended June 30, 2023, as compared with $15.4 million and $28.8 million, respectively, for the prior-year periods, primarily due to decreased personnel costs tied to a reduction in bonus expense.</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general and administrative expenses as a percentage of service revenue to decrease over time.</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Depreciation and Amortization:</w:t>
      </w:r>
    </w:p>
    <w:p>
      <w:pPr>
        <w:pStyle w:val="TextBody"/>
        <w:bidi w:val="0"/>
        <w:spacing w:before="120" w:after="0"/>
        <w:jc w:val="left"/>
        <w:rPr>
          <w:rFonts w:ascii="Times New Roman" w:hAnsi="Times New Roman"/>
          <w:sz w:val="20"/>
        </w:rPr>
      </w:pPr>
      <w:r>
        <w:rPr>
          <w:rFonts w:ascii="Times New Roman;serif" w:hAnsi="Times New Roman;serif"/>
          <w:b w:val="false"/>
          <w:sz w:val="20"/>
        </w:rPr>
        <w:t>Depreciation and amortization expense increased to $4.5 million and $7.3 million, respectively, for three- and six-month periods ended June 30, 2023, as compared with $3.5 million and $7.3 million, respectively, for the prior-year periods, primarily due to accelerated depreciation expense for certain network equipment related to the FCC Reimbursement Program, partially offset by decreased amortization expense for capitalized software. See Note 1, “Basis of Presentation,” to our Unaudited Condensed Consolidated Financial Statements for additional information on the accelerated depreciation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our depreciation and amortization expense will increase in the future as we launch our Gogo 5G network.</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Expense (Income):</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Other expense (income) and percent change for the three- and six-month periods ended June 30, 2023 and 2022 were as follows </w:t>
      </w:r>
      <w:r>
        <w:rPr>
          <w:rFonts w:ascii="Times New Roman;serif" w:hAnsi="Times New Roman;serif"/>
          <w:b w:val="false"/>
          <w:i/>
          <w:sz w:val="20"/>
        </w:rPr>
        <w:t>(in thousands, except for percent change)</w:t>
      </w:r>
      <w:r>
        <w:rPr>
          <w:rFonts w:ascii="Times New Roman;serif" w:hAnsi="Times New Roman;serif"/>
          <w:b w:val="false"/>
          <w:sz w:val="20"/>
        </w:rPr>
        <w:t>:</w:t>
      </w:r>
    </w:p>
    <w:tbl>
      <w:tblPr>
        <w:tblW w:w="9611" w:type="dxa"/>
        <w:jc w:val="left"/>
        <w:tblInd w:w="0" w:type="dxa"/>
        <w:tblLayout w:type="fixed"/>
        <w:tblCellMar>
          <w:top w:w="28" w:type="dxa"/>
          <w:left w:w="28" w:type="dxa"/>
          <w:bottom w:w="28" w:type="dxa"/>
          <w:right w:w="28" w:type="dxa"/>
        </w:tblCellMar>
      </w:tblPr>
      <w:tblGrid>
        <w:gridCol w:w="5446"/>
        <w:gridCol w:w="146"/>
        <w:gridCol w:w="211"/>
        <w:gridCol w:w="676"/>
        <w:gridCol w:w="166"/>
        <w:gridCol w:w="146"/>
        <w:gridCol w:w="211"/>
        <w:gridCol w:w="676"/>
        <w:gridCol w:w="166"/>
        <w:gridCol w:w="146"/>
        <w:gridCol w:w="220"/>
        <w:gridCol w:w="1025"/>
        <w:gridCol w:w="376"/>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over 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76" w:type="dxa"/>
            <w:tcBorders/>
            <w:vAlign w:val="center"/>
          </w:tcPr>
          <w:p>
            <w:pPr>
              <w:pStyle w:val="TableContents"/>
              <w:bidi w:val="0"/>
              <w:spacing w:before="0" w:after="0"/>
              <w:ind w:left="0" w:right="0" w:hanging="0"/>
              <w:jc w:val="right"/>
              <w:rPr/>
            </w:pPr>
            <w:r>
              <w:rPr/>
              <w:t> </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(183.7</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376" w:type="dxa"/>
            <w:tcBorders/>
            <w:vAlign w:val="center"/>
          </w:tcPr>
          <w:p>
            <w:pPr>
              <w:pStyle w:val="TableContents"/>
              <w:bidi w:val="0"/>
              <w:spacing w:before="0" w:after="0"/>
              <w:ind w:left="0" w:right="0" w:hanging="0"/>
              <w:jc w:val="right"/>
              <w:rPr/>
            </w:pPr>
            <w:r>
              <w:rPr/>
              <w:t> </w:t>
            </w:r>
          </w:p>
        </w:tc>
      </w:tr>
      <w:tr>
        <w:trPr/>
        <w:tc>
          <w:tcPr>
            <w:tcW w:w="5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over 2022</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1512.9</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nm</w:t>
            </w:r>
          </w:p>
        </w:tc>
        <w:tc>
          <w:tcPr>
            <w:tcW w:w="376" w:type="dxa"/>
            <w:tcBorders/>
            <w:vAlign w:val="center"/>
          </w:tcPr>
          <w:p>
            <w:pPr>
              <w:pStyle w:val="TableContents"/>
              <w:bidi w:val="0"/>
              <w:spacing w:before="0" w:after="0"/>
              <w:ind w:left="0" w:right="0" w:hanging="0"/>
              <w:jc w:val="right"/>
              <w:rPr/>
            </w:pPr>
            <w:r>
              <w:rPr/>
              <w:t> </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15,114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Percentage changes that are considered not meaningful are denoted with nm.</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5" w:type="dxa"/>
            <w:gridSpan w:val="2"/>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other expense decreased to $8.0 million and $15.1 million, respectively, for the three- and six-month periods ended June 30, 2023, as compared with $9.6 million and $20.4 million, respectively, for the prior-year periods, primarily due to an increase in interest income, a decrease in interest expense as a result of the 2022 Convertible Notes no longer being outstanding during the current-year period and the benefit from the interest rate caps, partially offset by an increase in interest expense related to the Term Loan Facility and the loss on extinguishment of debt resulting from the $100 million prepayment of the outstanding principal amount of the Term Loan Facility on May 3, 2023.</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interest expense to decrease in the future given the $100 million prepayment of the outstanding principal amount of the Term Loan Facility on May 3, 2023 coupled with the future required quarterly principal payments. This decrease could be impacted by fluctuations with changes in the variable rates associated with the Facilities, with increases partially offset by the impact of our interest rate caps. See Note 6, “Long-Term Debt and Other Liabilities,” to our Unaudited Condensed Consolidated Financial Statements for additional information.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The effective income tax rates for the three- and six-month periods ended June 30, 2023 were (245.3)% and (116.9)%, respectively, as compared to 3.1% and 5.6%, respectively, for the prior-year periods. For the three- and six-month periods ended June 30, 2023, our income tax benefit was $63.8 million and $59.4 million, respectively, primarily due to a partial release of the valuation allowance on our deferred income tax assets, partially offset by pre-tax income. For the three- and six-month periods ended June 30, 2022, our income tax provision was $0.7 million and $2.6 million, respectively, primarily due to pre-tax income, partially offset by the partial release of the valuation allowance on our deferred income tax assets and the tax benefits for stock-based compensation. See Note 12, “Income Tax,” to our Unaudited Condensed Consolidated Financial Statements for additional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our income tax provision to increase in the long term as we continue to generate positive pre-tax income. We expect cash tax payments to be immaterial for an extended period of time, subject to the availability of our net operating loss carryforward amounts.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Non-GAAP Measures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Definition and Reconciliation of Non-GAAP Measures</w:t>
      </w:r>
    </w:p>
    <w:p>
      <w:pPr>
        <w:pStyle w:val="TextBody"/>
        <w:bidi w:val="0"/>
        <w:spacing w:before="120" w:after="0"/>
        <w:jc w:val="left"/>
        <w:rPr>
          <w:rFonts w:ascii="Times New Roman" w:hAnsi="Times New Roman"/>
          <w:sz w:val="20"/>
        </w:rPr>
      </w:pPr>
      <w:r>
        <w:rPr>
          <w:rFonts w:ascii="Times New Roman;serif" w:hAnsi="Times New Roman;serif"/>
          <w:b w:val="false"/>
          <w:sz w:val="20"/>
          <w:u w:val="single"/>
        </w:rPr>
        <w:t>EBITDA</w:t>
      </w:r>
      <w:r>
        <w:rPr>
          <w:rFonts w:ascii="Times New Roman" w:hAnsi="Times New Roman"/>
          <w:sz w:val="20"/>
        </w:rPr>
        <w:t xml:space="preserve"> </w:t>
      </w:r>
      <w:r>
        <w:rPr>
          <w:rFonts w:ascii="Times New Roman;serif" w:hAnsi="Times New Roman;serif"/>
          <w:b w:val="false"/>
          <w:sz w:val="20"/>
        </w:rPr>
        <w:t>represents net income attributable to common stock before interest expense, interest income, income taxes and depreciation and amortization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u w:val="single"/>
        </w:rPr>
        <w:t>Adjusted EBITDA</w:t>
      </w:r>
      <w:r>
        <w:rPr>
          <w:rFonts w:ascii="Times New Roman" w:hAnsi="Times New Roman"/>
          <w:sz w:val="20"/>
        </w:rPr>
        <w:t xml:space="preserve"> </w:t>
      </w:r>
      <w:r>
        <w:rPr>
          <w:rFonts w:ascii="Times New Roman;serif" w:hAnsi="Times New Roman;serif"/>
          <w:b w:val="false"/>
          <w:sz w:val="20"/>
        </w:rPr>
        <w:t>represents EBITDA adjusted for (i) stock-based compensation expense and (ii)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it is useful for an understanding of our operating performance to exclude the loss on extinguishment of debt from Adjusted EBITDA because of the infrequently occurring nature of this activity.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pStyle w:val="TextBody"/>
        <w:bidi w:val="0"/>
        <w:spacing w:before="120" w:after="0"/>
        <w:jc w:val="left"/>
        <w:rPr>
          <w:rFonts w:ascii="Times New Roman" w:hAnsi="Times New Roman"/>
          <w:sz w:val="20"/>
        </w:rPr>
      </w:pPr>
      <w:r>
        <w:rPr>
          <w:rFonts w:ascii="Times New Roman;serif" w:hAnsi="Times New Roman;serif"/>
          <w:b w:val="false"/>
          <w:sz w:val="20"/>
          <w:u w:val="single"/>
        </w:rPr>
        <w:t>Free Cash Flow</w:t>
      </w:r>
      <w:r>
        <w:rPr>
          <w:rFonts w:ascii="Times New Roman" w:hAnsi="Times New Roman"/>
          <w:sz w:val="20"/>
        </w:rPr>
        <w:t xml:space="preserve"> </w:t>
      </w:r>
      <w:r>
        <w:rPr>
          <w:rFonts w:ascii="Times New Roman;serif" w:hAnsi="Times New Roman;serif"/>
          <w:b w:val="false"/>
          <w:sz w:val="20"/>
        </w:rPr>
        <w:t>represents net cash provided by operating activities, plus the proceeds received from our interest rate caps, less purchases of property and equipment. We believe that Free Cash Flow provides meaningful information regarding our liquidity.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center"/>
        <w:rPr>
          <w:rFonts w:ascii="Times New Roman;serif" w:hAnsi="Times New Roman;serif"/>
          <w:b/>
          <w:sz w:val="20"/>
        </w:rPr>
      </w:pPr>
      <w:r>
        <w:rPr>
          <w:rFonts w:ascii="Times New Roman;serif" w:hAnsi="Times New Roman;serif"/>
          <w:b/>
          <w:sz w:val="20"/>
        </w:rPr>
        <w:t>Gogo Inc. and Subsidiaries</w:t>
      </w:r>
    </w:p>
    <w:p>
      <w:pPr>
        <w:pStyle w:val="TextBody"/>
        <w:bidi w:val="0"/>
        <w:spacing w:before="0" w:after="0"/>
        <w:jc w:val="center"/>
        <w:rPr>
          <w:rFonts w:ascii="Times New Roman;serif" w:hAnsi="Times New Roman;serif"/>
          <w:b/>
          <w:sz w:val="20"/>
        </w:rPr>
      </w:pPr>
      <w:r>
        <w:rPr>
          <w:rFonts w:ascii="Times New Roman;serif" w:hAnsi="Times New Roman;serif"/>
          <w:b/>
          <w:sz w:val="20"/>
        </w:rPr>
        <w:t>Reconciliation of GAAP to Non-GAAP Measures</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(in thousands, unaudited)</w:t>
      </w:r>
    </w:p>
    <w:tbl>
      <w:tblPr>
        <w:tblW w:w="9682" w:type="dxa"/>
        <w:jc w:val="left"/>
        <w:tblInd w:w="0" w:type="dxa"/>
        <w:tblLayout w:type="fixed"/>
        <w:tblCellMar>
          <w:top w:w="28" w:type="dxa"/>
          <w:left w:w="28" w:type="dxa"/>
          <w:bottom w:w="28" w:type="dxa"/>
          <w:right w:w="28" w:type="dxa"/>
        </w:tblCellMar>
      </w:tblPr>
      <w:tblGrid>
        <w:gridCol w:w="4156"/>
        <w:gridCol w:w="146"/>
        <w:gridCol w:w="211"/>
        <w:gridCol w:w="736"/>
        <w:gridCol w:w="166"/>
        <w:gridCol w:w="146"/>
        <w:gridCol w:w="211"/>
        <w:gridCol w:w="736"/>
        <w:gridCol w:w="166"/>
        <w:gridCol w:w="146"/>
        <w:gridCol w:w="211"/>
        <w:gridCol w:w="781"/>
        <w:gridCol w:w="166"/>
        <w:gridCol w:w="146"/>
        <w:gridCol w:w="211"/>
        <w:gridCol w:w="736"/>
        <w:gridCol w:w="6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common stock (GAAP)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44,213</w:t>
            </w:r>
          </w:p>
        </w:tc>
        <w:tc>
          <w:tcPr>
            <w:tcW w:w="611" w:type="dxa"/>
            <w:tcBorders/>
            <w:vAlign w:val="center"/>
          </w:tcPr>
          <w:p>
            <w:pPr>
              <w:pStyle w:val="TableContents"/>
              <w:bidi w:val="0"/>
              <w:spacing w:before="0" w:after="0"/>
              <w:ind w:left="0" w:right="0" w:firstLine="400"/>
              <w:jc w:val="left"/>
              <w:rPr/>
            </w:pPr>
            <w:r>
              <w:rPr/>
              <w:t> </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20,661</w:t>
            </w:r>
          </w:p>
        </w:tc>
        <w:tc>
          <w:tcPr>
            <w:tcW w:w="611" w:type="dxa"/>
            <w:tcBorders/>
            <w:vAlign w:val="center"/>
          </w:tcPr>
          <w:p>
            <w:pPr>
              <w:pStyle w:val="TableContents"/>
              <w:bidi w:val="0"/>
              <w:spacing w:before="0" w:after="0"/>
              <w:ind w:left="0" w:right="0" w:firstLine="400"/>
              <w:jc w:val="left"/>
              <w:rPr/>
            </w:pPr>
            <w:r>
              <w:rPr/>
              <w:t> </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Income tax (benefit) provision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611" w:type="dxa"/>
            <w:tcBorders/>
            <w:vAlign w:val="center"/>
          </w:tcPr>
          <w:p>
            <w:pPr>
              <w:pStyle w:val="TableContents"/>
              <w:bidi w:val="0"/>
              <w:spacing w:before="0" w:after="0"/>
              <w:ind w:left="0" w:right="0" w:firstLine="400"/>
              <w:jc w:val="left"/>
              <w:rPr/>
            </w:pPr>
            <w:r>
              <w:rPr/>
              <w:t> </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74,562</w:t>
            </w:r>
          </w:p>
        </w:tc>
        <w:tc>
          <w:tcPr>
            <w:tcW w:w="611" w:type="dxa"/>
            <w:tcBorders/>
            <w:vAlign w:val="center"/>
          </w:tcPr>
          <w:p>
            <w:pPr>
              <w:pStyle w:val="TableContents"/>
              <w:bidi w:val="0"/>
              <w:spacing w:before="0" w:after="0"/>
              <w:ind w:left="0" w:right="0" w:firstLine="400"/>
              <w:jc w:val="left"/>
              <w:rPr/>
            </w:pPr>
            <w:r>
              <w:rPr/>
              <w:t> </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9,411</w:t>
            </w:r>
          </w:p>
        </w:tc>
        <w:tc>
          <w:tcPr>
            <w:tcW w:w="611" w:type="dxa"/>
            <w:tcBorders/>
            <w:vAlign w:val="center"/>
          </w:tcPr>
          <w:p>
            <w:pPr>
              <w:pStyle w:val="TableContents"/>
              <w:bidi w:val="0"/>
              <w:spacing w:before="0" w:after="0"/>
              <w:ind w:left="0" w:right="0" w:firstLine="400"/>
              <w:jc w:val="left"/>
              <w:rPr/>
            </w:pPr>
            <w:r>
              <w:rPr/>
              <w:t> </w:t>
            </w:r>
          </w:p>
        </w:tc>
      </w:tr>
      <w:tr>
        <w:trPr/>
        <w:tc>
          <w:tcPr>
            <w:tcW w:w="415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83,802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83,973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41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Free Cash Flow:</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operating activities (GAAP)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44,240</w:t>
            </w:r>
          </w:p>
        </w:tc>
        <w:tc>
          <w:tcPr>
            <w:tcW w:w="611" w:type="dxa"/>
            <w:tcBorders/>
            <w:vAlign w:val="center"/>
          </w:tcPr>
          <w:p>
            <w:pPr>
              <w:pStyle w:val="TableContents"/>
              <w:bidi w:val="0"/>
              <w:spacing w:before="0" w:after="0"/>
              <w:ind w:left="0" w:right="0" w:firstLine="200"/>
              <w:jc w:val="left"/>
              <w:rPr/>
            </w:pPr>
            <w:r>
              <w:rPr/>
              <w:t> </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Consolidated capital expenditures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(19,950</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15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interest rate caps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415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Free cash flow</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Material limitations of Non-GAAP measures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of these limitations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EBITDA and Adjusted EBITDA do not reflect interest income or expense;</w:t>
      </w:r>
    </w:p>
    <w:p>
      <w:pPr>
        <w:pStyle w:val="TextBody"/>
        <w:bidi w:val="0"/>
        <w:spacing w:before="120" w:after="0"/>
        <w:jc w:val="left"/>
        <w:rPr>
          <w:rFonts w:ascii="Times New Roman" w:hAnsi="Times New Roman"/>
          <w:b w:val="false"/>
          <w:sz w:val="20"/>
        </w:rPr>
      </w:pPr>
      <w:r>
        <w:rPr>
          <w:rFonts w:ascii="Times New Roman" w:hAnsi="Times New Roman"/>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EBITDA and Adjusted EBITDA do not reflect cash requirements for our income taxes;</w:t>
      </w:r>
    </w:p>
    <w:p>
      <w:pPr>
        <w:pStyle w:val="TextBody"/>
        <w:bidi w:val="0"/>
        <w:spacing w:before="120" w:after="0"/>
        <w:jc w:val="left"/>
        <w:rPr>
          <w:rFonts w:ascii="Times New Roman" w:hAnsi="Times New Roman"/>
          <w:b w:val="false"/>
          <w:sz w:val="20"/>
        </w:rPr>
      </w:pPr>
      <w:r>
        <w:rPr>
          <w:rFonts w:ascii="Times New Roman" w:hAnsi="Times New Roman"/>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EBITDA and Adjusted EBITDA do not reflect depreciation and amortization, which are significant and unavoidable operating costs given the level of capital expenditures needed to maintain our business;</w:t>
      </w:r>
    </w:p>
    <w:p>
      <w:pPr>
        <w:pStyle w:val="TextBody"/>
        <w:bidi w:val="0"/>
        <w:spacing w:before="120" w:after="0"/>
        <w:jc w:val="left"/>
        <w:rPr>
          <w:rFonts w:ascii="Times New Roman" w:hAnsi="Times New Roman"/>
          <w:b w:val="false"/>
          <w:sz w:val="20"/>
        </w:rPr>
      </w:pPr>
      <w:r>
        <w:rPr>
          <w:rFonts w:ascii="Times New Roman" w:hAnsi="Times New Roman"/>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Adjusted EBITDA does not reflect non-cash components of employee compensation; </w:t>
      </w:r>
    </w:p>
    <w:p>
      <w:pPr>
        <w:pStyle w:val="TextBody"/>
        <w:bidi w:val="0"/>
        <w:spacing w:before="120" w:after="0"/>
        <w:jc w:val="left"/>
        <w:rPr>
          <w:rFonts w:ascii="Times New Roman" w:hAnsi="Times New Roman"/>
          <w:b w:val="false"/>
          <w:sz w:val="20"/>
        </w:rPr>
      </w:pPr>
      <w:r>
        <w:rPr>
          <w:rFonts w:ascii="Times New Roman" w:hAnsi="Times New Roman"/>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Adjusted EBITDA does not reflect the loss on extinguishment of debt;</w:t>
      </w:r>
    </w:p>
    <w:p>
      <w:pPr>
        <w:pStyle w:val="TextBody"/>
        <w:bidi w:val="0"/>
        <w:spacing w:before="120" w:after="0"/>
        <w:jc w:val="left"/>
        <w:rPr>
          <w:rFonts w:ascii="Times New Roman" w:hAnsi="Times New Roman"/>
          <w:b w:val="false"/>
          <w:sz w:val="20"/>
        </w:rPr>
      </w:pPr>
      <w:r>
        <w:rPr>
          <w:rFonts w:ascii="Times New Roman" w:hAnsi="Times New Roman"/>
          <w:b w:val="false"/>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Free Cash Flow does not represent the total increase or decrease in our cash balance for the period; and</w:t>
      </w:r>
    </w:p>
    <w:p>
      <w:pPr>
        <w:pStyle w:val="TextBody"/>
        <w:bidi w:val="0"/>
        <w:spacing w:before="120" w:after="0"/>
        <w:jc w:val="left"/>
        <w:rPr>
          <w:rFonts w:ascii="Times New Roman" w:hAnsi="Times New Roman"/>
          <w:b w:val="false"/>
          <w:sz w:val="20"/>
        </w:rPr>
      </w:pPr>
      <w:r>
        <w:rPr>
          <w:rFonts w:ascii="Times New Roman" w:hAnsi="Times New Roman"/>
          <w:b w:val="false"/>
          <w:sz w:val="20"/>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since other companies in our or related industries may calculate these measures differently from the way we do, their usefulness as comparative measures may be limited.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following table presents a summary of our cash flow activity for the periods set forth below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8564" w:type="dxa"/>
        <w:jc w:val="left"/>
        <w:tblInd w:w="0" w:type="dxa"/>
        <w:tblLayout w:type="fixed"/>
        <w:tblCellMar>
          <w:top w:w="28" w:type="dxa"/>
          <w:left w:w="28" w:type="dxa"/>
          <w:bottom w:w="28" w:type="dxa"/>
          <w:right w:w="28" w:type="dxa"/>
        </w:tblCellMar>
      </w:tblPr>
      <w:tblGrid>
        <w:gridCol w:w="5671"/>
        <w:gridCol w:w="146"/>
        <w:gridCol w:w="211"/>
        <w:gridCol w:w="841"/>
        <w:gridCol w:w="166"/>
        <w:gridCol w:w="146"/>
        <w:gridCol w:w="211"/>
        <w:gridCol w:w="781"/>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44,240</w:t>
            </w:r>
          </w:p>
        </w:tc>
        <w:tc>
          <w:tcPr>
            <w:tcW w:w="391" w:type="dxa"/>
            <w:tcBorders/>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foreign exchange rate changes on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18,055</w:t>
            </w:r>
          </w:p>
        </w:tc>
        <w:tc>
          <w:tcPr>
            <w:tcW w:w="391" w:type="dxa"/>
            <w:tcBorders/>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the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150,880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146,268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the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164,323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information:</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the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164,323</w:t>
            </w:r>
          </w:p>
        </w:tc>
        <w:tc>
          <w:tcPr>
            <w:tcW w:w="391" w:type="dxa"/>
            <w:tcBorders/>
            <w:vAlign w:val="center"/>
          </w:tcPr>
          <w:p>
            <w:pPr>
              <w:pStyle w:val="TableContents"/>
              <w:bidi w:val="0"/>
              <w:spacing w:before="0" w:after="0"/>
              <w:ind w:left="0" w:right="0" w:firstLine="200"/>
              <w:jc w:val="left"/>
              <w:rPr/>
            </w:pPr>
            <w:r>
              <w:rPr/>
              <w:t> </w:t>
            </w:r>
          </w:p>
        </w:tc>
      </w:tr>
      <w:tr>
        <w:trPr/>
        <w:tc>
          <w:tcPr>
            <w:tcW w:w="5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non-current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the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163,993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pStyle w:val="TextBody"/>
        <w:bidi w:val="0"/>
        <w:spacing w:before="120" w:after="0"/>
        <w:jc w:val="both"/>
        <w:rPr>
          <w:rFonts w:ascii="Times New Roman" w:hAnsi="Times New Roman"/>
          <w:sz w:val="20"/>
        </w:rPr>
      </w:pPr>
      <w:r>
        <w:rPr>
          <w:rFonts w:ascii="Times New Roman;serif" w:hAnsi="Times New Roman;serif"/>
          <w:b w:val="false"/>
          <w:i/>
          <w:sz w:val="20"/>
        </w:rPr>
        <w:t>Liquidity: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Based on our current plans, we expect our cash and cash equivalents, cash flows provided by operating activities and access to capital markets will be sufficient to meet the cash requirements of our business, including capital expenditure requirements and debt maturities, for at least the next twelve months and thereafter for the foreseeable future.</w:t>
      </w:r>
    </w:p>
    <w:p>
      <w:pPr>
        <w:pStyle w:val="TextBody"/>
        <w:bidi w:val="0"/>
        <w:spacing w:before="120" w:after="0"/>
        <w:jc w:val="left"/>
        <w:rPr>
          <w:rFonts w:ascii="Times New Roman" w:hAnsi="Times New Roman"/>
          <w:sz w:val="20"/>
        </w:rPr>
      </w:pPr>
      <w:r>
        <w:rPr>
          <w:rFonts w:ascii="Times New Roman;serif" w:hAnsi="Times New Roman;serif"/>
          <w:b w:val="false"/>
          <w:sz w:val="20"/>
        </w:rPr>
        <w:t>As detailed in Note 6,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recommended by the Alternative Reference Rates Committee.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pStyle w:val="TextBody"/>
        <w:bidi w:val="0"/>
        <w:spacing w:before="120" w:after="0"/>
        <w:jc w:val="left"/>
        <w:rPr>
          <w:rFonts w:ascii="Times New Roman" w:hAnsi="Times New Roman"/>
          <w:sz w:val="20"/>
        </w:rPr>
      </w:pPr>
      <w:r>
        <w:rPr>
          <w:rFonts w:ascii="Times New Roman;serif" w:hAnsi="Times New Roman;serif"/>
          <w:b w:val="false"/>
          <w:sz w:val="20"/>
        </w:rPr>
        <w:t>The Term Loan Facility bears annual interest at a floating rate measured by reference to, at GIH’s option, either (i) an adjusted term SOFR rate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June 30, 2023, the fee for unused commitments under the Revolving Facility was 0.25% and the applicable margin was 3.25%.</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Facilities may be prepaid at GIH’s option at any time without premium or penalty (other than customary breakage costs), subject to minimum principal payment amount requirements. On May 3, 2023, the Company prepaid $100 million of the outstanding principal amount of the Term Loan Facility.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0"/>
        <w:jc w:val="left"/>
        <w:rPr>
          <w:rFonts w:ascii="Times New Roman" w:hAnsi="Times New Roman"/>
          <w:sz w:val="20"/>
        </w:rPr>
      </w:pPr>
      <w:r>
        <w:rPr>
          <w:rFonts w:ascii="Times New Roman;serif" w:hAnsi="Times New Roman;serif"/>
          <w:b w:val="false"/>
          <w:sz w:val="20"/>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June 30, 2023 and December 31,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additional information on the 2021 Credit Agreement, see Note 6, “Long-Term Debt and Other Liabilities,” to our Unaudited Condensed Consolidated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2021, we purchased interest rate caps with an aggregate notional amount of $650.0 million for $8.6 million. We receive payments in the amounts calculated pursuant to the caps for any period in which the three-month USD LIBOR rate increases beyond the applicable strike rate. The termination date of the cap agreements is July 31, 2027. The notional amounts of the interest rate caps periodically decrease over the life of the caps with the first reduction of $125 million occurring on July 31, 2023.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 The interest rate caps automatically transitioned to SOFR, the designated fallback as determined by the International Swaps and Derivatives Association on July 31, 2023. Beginning on July 31, 2023, we will receive payments in the amount calculated pursuant to the caps for any period in which the daily compounded SOFR rate plus a credit spread adjustment recommended by the Alternative Reference Rates Committee of 0.26% increases beyond the applicable strike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additional information on the interest rate caps, see Note 7, “Derivative Instruments and Hedging Activities,” to our Unaudited Condensed Consolidated Financial Statements.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 provided by Operating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following table presents a summary of our cash flows from operating activities for the periods set forth below </w:t>
      </w:r>
      <w:r>
        <w:rPr>
          <w:rFonts w:ascii="Times New Roman;serif" w:hAnsi="Times New Roman;serif"/>
          <w:b w:val="false"/>
          <w:i/>
          <w:sz w:val="20"/>
        </w:rPr>
        <w:t>(in thousands)</w:t>
      </w:r>
      <w:r>
        <w:rPr>
          <w:rFonts w:ascii="Times New Roman;serif" w:hAnsi="Times New Roman;serif"/>
          <w:b w:val="false"/>
          <w:sz w:val="20"/>
        </w:rPr>
        <w:t>:</w:t>
      </w:r>
    </w:p>
    <w:p>
      <w:pPr>
        <w:pStyle w:val="TextBody"/>
        <w:bidi w:val="0"/>
        <w:spacing w:before="0" w:after="0"/>
        <w:jc w:val="left"/>
        <w:rPr/>
      </w:pPr>
      <w:r>
        <w:rPr/>
        <w:t> </w:t>
      </w:r>
    </w:p>
    <w:tbl>
      <w:tblPr>
        <w:tblW w:w="6149" w:type="dxa"/>
        <w:jc w:val="left"/>
        <w:tblInd w:w="0" w:type="dxa"/>
        <w:tblLayout w:type="fixed"/>
        <w:tblCellMar>
          <w:top w:w="28" w:type="dxa"/>
          <w:left w:w="28" w:type="dxa"/>
          <w:bottom w:w="28" w:type="dxa"/>
          <w:right w:w="28" w:type="dxa"/>
        </w:tblCellMar>
      </w:tblPr>
      <w:tblGrid>
        <w:gridCol w:w="3541"/>
        <w:gridCol w:w="146"/>
        <w:gridCol w:w="211"/>
        <w:gridCol w:w="781"/>
        <w:gridCol w:w="166"/>
        <w:gridCol w:w="146"/>
        <w:gridCol w:w="211"/>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Six Months</w:t>
              <w:br/>
              <w:t>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44,213</w:t>
            </w:r>
          </w:p>
        </w:tc>
        <w:tc>
          <w:tcPr>
            <w:tcW w:w="211" w:type="dxa"/>
            <w:tcBorders/>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charges and credits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21,861</w:t>
            </w:r>
          </w:p>
        </w:tc>
        <w:tc>
          <w:tcPr>
            <w:tcW w:w="211" w:type="dxa"/>
            <w:tcBorders/>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(21,834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44,240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For the six-month period ended June 30, 2023, net cash provided by operating activities was $34.1 million as compared with $44.2 million in the prior-year period. The principal contributors to the year-over-year change in operating cash flows were: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$7.1 million improvement in net income and non-cash charges and credits, as noted above under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$17.2 million decrease in cash flows related to operating assets and liabilities resulting from:</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decrease in cash flows primarily due to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prepaid expenses and other current assets primarily due to interest rate caps receivable;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accrued interest due to the change in timing of payments; 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accrued liabilities due to the timing of payments.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Partially offset by an increase primarily due to changes in accounts receivable due to the timing of collections.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 provided by (used in) 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is primarily for capital expenditures related to cell site construction, software development, and data center upgrades. See “— Capital Expenditures” below. Additionally, cash provided by investing activities for the six-month period ended June 30, 2023 included net proceeds from our short-term investments of $24.8 million as well as $12.5 million of proceeds from interest rate caps.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Cash flows used in Financing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for the six-month period ended June 30, 2023 was $111.5 million primarily due to principal payments on the Term Loan Facility and stock-based compensation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for the six-month period ended June 30, 2022 was $6.2 million, primarily due to principal payments on the Term Loan Facility.</w:t>
      </w:r>
    </w:p>
    <w:p>
      <w:pPr>
        <w:pStyle w:val="TextBody"/>
        <w:bidi w:val="0"/>
        <w:spacing w:before="240" w:after="0"/>
        <w:jc w:val="both"/>
        <w:rPr>
          <w:rFonts w:ascii="Times New Roman;serif" w:hAnsi="Times New Roman;serif"/>
          <w:b/>
          <w:sz w:val="20"/>
        </w:rPr>
      </w:pPr>
      <w:r>
        <w:rPr>
          <w:rFonts w:ascii="Times New Roman;serif" w:hAnsi="Times New Roman;serif"/>
          <w:b/>
          <w:sz w:val="20"/>
        </w:rPr>
        <w:t xml:space="preserve">Capital Expenditures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operations require capital expenditures associated with our ATG network and data centers. We capitalize software development costs related to network technology solutions. We also capitalize costs related to the build out of our office locations.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Capital expenditures for the six-month periods ended June 30, 2023 and 2022 were $13.4 million and $20.0 million, respectively. The expected decrease in capital expenditures was primarily due to the build out of Gogo 5G during the prior-year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capital expenditures will increase in the near term due to Gogo 5G and the FCC Reimbursement Program. This increase may be partially offset by reimbursements from the FCC. We expect that our capital expenditures will decrease at the end of our planning period as these programs are completed. Capital expenditures associated with Gogo Galileo are not expected to be material.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sz w:val="20"/>
        </w:rPr>
      </w:pPr>
      <w:r>
        <w:rPr>
          <w:rFonts w:ascii="Times New Roman;serif" w:hAnsi="Times New Roman;serif"/>
          <w:b/>
          <w:sz w:val="20"/>
        </w:rPr>
        <w:t>Other</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Contractual Commitments: </w:t>
      </w:r>
      <w:r>
        <w:rPr>
          <w:rFonts w:ascii="Times New Roman;serif" w:hAnsi="Times New Roman;serif"/>
          <w:b w:val="false"/>
          <w:sz w:val="20"/>
        </w:rPr>
        <w:t>We have agreements with various vendors under which we have remaining commitments to purchase hardware components and development services. Such commitments will become payable as we receive the hardware components or as development services are provided. See Note 11, “Commitments and Contingencies,” to our Unaudited Condensed Consolidated Financial Statements for additional information.</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Leases and Cell Site Contracts: </w:t>
      </w:r>
      <w:r>
        <w:rPr>
          <w:rFonts w:ascii="Times New Roman;serif" w:hAnsi="Times New Roman;serif"/>
          <w:b w:val="false"/>
          <w:sz w:val="20"/>
        </w:rPr>
        <w:t>We have lease agreements relating to certain facilities and equipment, which are considered operating leases. See Note 10, “Leases,” to our Unaudited Condensed Consolidated Financial Statements for additional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Indemnifications and Guarantees</w:t>
      </w:r>
      <w:r>
        <w:rPr>
          <w:rFonts w:ascii="Times New Roman;serif" w:hAnsi="Times New Roman;serif"/>
          <w:b w:val="false"/>
          <w:sz w:val="20"/>
        </w:rPr>
        <w:t>: In accordance with Delaware law, we indemnify our officers and directors for certain events or occurrences 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exposure to market risk is currently confined to our cash and cash equivalents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cash equivalents and short-term investments as of both June 30, 2023 and December 31, 2022 included amounts in bank deposit accounts, U.S. Treasury securities and money market funds with U.S. Government and U.S. Treasury securities. The primary objective of our investment policy is to preserve capital and maintain liquidity while limiting concentration and counterparty risk. We believe that a change in average interest rates would not affect our interest income and results of operations by a material amount. However, a change in interest rates could impact our interest income and results of operations to the extent that we invest in a material amount of interest-bearing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Interest Rate Risk: </w:t>
      </w:r>
      <w:r>
        <w:rPr>
          <w:rFonts w:ascii="Times New Roman;serif" w:hAnsi="Times New Roman;serif"/>
          <w:b w:val="false"/>
          <w:sz w:val="20"/>
        </w:rPr>
        <w:t>We are exposed to interest rate risk on our variable rate indebtedness, which includes borrowings under the Term Loan Facility and Revolving Facility (if any). We assess our market risks based on changes in interest rates utilizing a sensitivity analysis that measures the potential impact on earnings and cash flows based on a hypothetical one percentage point change in interest rates. As of June 30, 2023, we had interest rate cap agreements to hedge a portion of our exposure to interest rate movements of our variable rate debt and to manage our interest expense. As of June 30, 2023, we received payments in the amounts calculated pursuant to the caps for any period in which the three-month USD LIBOR rate increased beyond the applicable strike rate. The interest rate caps automatically transitioned to SOFR, the designated fallback as determined by the International Swaps and Derivatives Association on July 31, 2023. The termination date of the cap agreements is July 31, 2027. Over the life of the interest rate caps, the notional amounts of the caps periodically decrease, while the applicable strike prices increase.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notional amount of outstanding debt associated with interest rate cap agreements as of June 30, 2023 was $650.0 million. Based on our June 30, 2023 outstanding variable rate debt balance, a hypothetical one percentage point change in the applicable interest rate would impact our annual interest expense by approximately $0.8 million for the next twelve-month period, which includes the impact of our interest rate caps at a strike rate of 0.75% and the $125 million reduction in the notional amount that will occur on July 31, 2023. Excluding the impact of our interest rate caps, a hypothetical one percentage point change in the applicable interest rate would impact our annual interest expense by approximately $6.1 million for the next twelve-month period.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six-month periods ended June 30, 2023 and 2022 by immaterial amounts.</w:t>
      </w:r>
    </w:p>
    <w:p>
      <w:pPr>
        <w:pStyle w:val="TextBody"/>
        <w:bidi w:val="0"/>
        <w:spacing w:before="120" w:after="0"/>
        <w:jc w:val="left"/>
        <w:rPr>
          <w:rFonts w:ascii="Times New Roman" w:hAnsi="Times New Roman"/>
          <w:sz w:val="20"/>
        </w:rPr>
      </w:pPr>
      <w:r>
        <w:rPr>
          <w:rFonts w:ascii="Times New Roman;serif" w:hAnsi="Times New Roman;serif"/>
          <w:b w:val="false"/>
          <w:i/>
          <w:sz w:val="20"/>
        </w:rPr>
        <w:t xml:space="preserve">Inflation: </w:t>
      </w:r>
      <w:r>
        <w:rPr>
          <w:rFonts w:ascii="Times New Roman;serif" w:hAnsi="Times New Roman;serif"/>
          <w:b w:val="false"/>
          <w:sz w:val="20"/>
        </w:rPr>
        <w:t>We do not believe that inflation has had a material effect on our results of operations. However, there can be no assurance that our business will not be affected by inflation in the future.</w:t>
      </w:r>
    </w:p>
    <w:p>
      <w:pPr>
        <w:pStyle w:val="TextBody"/>
        <w:bidi w:val="0"/>
        <w:spacing w:before="24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June 30, 2023. Based upon this evaluation, our Chief Executive Officer and the Chief Financial Officer have concluded that our disclosure controls and procedures were effective as of June 30, 2023.</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serif" w:hAnsi="Times New Roman;serif"/>
          <w:b w:val="false"/>
          <w:sz w:val="20"/>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4" w:name="part_ii_or_information"/>
      <w:bookmarkEnd w:id="14"/>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lawsuits arising out of the conduct of our business. See Note 11, “Commitments and Contingencies,” to our Unaudited Condensed Consolidated Financial Statements for a discussion of litigation matters.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spacing w:before="0" w:after="0"/>
        <w:jc w:val="left"/>
        <w:rPr/>
      </w:pPr>
      <w:r>
        <w:rPr/>
        <w:t> </w:t>
      </w:r>
    </w:p>
    <w:tbl>
      <w:tblPr>
        <w:tblW w:w="2192" w:type="dxa"/>
        <w:jc w:val="left"/>
        <w:tblInd w:w="0" w:type="dxa"/>
        <w:tblLayout w:type="fixed"/>
        <w:tblCellMar>
          <w:top w:w="28" w:type="dxa"/>
          <w:left w:w="28" w:type="dxa"/>
          <w:bottom w:w="28" w:type="dxa"/>
          <w:right w:w="28" w:type="dxa"/>
        </w:tblCellMar>
      </w:tblPr>
      <w:tblGrid>
        <w:gridCol w:w="976"/>
        <w:gridCol w:w="1216"/>
      </w:tblGrid>
      <w:tr>
        <w:trPr/>
        <w:tc>
          <w:tcPr>
            <w:tcW w:w="9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ITEM 1A.</w:t>
            </w:r>
          </w:p>
        </w:tc>
        <w:tc>
          <w:tcPr>
            <w:tcW w:w="1216" w:type="dxa"/>
            <w:tcBorders/>
            <w:vAlign w:val="center"/>
          </w:tcPr>
          <w:p>
            <w:pPr>
              <w:pStyle w:val="TableContents"/>
              <w:bidi w:val="0"/>
              <w:spacing w:before="0" w:after="0"/>
              <w:ind w:left="0" w:right="0" w:hanging="0"/>
              <w:jc w:val="left"/>
              <w:rPr>
                <w:rFonts w:ascii="Times New Roman;serif" w:hAnsi="Times New Roman;serif"/>
                <w:b/>
                <w:sz w:val="20"/>
              </w:rPr>
            </w:pPr>
            <w:bookmarkStart w:id="16" w:name="risk_factors"/>
            <w:bookmarkEnd w:id="16"/>
            <w:r>
              <w:rPr>
                <w:rFonts w:ascii="Times New Roman;serif" w:hAnsi="Times New Roman;serif"/>
                <w:b/>
                <w:sz w:val="20"/>
              </w:rPr>
              <w:t>Risk Factors</w:t>
            </w:r>
          </w:p>
        </w:tc>
      </w:tr>
    </w:tbl>
    <w:p>
      <w:pPr>
        <w:pStyle w:val="TextBody"/>
        <w:bidi w:val="0"/>
        <w:spacing w:before="120" w:after="0"/>
        <w:jc w:val="left"/>
        <w:rPr/>
      </w:pPr>
      <w:r>
        <w:rPr/>
        <w:t>“</w:t>
      </w:r>
      <w:r>
        <w:rPr>
          <w:rFonts w:ascii="Times New Roman;serif" w:hAnsi="Times New Roman;serif"/>
          <w:b w:val="false"/>
          <w:sz w:val="20"/>
        </w:rPr>
        <w:t>Item 1A. Risk Factors” of our 2022 10-K includes a discussion of our risk factors. The information presented below updates, and should be read in conjunction with, the risk factors and information disclosed in our 2022 10-K. Except as set forth below and in Item 1A of the 2023 Q1 10-Q, there have been no material changes to the risk factors previously disclosed in our 2022 10-K.</w:t>
      </w:r>
    </w:p>
    <w:p>
      <w:pPr>
        <w:pStyle w:val="TextBody"/>
        <w:bidi w:val="0"/>
        <w:spacing w:before="240" w:after="0"/>
        <w:jc w:val="left"/>
        <w:rPr>
          <w:rFonts w:ascii="Times New Roman;serif" w:hAnsi="Times New Roman;serif"/>
          <w:b/>
          <w:i/>
          <w:sz w:val="20"/>
        </w:rPr>
      </w:pPr>
      <w:r>
        <w:rPr>
          <w:rFonts w:ascii="Times New Roman;serif" w:hAnsi="Times New Roman;serif"/>
          <w:b/>
          <w:i/>
          <w:sz w:val="20"/>
        </w:rPr>
        <w:t>We are currently delayed in deploying Gogo 5G, and may be unsuccessful or delayed in developing and deploying this or other next generation technologies.</w:t>
      </w:r>
    </w:p>
    <w:p>
      <w:pPr>
        <w:pStyle w:val="TextBody"/>
        <w:bidi w:val="0"/>
        <w:spacing w:before="120" w:after="0"/>
        <w:jc w:val="left"/>
        <w:rPr>
          <w:rFonts w:ascii="Times New Roman" w:hAnsi="Times New Roman"/>
          <w:sz w:val="20"/>
        </w:rPr>
      </w:pPr>
      <w:r>
        <w:rPr>
          <w:rFonts w:ascii="Times New Roman;serif" w:hAnsi="Times New Roman;serif"/>
          <w:b w:val="false"/>
          <w:sz w:val="20"/>
        </w:rPr>
        <w:t>We are currently developing a next generation ATG network using 5G technology, unlicensed spectrum, and licensed spectrum. Gogo 5G will be capable of working with different spectrum and supporting different next generation technologies. As previously disclosed, we are delayed in our commercial, nationwide launch of Gogo 5G due to a design error in a non-5G component of our chip, which was designed by a third-party subcontractor of our 5G solution provider. While we are collaborating with our suppliers on more definitive plans, we expect the launch of Gogo 5G to occur in approximately mid-year 2024, later than our prior estimate of the fourth quarter of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There can be no assurance that, during the current delay of our 5G launch, our customers will not seek alternative technologies of competitors. The launch of 5G is also expected to coincide in time with the launch of our Gogo Galileo service, which could impede our marketing and sales efforts with respect to either offering, due to possible customer confusion among the offerings or lack of sufficient customer focus on either one during launch. Additionally, while we expect to launch Gogo 5G in mid-year 2024, we cannot assure you that the 5G launch or our launch of other next generation technologies will in fact occur in sufficient time to meet growing user expectations regarding the in-flight connectivity experience and to effectively compete in the business aviation market. Historically, we have experienced longer lead times and encountered delays in obtaining certain electronic components used in our business, such as in the second half of 2022, when we announced a prior delay in our 5G launch due to manufacturing and late-stage testing issues with respect to the 5G chip. For more information on historical delays, see </w:t>
      </w:r>
      <w:r>
        <w:rPr>
          <w:rFonts w:ascii="Times New Roman" w:hAnsi="Times New Roman"/>
          <w:sz w:val="20"/>
        </w:rPr>
        <w:t>“—</w:t>
      </w:r>
      <w:r>
        <w:rPr>
          <w:rFonts w:ascii="Times New Roman;serif" w:hAnsi="Times New Roman;serif"/>
          <w:b w:val="false"/>
          <w:i/>
          <w:sz w:val="20"/>
        </w:rPr>
        <w:t>Risks Related to Our Business</w:t>
      </w:r>
      <w:r>
        <w:rPr>
          <w:rFonts w:ascii="Times New Roman" w:hAnsi="Times New Roman"/>
          <w:sz w:val="20"/>
        </w:rPr>
        <w:t>—</w:t>
      </w:r>
      <w:r>
        <w:rPr>
          <w:rFonts w:ascii="Times New Roman;serif" w:hAnsi="Times New Roman;serif"/>
          <w:b w:val="false"/>
          <w:i/>
          <w:sz w:val="20"/>
        </w:rPr>
        <w:t>Global supply chain challenges and logistics issues as well as increasing inflation have had, and may continue to have, an adverse effect on our business, financial condition and results of operations</w:t>
      </w:r>
      <w:r>
        <w:rPr>
          <w:rFonts w:ascii="Times New Roman" w:hAnsi="Times New Roman"/>
          <w:sz w:val="20"/>
        </w:rPr>
        <w:t xml:space="preserve">” </w:t>
      </w:r>
      <w:r>
        <w:rPr>
          <w:rFonts w:ascii="Times New Roman;serif" w:hAnsi="Times New Roman;serif"/>
          <w:b w:val="false"/>
          <w:sz w:val="20"/>
        </w:rPr>
        <w:t>in our Annual Report on Form 10-K for the fiscal year ended December 31, 2022. The current delay and any future delays could also decrease customer confidence, including from current or prospective customers, in our offerings, and negatively impact our financial position. For example, as previously disclosed, the delay in our Gogo 5G launch is anticipated to negatively impact year-end revenues in the short term, while also deferring certain operating and capital expense from 2023 into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Gogo 5G or any other next generation technology fails to perform as expected, our ability to meet users' expectations regarding our systems' performance and to effectively compete in our market may be impaired and our business, financial condition and results of operations may be materially adversely affected. Factors heightening the risk of future delays in our 5G network or other next generation technologies, or a failure of such technologies to perform once commercialized, include: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Participation in the FCC Reimbursement Program could adversely affect our results of operations and financial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On July 15, 2022, the FCC notified the Company that it was approved for participation in the FCC Reimbursement Program, a program designed by the FCC at the direction of Congress to reimburse providers of advanced communications services for reasonable costs incurred in the required removal, replacement and disposal of covered communications equipment or services from their networks that have been deemed to pose a national security risk. Pursuant to the FCC Reimbursement Program, the FCC</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approved up to approximately $334 million in reimbursements to the Company to cover incurred and documented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 million of the approved amount is currently allocated to the Company under the program. In July 2023, the Company elected to participate in the partially funded FCC Reimbursement Program and submitted its first reimbursement claim.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Congress is considering appropriating additional funding to meet the total demand for reimbursement, but we cannot predict whether, how much, or when such additional funding will be allocated. There can be no assurance that there will be sufficient available funding to reimburse us for all of our costs in participating in the program. Any shortfall in available funding would require the Company to fund the portion of program costs that exceeds the Company’s allocation. In addition, companies that were awarded a funding allocation are not guaranteed to receive that funding. Once funds are allocated, recipients can draw down funds upon proof of actual expenses incurred by filing a request for the reimbursement of specific expenses. We cannot predict whether and to what extent the FCC or the administrator on which it relies to administer the Reimbursement Program will approve our requests for the specific reimbursement of costs, or the time frames for any reimbursement. If we are not successful in receiving the amount of funds necessary to remove, replace and dispose of the applicable equipment and services, or if we have underestimated the associated costs, our results of operations and financial condition could be adversely affected. Also, the process for seeking reimbursements under the FCC Reimbursement Program is complex, and the FCC or program administrator may seek revisions to our reimbursement requests or delay approval of some or all of the requested amounts while evaluating our submissions. Any delay in reimbursements under the program could have a material negative effect on our cash flows and working capital.</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participate in the program, we must comply with various conditions and requirements established by the FCC, including a requirement that we complete the removal, replacement and disposal of applicable equipment within one year of receiving our first funding disbursement (i.e., by July 21, 2024). The FCC may issue a single, general extension to all reimbursement recipients if it determines that the supply of replacement communications equipment or services needed by the recipients to achieve the purposes of the Reimbursement Program is inadequate to meet the needs of the recipients. The FCC may also grant one or more six-month extensions to a participant where it finds that due to factors beyond its control, the participant cannot complete the project by the deadline. Due to a number of factors including supply chain disruptions, the current insufficiency of FCC funding and the operational and logistical complexity of replacing airborne equipment, we do not believe that we will complete the project within one year of receiving the Company’s first funding disbursement, and we intend to seek extensions as outlined in our initial FCC application. If the FCC does not grant the necessary extensions and the project is not completed by the FCC’s deadline, we could face penalties or other sanctions.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if any of the Company’s customers do not replace their airborne equipment with equipment that is compatible with the replacement terrestrial network equipment prior to the date on which the replacement terrestrial network equipment goes into effect, the Company will be unable to provide service to these legacy-equipment customers until the airborne equipment is replaced. Such service disruptions could have a material adverse effect on our results of operations and financial condition. The requirement that customers replace their airborne equipment may also damage the Company’s relationships with its customers, leading some customers to switch to other service providers or forgo service altogether, which could have a material adverse effect on our market share, results of operations and financial condition.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bookmarkStart w:id="17" w:name="unregistered_sales_equity_securities_use"/>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 w:hAnsi="Times New Roman"/>
          <w:b/>
          <w:i/>
          <w:sz w:val="20"/>
        </w:rPr>
      </w:pPr>
      <w:r>
        <w:rPr>
          <w:rFonts w:ascii="Times New Roman" w:hAnsi="Times New Roman"/>
          <w:b/>
          <w:i/>
          <w:sz w:val="20"/>
        </w:rPr>
        <w:t>a)</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Sales of Unregistered Securities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 w:hAnsi="Times New Roman"/>
          <w:b/>
          <w:i/>
          <w:sz w:val="20"/>
        </w:rPr>
      </w:pPr>
      <w:r>
        <w:rPr>
          <w:rFonts w:ascii="Times New Roman" w:hAnsi="Times New Roman"/>
          <w:b/>
          <w:i/>
          <w:sz w:val="20"/>
        </w:rPr>
        <w:t>b)</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Use of Proceeds from Public Offering of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c)</w:t>
      </w:r>
    </w:p>
    <w:p>
      <w:pPr>
        <w:pStyle w:val="TextBody"/>
        <w:bidi w:val="0"/>
        <w:spacing w:before="120" w:after="283"/>
        <w:jc w:val="left"/>
        <w:rPr>
          <w:rFonts w:ascii="Times New Roman;serif" w:hAnsi="Times New Roman;serif"/>
          <w:b/>
          <w:i/>
          <w:sz w:val="20"/>
        </w:rPr>
      </w:pPr>
      <w:r>
        <w:rPr>
          <w:rFonts w:ascii="Times New Roman;serif" w:hAnsi="Times New Roman;serif"/>
          <w:b/>
          <w:i/>
          <w:sz w:val="20"/>
        </w:rPr>
        <w:t>Purchases of Equity Securities by the Issuer and Affiliated Purchasers</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8" w:name="defaults_upon_senior_securities"/>
      <w:bookmarkEnd w:id="18"/>
      <w:r>
        <w:rPr>
          <w:rFonts w:ascii="Times New Roman;serif" w:hAnsi="Times New Roman;serif"/>
          <w:b/>
          <w:sz w:val="20"/>
        </w:rPr>
        <w:t>ITEM 3. Defaults Upon Senior Securities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19" w:name="mine_safety_disclosures"/>
      <w:bookmarkEnd w:id="19"/>
      <w:r>
        <w:rPr>
          <w:rFonts w:ascii="Times New Roman;serif" w:hAnsi="Times New Roman;serif"/>
          <w:b/>
          <w:sz w:val="20"/>
        </w:rPr>
        <w:t>ITEM 4. Mine Safety Disclosures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sz w:val="20"/>
        </w:rPr>
      </w:pPr>
      <w:bookmarkStart w:id="20" w:name="or_information"/>
      <w:bookmarkEnd w:id="20"/>
      <w:r>
        <w:rPr>
          <w:rFonts w:ascii="Times New Roman;serif" w:hAnsi="Times New Roman;serif"/>
          <w:b/>
          <w:sz w:val="20"/>
        </w:rPr>
        <w:t>ITEM 5. Other Information</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7"/>
        <w:gridCol w:w="146"/>
        <w:gridCol w:w="9252"/>
      </w:tblGrid>
      <w:tr>
        <w:trPr/>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2" w:type="dxa"/>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 of Exhibits</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31.1</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hyperlink w:anchor="gogo-ex31_1.htm">
              <w:r>
                <w:rPr>
                  <w:rStyle w:val="InternetLink"/>
                  <w:rFonts w:ascii="Times New Roman;serif" w:hAnsi="Times New Roman;serif"/>
                  <w:b w:val="false"/>
                  <w:sz w:val="20"/>
                  <w:u w:val="single"/>
                </w:rPr>
                <w:t>Certification of Chief Executive Officer pursuant to Exchange Act Rules 13a-14(a) and 15d-14(a), as adopted pursuant to Section 302 of the Sarbanes-Oxley Act of 2002</w:t>
              </w:r>
            </w:hyperlink>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31.2</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hyperlink w:anchor="gogo-ex31_2.htm">
              <w:r>
                <w:rPr>
                  <w:rStyle w:val="InternetLink"/>
                  <w:rFonts w:ascii="Times New Roman;serif" w:hAnsi="Times New Roman;serif"/>
                  <w:b w:val="false"/>
                  <w:sz w:val="20"/>
                  <w:u w:val="single"/>
                </w:rPr>
                <w:t>Certification of Chief Financial Officer pursuant to Exchange Act Rules 13a-14(a) and 15d-14(a), as adopted pursuant to Section 302 of the Sarbanes-Oxley Act of 2002</w:t>
              </w:r>
            </w:hyperlink>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pPr>
            <w:hyperlink w:anchor="gogo-ex32_1.htm">
              <w:r>
                <w:rPr>
                  <w:rStyle w:val="InternetLink"/>
                  <w:rFonts w:ascii="Times New Roman;serif" w:hAnsi="Times New Roman;serif"/>
                  <w:b w:val="false"/>
                  <w:sz w:val="20"/>
                  <w:u w:val="single"/>
                </w:rPr>
                <w:t>Certification of Chief Executive Officer pursuant to 18 U.S.C. Section 1350, as adopted pursuant to Section 906 of the Sarbanes-Oxley Act of 2002</w:t>
              </w:r>
            </w:hyperlink>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hyperlink w:anchor="gogo-ex32_2.htm">
              <w:r>
                <w:rPr>
                  <w:rStyle w:val="InternetLink"/>
                  <w:rFonts w:ascii="Times New Roman;serif" w:hAnsi="Times New Roman;serif"/>
                  <w:b w:val="false"/>
                  <w:sz w:val="20"/>
                  <w:u w:val="single"/>
                </w:rPr>
                <w:t>Certification of Chief Financial Officer pursuant to 18 U.S.C. Section 1350, as adopted pursuant to Section 906 of the Sarbanes-Oxley Act of 2002</w:t>
              </w:r>
            </w:hyperlink>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Labels Linkbase Document</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0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pPr>
            <w:r>
              <w:rPr/>
              <w:t> </w:t>
            </w:r>
          </w:p>
        </w:tc>
      </w:tr>
      <w:tr>
        <w:trPr/>
        <w:tc>
          <w:tcPr>
            <w:tcW w:w="80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t> </w:t>
      </w:r>
    </w:p>
    <w:tbl>
      <w:tblPr>
        <w:tblW w:w="6433" w:type="dxa"/>
        <w:jc w:val="left"/>
        <w:tblInd w:w="0" w:type="dxa"/>
        <w:tblLayout w:type="fixed"/>
        <w:tblCellMar>
          <w:top w:w="28" w:type="dxa"/>
          <w:left w:w="28" w:type="dxa"/>
          <w:bottom w:w="28" w:type="dxa"/>
          <w:right w:w="28" w:type="dxa"/>
        </w:tblCellMar>
      </w:tblPr>
      <w:tblGrid>
        <w:gridCol w:w="1846"/>
        <w:gridCol w:w="14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Gogo Inc.</w:t>
            </w:r>
            <w:r>
              <w:rPr>
                <w:rFonts w:ascii="Times New Roman" w:hAnsi="Times New Roman"/>
                <w:sz w:val="20"/>
              </w:rPr>
              <w:t xml:space="preserve">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Oakleigh Thorne</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Oakleigh Thorne</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 of the Board</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643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pBdr>
                <w:bottom w:val="single" w:sz="6" w:space="1" w:color="000000"/>
              </w:pBdr>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Jessica G. Betjemann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Jessica G. Betjemann</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both"/>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gogo-ex31_1.htm"/>
      <w:bookmarkStart w:id="24" w:name="ksgogoex31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OF THE EXCHANGE ACT, AS AMENDED,</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 Oakleigh Thorne, certify that: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Gogo Inc.;</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3974" w:type="dxa"/>
        <w:jc w:val="left"/>
        <w:tblInd w:w="0" w:type="dxa"/>
        <w:tblLayout w:type="fixed"/>
        <w:tblCellMar>
          <w:top w:w="28" w:type="dxa"/>
          <w:left w:w="28" w:type="dxa"/>
          <w:bottom w:w="28" w:type="dxa"/>
          <w:right w:w="28" w:type="dxa"/>
        </w:tblCellMar>
      </w:tblPr>
      <w:tblGrid>
        <w:gridCol w:w="790"/>
        <w:gridCol w:w="340"/>
        <w:gridCol w:w="2844"/>
      </w:tblGrid>
      <w:tr>
        <w:trPr/>
        <w:tc>
          <w:tcPr>
            <w:tcW w:w="79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r>
      <w:tr>
        <w:trPr/>
        <w:tc>
          <w:tcPr>
            <w:tcW w:w="1130"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2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7, 2023</w:t>
            </w:r>
          </w:p>
        </w:tc>
      </w:tr>
      <w:tr>
        <w:trPr/>
        <w:tc>
          <w:tcPr>
            <w:tcW w:w="790" w:type="dxa"/>
            <w:tcBorders/>
            <w:vAlign w:val="center"/>
          </w:tcPr>
          <w:p>
            <w:pPr>
              <w:pStyle w:val="TableContents"/>
              <w:bidi w:val="0"/>
              <w:spacing w:before="0" w:after="0"/>
              <w:ind w:left="0" w:right="0" w:hanging="0"/>
              <w:jc w:val="left"/>
              <w:rPr/>
            </w:pPr>
            <w:r>
              <w:rPr/>
              <w:t> </w:t>
            </w:r>
          </w:p>
        </w:tc>
        <w:tc>
          <w:tcPr>
            <w:tcW w:w="3184" w:type="dxa"/>
            <w:gridSpan w:val="2"/>
            <w:tcBorders/>
            <w:vAlign w:val="center"/>
          </w:tcPr>
          <w:p>
            <w:pPr>
              <w:pStyle w:val="TableContents"/>
              <w:bidi w:val="0"/>
              <w:spacing w:before="0" w:after="0"/>
              <w:ind w:left="0" w:right="0" w:hanging="0"/>
              <w:jc w:val="left"/>
              <w:rPr/>
            </w:pPr>
            <w:r>
              <w:rPr/>
              <w:t> </w:t>
            </w:r>
          </w:p>
        </w:tc>
      </w:tr>
      <w:tr>
        <w:trPr/>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w:t>
            </w:r>
          </w:p>
        </w:tc>
        <w:tc>
          <w:tcPr>
            <w:tcW w:w="31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Oakleigh Thorne</w:t>
            </w:r>
          </w:p>
        </w:tc>
      </w:tr>
      <w:tr>
        <w:trPr/>
        <w:tc>
          <w:tcPr>
            <w:tcW w:w="3974"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Oakleigh Thorne</w:t>
            </w:r>
          </w:p>
        </w:tc>
      </w:tr>
      <w:tr>
        <w:trPr/>
        <w:tc>
          <w:tcPr>
            <w:tcW w:w="3974"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 of the Board</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gogo-ex31_2.htm"/>
      <w:bookmarkStart w:id="26" w:name="ksgogoex31_2"/>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RULE 13a-14(a) OF THE EXCHANGE ACT, AS AMENDED,</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302 OF THE SARBANES-OXLEY ACT OF 2002</w:t>
      </w:r>
    </w:p>
    <w:p>
      <w:pPr>
        <w:pStyle w:val="TextBody"/>
        <w:bidi w:val="0"/>
        <w:spacing w:before="0" w:after="0"/>
        <w:jc w:val="center"/>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 Jessica G. Betjemann, certify that: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Gogo Inc.;</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455" w:type="dxa"/>
        <w:jc w:val="left"/>
        <w:tblInd w:w="0" w:type="dxa"/>
        <w:tblLayout w:type="fixed"/>
        <w:tblCellMar>
          <w:top w:w="28" w:type="dxa"/>
          <w:left w:w="28" w:type="dxa"/>
          <w:bottom w:w="28" w:type="dxa"/>
          <w:right w:w="28" w:type="dxa"/>
        </w:tblCellMar>
      </w:tblPr>
      <w:tblGrid>
        <w:gridCol w:w="769"/>
        <w:gridCol w:w="392"/>
        <w:gridCol w:w="3294"/>
      </w:tblGrid>
      <w:tr>
        <w:trPr/>
        <w:tc>
          <w:tcPr>
            <w:tcW w:w="7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1161"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3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7, 2023</w:t>
            </w:r>
          </w:p>
        </w:tc>
      </w:tr>
      <w:tr>
        <w:trPr/>
        <w:tc>
          <w:tcPr>
            <w:tcW w:w="769" w:type="dxa"/>
            <w:tcBorders/>
            <w:vAlign w:val="center"/>
          </w:tcPr>
          <w:p>
            <w:pPr>
              <w:pStyle w:val="TableContents"/>
              <w:bidi w:val="0"/>
              <w:spacing w:before="0" w:after="0"/>
              <w:ind w:left="0" w:right="0" w:hanging="0"/>
              <w:jc w:val="left"/>
              <w:rPr/>
            </w:pPr>
            <w:r>
              <w:rPr/>
              <w:t> </w:t>
            </w:r>
          </w:p>
        </w:tc>
        <w:tc>
          <w:tcPr>
            <w:tcW w:w="3686" w:type="dxa"/>
            <w:gridSpan w:val="2"/>
            <w:tcBorders/>
            <w:vAlign w:val="center"/>
          </w:tcPr>
          <w:p>
            <w:pPr>
              <w:pStyle w:val="TableContents"/>
              <w:bidi w:val="0"/>
              <w:spacing w:before="0" w:after="0"/>
              <w:ind w:left="0" w:right="0" w:hanging="0"/>
              <w:jc w:val="left"/>
              <w:rPr/>
            </w:pPr>
            <w:r>
              <w:rPr/>
              <w:t> </w:t>
            </w:r>
          </w:p>
        </w:tc>
      </w:tr>
      <w:tr>
        <w:trPr/>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w:t>
            </w:r>
          </w:p>
        </w:tc>
        <w:tc>
          <w:tcPr>
            <w:tcW w:w="36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Jessica G. Betjemann</w:t>
            </w:r>
          </w:p>
        </w:tc>
      </w:tr>
      <w:tr>
        <w:trPr/>
        <w:tc>
          <w:tcPr>
            <w:tcW w:w="445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Jessica G. Betjemann</w:t>
            </w:r>
          </w:p>
        </w:tc>
      </w:tr>
      <w:tr>
        <w:trPr/>
        <w:tc>
          <w:tcPr>
            <w:tcW w:w="445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gogo-ex32_1.htm"/>
      <w:bookmarkStart w:id="28" w:name="ksgogoex32_1"/>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CHIEF EXECUTIVE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w:t>
      </w:r>
    </w:p>
    <w:p>
      <w:pPr>
        <w:pStyle w:val="TextBody"/>
        <w:bidi w:val="0"/>
        <w:spacing w:before="0" w:after="0"/>
        <w:jc w:val="center"/>
        <w:rPr>
          <w:rFonts w:ascii="Times New Roman;serif" w:hAnsi="Times New Roman;serif"/>
          <w:b/>
          <w:sz w:val="20"/>
        </w:rPr>
      </w:pPr>
      <w:r>
        <w:rPr>
          <w:rFonts w:ascii="Times New Roman;serif" w:hAnsi="Times New Roman;serif"/>
          <w:b/>
          <w:sz w:val="20"/>
        </w:rPr>
        <w:t>OF THE SARBANES-OXLEY ACT OF 2002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 Oakleigh Thorne, Chief Executive Officer and Chair of the Board of Gogo Inc. (the “Company”), do hereby certify, pursuant to 18 U.S.C. Section 1350, as adopted pursuant to Section 906 of the Sarbanes-Oxley Act of 2002, that to the best of my knowledge: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the Quarterly Report on Form 10-Q of the Company for the quarter ended June 30, 2023 (the “Report”) fully complies with the requirements of Section 13(a) or 15(d) of the Securities Exchange Act of 1934;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3974" w:type="dxa"/>
        <w:jc w:val="left"/>
        <w:tblInd w:w="0" w:type="dxa"/>
        <w:tblLayout w:type="fixed"/>
        <w:tblCellMar>
          <w:top w:w="28" w:type="dxa"/>
          <w:left w:w="28" w:type="dxa"/>
          <w:bottom w:w="28" w:type="dxa"/>
          <w:right w:w="28" w:type="dxa"/>
        </w:tblCellMar>
      </w:tblPr>
      <w:tblGrid>
        <w:gridCol w:w="790"/>
        <w:gridCol w:w="340"/>
        <w:gridCol w:w="2844"/>
      </w:tblGrid>
      <w:tr>
        <w:trPr/>
        <w:tc>
          <w:tcPr>
            <w:tcW w:w="79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r>
      <w:tr>
        <w:trPr/>
        <w:tc>
          <w:tcPr>
            <w:tcW w:w="1130"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28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7, 2023</w:t>
            </w:r>
          </w:p>
        </w:tc>
      </w:tr>
      <w:tr>
        <w:trPr/>
        <w:tc>
          <w:tcPr>
            <w:tcW w:w="790" w:type="dxa"/>
            <w:tcBorders/>
            <w:vAlign w:val="center"/>
          </w:tcPr>
          <w:p>
            <w:pPr>
              <w:pStyle w:val="TableContents"/>
              <w:bidi w:val="0"/>
              <w:spacing w:before="0" w:after="0"/>
              <w:ind w:left="0" w:right="0" w:hanging="0"/>
              <w:jc w:val="left"/>
              <w:rPr/>
            </w:pPr>
            <w:r>
              <w:rPr/>
              <w:t> </w:t>
            </w:r>
          </w:p>
        </w:tc>
        <w:tc>
          <w:tcPr>
            <w:tcW w:w="3184" w:type="dxa"/>
            <w:gridSpan w:val="2"/>
            <w:tcBorders/>
            <w:vAlign w:val="center"/>
          </w:tcPr>
          <w:p>
            <w:pPr>
              <w:pStyle w:val="TableContents"/>
              <w:bidi w:val="0"/>
              <w:spacing w:before="0" w:after="0"/>
              <w:ind w:left="0" w:right="0" w:hanging="0"/>
              <w:jc w:val="left"/>
              <w:rPr/>
            </w:pPr>
            <w:r>
              <w:rPr/>
              <w:t> </w:t>
            </w:r>
          </w:p>
        </w:tc>
      </w:tr>
      <w:tr>
        <w:trPr/>
        <w:tc>
          <w:tcPr>
            <w:tcW w:w="7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w:t>
            </w:r>
          </w:p>
        </w:tc>
        <w:tc>
          <w:tcPr>
            <w:tcW w:w="31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Oakleigh Thorne</w:t>
            </w:r>
          </w:p>
        </w:tc>
      </w:tr>
      <w:tr>
        <w:trPr/>
        <w:tc>
          <w:tcPr>
            <w:tcW w:w="3974"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Oakleigh Thorne</w:t>
            </w:r>
          </w:p>
        </w:tc>
      </w:tr>
      <w:tr>
        <w:trPr/>
        <w:tc>
          <w:tcPr>
            <w:tcW w:w="3974"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and Chair of the Board</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gogo-ex32_2.htm"/>
      <w:bookmarkStart w:id="30" w:name="ksgogoex32_2"/>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Gogo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CERTIFICATION OF CHIEF FINANCIAL OFFICER</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18 U.S.C. SECTION 1350,</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906</w:t>
      </w:r>
    </w:p>
    <w:p>
      <w:pPr>
        <w:pStyle w:val="TextBody"/>
        <w:bidi w:val="0"/>
        <w:spacing w:before="0" w:after="0"/>
        <w:jc w:val="center"/>
        <w:rPr>
          <w:rFonts w:ascii="Times New Roman;serif" w:hAnsi="Times New Roman;serif"/>
          <w:b/>
          <w:sz w:val="20"/>
        </w:rPr>
      </w:pPr>
      <w:r>
        <w:rPr>
          <w:rFonts w:ascii="Times New Roman;serif" w:hAnsi="Times New Roman;serif"/>
          <w:b/>
          <w:sz w:val="20"/>
        </w:rPr>
        <w:t>OF THE SARBANES-OXLEY ACT OF 2002</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 Jessica G. Betjemann, Executive Vice President and Chief Financial Officer of Gogo Inc. (the “Company”), do hereby certify, pursuant to 18 U.S.C. Section 1350, as adopted pursuant to Section 906 of the Sarbanes-Oxley Act of 2002, that to the best of my knowledge: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the Quarterly Report on Form 10-Q of the Company for the quarter ended June 30, 2023 (the “Report”) fully complies with the requirements of Section 13(a) or 15(d) of the Securities Exchange Act of 1934; and</w:t>
      </w:r>
    </w:p>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(2)</w:t>
      </w:r>
    </w:p>
    <w:p>
      <w:pPr>
        <w:pStyle w:val="TextBody"/>
        <w:bidi w:val="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4455" w:type="dxa"/>
        <w:jc w:val="left"/>
        <w:tblInd w:w="0" w:type="dxa"/>
        <w:tblLayout w:type="fixed"/>
        <w:tblCellMar>
          <w:top w:w="28" w:type="dxa"/>
          <w:left w:w="28" w:type="dxa"/>
          <w:bottom w:w="28" w:type="dxa"/>
          <w:right w:w="28" w:type="dxa"/>
        </w:tblCellMar>
      </w:tblPr>
      <w:tblGrid>
        <w:gridCol w:w="769"/>
        <w:gridCol w:w="392"/>
        <w:gridCol w:w="3294"/>
      </w:tblGrid>
      <w:tr>
        <w:trPr/>
        <w:tc>
          <w:tcPr>
            <w:tcW w:w="7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r>
      <w:tr>
        <w:trPr/>
        <w:tc>
          <w:tcPr>
            <w:tcW w:w="1161"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3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August 7, 2023</w:t>
            </w:r>
          </w:p>
        </w:tc>
      </w:tr>
      <w:tr>
        <w:trPr/>
        <w:tc>
          <w:tcPr>
            <w:tcW w:w="769" w:type="dxa"/>
            <w:tcBorders/>
            <w:vAlign w:val="center"/>
          </w:tcPr>
          <w:p>
            <w:pPr>
              <w:pStyle w:val="TableContents"/>
              <w:bidi w:val="0"/>
              <w:spacing w:before="0" w:after="0"/>
              <w:ind w:left="0" w:right="0" w:hanging="0"/>
              <w:jc w:val="left"/>
              <w:rPr/>
            </w:pPr>
            <w:r>
              <w:rPr/>
              <w:t> </w:t>
            </w:r>
          </w:p>
        </w:tc>
        <w:tc>
          <w:tcPr>
            <w:tcW w:w="3686" w:type="dxa"/>
            <w:gridSpan w:val="2"/>
            <w:tcBorders/>
            <w:vAlign w:val="center"/>
          </w:tcPr>
          <w:p>
            <w:pPr>
              <w:pStyle w:val="TableContents"/>
              <w:bidi w:val="0"/>
              <w:spacing w:before="0" w:after="0"/>
              <w:ind w:left="0" w:right="0" w:hanging="0"/>
              <w:jc w:val="left"/>
              <w:rPr/>
            </w:pPr>
            <w:r>
              <w:rPr/>
              <w:t> </w:t>
            </w:r>
          </w:p>
        </w:tc>
      </w:tr>
      <w:tr>
        <w:trPr/>
        <w:tc>
          <w:tcPr>
            <w:tcW w:w="7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w:t>
            </w:r>
          </w:p>
        </w:tc>
        <w:tc>
          <w:tcPr>
            <w:tcW w:w="36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Jessica G. Betjemann</w:t>
            </w:r>
          </w:p>
        </w:tc>
      </w:tr>
      <w:tr>
        <w:trPr/>
        <w:tc>
          <w:tcPr>
            <w:tcW w:w="445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Jessica G. Betjemann</w:t>
            </w:r>
          </w:p>
        </w:tc>
      </w:tr>
      <w:tr>
        <w:trPr/>
        <w:tc>
          <w:tcPr>
            <w:tcW w:w="445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Executive Vice President and Chief Financial Officer</w:t>
            </w:r>
          </w:p>
        </w:tc>
      </w:tr>
      <w:tr>
        <w:trPr/>
        <w:tc>
          <w:tcPr>
            <w:tcW w:w="4455"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24105</Words>
  <Characters>132677</Characters>
  <CharactersWithSpaces>158987</CharactersWithSpaces>
  <Paragraphs>8125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