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HARRIS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DRIVE, STE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195,766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June 30, 2026, and immediately vest in full on the grant date. The deferred share units will be settled in shares of the Company's common stock following the director's termination of service on the Company's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L. Gordon, Attorney-in-Fact for Harris N.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625"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3405</Characters>
  <CharactersWithSpaces>3975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